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2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charts/chart36.xml" ContentType="application/vnd.openxmlformats-officedocument.drawingml.chart+xml"/>
  <Override PartName="/word/charts/chart37.xml" ContentType="application/vnd.openxmlformats-officedocument.drawingml.chart+xml"/>
  <Override PartName="/word/charts/chart38.xml" ContentType="application/vnd.openxmlformats-officedocument.drawingml.chart+xml"/>
  <Override PartName="/word/charts/chart39.xml" ContentType="application/vnd.openxmlformats-officedocument.drawingml.chart+xml"/>
  <Override PartName="/word/charts/chart40.xml" ContentType="application/vnd.openxmlformats-officedocument.drawingml.chart+xml"/>
  <Override PartName="/word/charts/chart41.xml" ContentType="application/vnd.openxmlformats-officedocument.drawingml.chart+xml"/>
  <Override PartName="/word/charts/chart42.xml" ContentType="application/vnd.openxmlformats-officedocument.drawingml.chart+xml"/>
  <Override PartName="/word/charts/chart43.xml" ContentType="application/vnd.openxmlformats-officedocument.drawingml.chart+xml"/>
  <Override PartName="/word/charts/chart44.xml" ContentType="application/vnd.openxmlformats-officedocument.drawingml.chart+xml"/>
  <Override PartName="/word/charts/chart45.xml" ContentType="application/vnd.openxmlformats-officedocument.drawingml.chart+xml"/>
  <Override PartName="/word/charts/chart46.xml" ContentType="application/vnd.openxmlformats-officedocument.drawingml.chart+xml"/>
  <Override PartName="/word/charts/chart47.xml" ContentType="application/vnd.openxmlformats-officedocument.drawingml.chart+xml"/>
  <Override PartName="/word/charts/chart48.xml" ContentType="application/vnd.openxmlformats-officedocument.drawingml.chart+xml"/>
  <Override PartName="/word/charts/chart49.xml" ContentType="application/vnd.openxmlformats-officedocument.drawingml.chart+xml"/>
  <Override PartName="/word/charts/chart50.xml" ContentType="application/vnd.openxmlformats-officedocument.drawingml.chart+xml"/>
  <Override PartName="/word/charts/chart51.xml" ContentType="application/vnd.openxmlformats-officedocument.drawingml.chart+xml"/>
  <Override PartName="/word/charts/chart52.xml" ContentType="application/vnd.openxmlformats-officedocument.drawingml.chart+xml"/>
  <Override PartName="/word/charts/chart53.xml" ContentType="application/vnd.openxmlformats-officedocument.drawingml.chart+xml"/>
  <Override PartName="/word/charts/chart54.xml" ContentType="application/vnd.openxmlformats-officedocument.drawingml.chart+xml"/>
  <Override PartName="/word/charts/chart55.xml" ContentType="application/vnd.openxmlformats-officedocument.drawingml.chart+xml"/>
  <Override PartName="/word/charts/chart56.xml" ContentType="application/vnd.openxmlformats-officedocument.drawingml.chart+xml"/>
  <Override PartName="/word/charts/chart57.xml" ContentType="application/vnd.openxmlformats-officedocument.drawingml.chart+xml"/>
  <Override PartName="/word/charts/chart58.xml" ContentType="application/vnd.openxmlformats-officedocument.drawingml.chart+xml"/>
  <Override PartName="/word/charts/chart59.xml" ContentType="application/vnd.openxmlformats-officedocument.drawingml.chart+xml"/>
  <Override PartName="/word/charts/chart60.xml" ContentType="application/vnd.openxmlformats-officedocument.drawingml.chart+xml"/>
  <Override PartName="/word/charts/chart61.xml" ContentType="application/vnd.openxmlformats-officedocument.drawingml.chart+xml"/>
  <Override PartName="/word/charts/chart62.xml" ContentType="application/vnd.openxmlformats-officedocument.drawingml.chart+xml"/>
  <Override PartName="/word/charts/chart63.xml" ContentType="application/vnd.openxmlformats-officedocument.drawingml.chart+xml"/>
  <Override PartName="/word/charts/chart64.xml" ContentType="application/vnd.openxmlformats-officedocument.drawingml.chart+xml"/>
  <Override PartName="/word/charts/chart65.xml" ContentType="application/vnd.openxmlformats-officedocument.drawingml.chart+xml"/>
  <Override PartName="/word/charts/chart66.xml" ContentType="application/vnd.openxmlformats-officedocument.drawingml.chart+xml"/>
  <Override PartName="/word/charts/chart67.xml" ContentType="application/vnd.openxmlformats-officedocument.drawingml.chart+xml"/>
  <Override PartName="/word/charts/chart68.xml" ContentType="application/vnd.openxmlformats-officedocument.drawingml.chart+xml"/>
  <Override PartName="/word/charts/chart69.xml" ContentType="application/vnd.openxmlformats-officedocument.drawingml.chart+xml"/>
  <Override PartName="/word/charts/chart70.xml" ContentType="application/vnd.openxmlformats-officedocument.drawingml.chart+xml"/>
  <Override PartName="/word/charts/chart71.xml" ContentType="application/vnd.openxmlformats-officedocument.drawingml.chart+xml"/>
  <Override PartName="/word/charts/chart72.xml" ContentType="application/vnd.openxmlformats-officedocument.drawingml.chart+xml"/>
  <Override PartName="/word/charts/chart73.xml" ContentType="application/vnd.openxmlformats-officedocument.drawingml.chart+xml"/>
  <Override PartName="/word/charts/chart74.xml" ContentType="application/vnd.openxmlformats-officedocument.drawingml.chart+xml"/>
  <Override PartName="/word/charts/chart75.xml" ContentType="application/vnd.openxmlformats-officedocument.drawingml.chart+xml"/>
  <Override PartName="/word/charts/chart76.xml" ContentType="application/vnd.openxmlformats-officedocument.drawingml.chart+xml"/>
  <Override PartName="/word/charts/chart77.xml" ContentType="application/vnd.openxmlformats-officedocument.drawingml.chart+xml"/>
  <Override PartName="/word/charts/chart78.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79.xml" ContentType="application/vnd.openxmlformats-officedocument.drawingml.chart+xml"/>
  <Override PartName="/word/charts/chart80.xml" ContentType="application/vnd.openxmlformats-officedocument.drawingml.chart+xml"/>
  <Override PartName="/word/charts/chart81.xml" ContentType="application/vnd.openxmlformats-officedocument.drawingml.chart+xml"/>
  <Override PartName="/word/charts/chart82.xml" ContentType="application/vnd.openxmlformats-officedocument.drawingml.chart+xml"/>
  <Override PartName="/word/charts/chart83.xml" ContentType="application/vnd.openxmlformats-officedocument.drawingml.chart+xml"/>
  <Override PartName="/word/charts/chart84.xml" ContentType="application/vnd.openxmlformats-officedocument.drawingml.chart+xml"/>
  <Override PartName="/word/charts/chart8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8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8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8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90.xml" ContentType="application/vnd.openxmlformats-officedocument.drawingml.chart+xml"/>
  <Override PartName="/word/charts/chart91.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92.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93.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94.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95.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96.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97.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98.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99.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00.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101.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102.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103.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104.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105.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106.xml" ContentType="application/vnd.openxmlformats-officedocument.drawingml.chart+xml"/>
  <Override PartName="/word/charts/style25.xml" ContentType="application/vnd.ms-office.chartstyle+xml"/>
  <Override PartName="/word/charts/colors25.xml" ContentType="application/vnd.ms-office.chartcolorstyle+xml"/>
  <Override PartName="/word/charts/chart107.xml" ContentType="application/vnd.openxmlformats-officedocument.drawingml.chart+xml"/>
  <Override PartName="/word/charts/chart108.xml" ContentType="application/vnd.openxmlformats-officedocument.drawingml.chart+xml"/>
  <Override PartName="/word/charts/style26.xml" ContentType="application/vnd.ms-office.chartstyle+xml"/>
  <Override PartName="/word/charts/colors26.xml" ContentType="application/vnd.ms-office.chartcolorstyle+xml"/>
  <Override PartName="/word/charts/chart109.xml" ContentType="application/vnd.openxmlformats-officedocument.drawingml.chart+xml"/>
  <Override PartName="/word/charts/style27.xml" ContentType="application/vnd.ms-office.chartstyle+xml"/>
  <Override PartName="/word/charts/colors27.xml" ContentType="application/vnd.ms-office.chartcolorstyle+xml"/>
  <Override PartName="/word/charts/chart110.xml" ContentType="application/vnd.openxmlformats-officedocument.drawingml.chart+xml"/>
  <Override PartName="/word/charts/style28.xml" ContentType="application/vnd.ms-office.chartstyle+xml"/>
  <Override PartName="/word/charts/colors28.xml" ContentType="application/vnd.ms-office.chartcolorstyle+xml"/>
  <Override PartName="/word/charts/chart111.xml" ContentType="application/vnd.openxmlformats-officedocument.drawingml.chart+xml"/>
  <Override PartName="/word/charts/style29.xml" ContentType="application/vnd.ms-office.chartstyle+xml"/>
  <Override PartName="/word/charts/colors29.xml" ContentType="application/vnd.ms-office.chartcolorstyle+xml"/>
  <Override PartName="/word/charts/chart112.xml" ContentType="application/vnd.openxmlformats-officedocument.drawingml.chart+xml"/>
  <Override PartName="/word/charts/style30.xml" ContentType="application/vnd.ms-office.chartstyle+xml"/>
  <Override PartName="/word/charts/colors30.xml" ContentType="application/vnd.ms-office.chartcolorstyle+xml"/>
  <Override PartName="/word/charts/chart113.xml" ContentType="application/vnd.openxmlformats-officedocument.drawingml.chart+xml"/>
  <Override PartName="/word/charts/style31.xml" ContentType="application/vnd.ms-office.chartstyle+xml"/>
  <Override PartName="/word/charts/colors31.xml" ContentType="application/vnd.ms-office.chartcolorstyle+xml"/>
  <Override PartName="/word/charts/chart114.xml" ContentType="application/vnd.openxmlformats-officedocument.drawingml.chart+xml"/>
  <Override PartName="/word/charts/style32.xml" ContentType="application/vnd.ms-office.chartstyle+xml"/>
  <Override PartName="/word/charts/colors32.xml" ContentType="application/vnd.ms-office.chartcolorstyle+xml"/>
  <Override PartName="/word/charts/chart115.xml" ContentType="application/vnd.openxmlformats-officedocument.drawingml.chart+xml"/>
  <Override PartName="/word/charts/style33.xml" ContentType="application/vnd.ms-office.chartstyle+xml"/>
  <Override PartName="/word/charts/colors33.xml" ContentType="application/vnd.ms-office.chartcolorstyle+xml"/>
  <Override PartName="/word/charts/chart116.xml" ContentType="application/vnd.openxmlformats-officedocument.drawingml.chart+xml"/>
  <Override PartName="/word/charts/style34.xml" ContentType="application/vnd.ms-office.chartstyle+xml"/>
  <Override PartName="/word/charts/colors34.xml" ContentType="application/vnd.ms-office.chartcolorstyle+xml"/>
  <Override PartName="/word/charts/chart117.xml" ContentType="application/vnd.openxmlformats-officedocument.drawingml.chart+xml"/>
  <Override PartName="/word/charts/style35.xml" ContentType="application/vnd.ms-office.chartstyle+xml"/>
  <Override PartName="/word/charts/colors35.xml" ContentType="application/vnd.ms-office.chartcolorstyle+xml"/>
  <Override PartName="/word/charts/chart118.xml" ContentType="application/vnd.openxmlformats-officedocument.drawingml.chart+xml"/>
  <Override PartName="/word/charts/chart119.xml" ContentType="application/vnd.openxmlformats-officedocument.drawingml.chart+xml"/>
  <Override PartName="/word/charts/style36.xml" ContentType="application/vnd.ms-office.chartstyle+xml"/>
  <Override PartName="/word/charts/colors36.xml" ContentType="application/vnd.ms-office.chartcolorstyle+xml"/>
  <Override PartName="/word/charts/chart120.xml" ContentType="application/vnd.openxmlformats-officedocument.drawingml.chart+xml"/>
  <Override PartName="/word/charts/style37.xml" ContentType="application/vnd.ms-office.chartstyle+xml"/>
  <Override PartName="/word/charts/colors37.xml" ContentType="application/vnd.ms-office.chartcolorstyle+xml"/>
  <Override PartName="/word/charts/chart121.xml" ContentType="application/vnd.openxmlformats-officedocument.drawingml.chart+xml"/>
  <Override PartName="/word/charts/style38.xml" ContentType="application/vnd.ms-office.chartstyle+xml"/>
  <Override PartName="/word/charts/colors38.xml" ContentType="application/vnd.ms-office.chartcolorstyle+xml"/>
  <Override PartName="/word/charts/chart122.xml" ContentType="application/vnd.openxmlformats-officedocument.drawingml.chart+xml"/>
  <Override PartName="/word/charts/style39.xml" ContentType="application/vnd.ms-office.chartstyle+xml"/>
  <Override PartName="/word/charts/colors39.xml" ContentType="application/vnd.ms-office.chartcolorstyle+xml"/>
  <Override PartName="/word/charts/chart123.xml" ContentType="application/vnd.openxmlformats-officedocument.drawingml.chart+xml"/>
  <Override PartName="/word/charts/style40.xml" ContentType="application/vnd.ms-office.chartstyle+xml"/>
  <Override PartName="/word/charts/colors40.xml" ContentType="application/vnd.ms-office.chartcolorstyle+xml"/>
  <Override PartName="/word/charts/chart124.xml" ContentType="application/vnd.openxmlformats-officedocument.drawingml.chart+xml"/>
  <Override PartName="/word/charts/style41.xml" ContentType="application/vnd.ms-office.chartstyle+xml"/>
  <Override PartName="/word/charts/colors41.xml" ContentType="application/vnd.ms-office.chartcolorstyle+xml"/>
  <Override PartName="/word/charts/chart125.xml" ContentType="application/vnd.openxmlformats-officedocument.drawingml.chart+xml"/>
  <Override PartName="/word/charts/style42.xml" ContentType="application/vnd.ms-office.chartstyle+xml"/>
  <Override PartName="/word/charts/colors42.xml" ContentType="application/vnd.ms-office.chartcolorstyle+xml"/>
  <Override PartName="/word/charts/chart126.xml" ContentType="application/vnd.openxmlformats-officedocument.drawingml.chart+xml"/>
  <Override PartName="/word/charts/style43.xml" ContentType="application/vnd.ms-office.chartstyle+xml"/>
  <Override PartName="/word/charts/colors43.xml" ContentType="application/vnd.ms-office.chartcolorstyle+xml"/>
  <Override PartName="/word/charts/chart127.xml" ContentType="application/vnd.openxmlformats-officedocument.drawingml.chart+xml"/>
  <Override PartName="/word/charts/style44.xml" ContentType="application/vnd.ms-office.chartstyle+xml"/>
  <Override PartName="/word/charts/colors44.xml" ContentType="application/vnd.ms-office.chartcolorstyle+xml"/>
  <Override PartName="/word/charts/chart128.xml" ContentType="application/vnd.openxmlformats-officedocument.drawingml.chart+xml"/>
  <Override PartName="/word/charts/style45.xml" ContentType="application/vnd.ms-office.chartstyle+xml"/>
  <Override PartName="/word/charts/colors45.xml" ContentType="application/vnd.ms-office.chartcolorstyle+xml"/>
  <Override PartName="/word/charts/chart129.xml" ContentType="application/vnd.openxmlformats-officedocument.drawingml.chart+xml"/>
  <Override PartName="/word/charts/style46.xml" ContentType="application/vnd.ms-office.chartstyle+xml"/>
  <Override PartName="/word/charts/colors46.xml" ContentType="application/vnd.ms-office.chartcolorstyle+xml"/>
  <Override PartName="/word/charts/chart130.xml" ContentType="application/vnd.openxmlformats-officedocument.drawingml.chart+xml"/>
  <Override PartName="/word/charts/style47.xml" ContentType="application/vnd.ms-office.chartstyle+xml"/>
  <Override PartName="/word/charts/colors47.xml" ContentType="application/vnd.ms-office.chartcolorstyle+xml"/>
  <Override PartName="/word/charts/chart131.xml" ContentType="application/vnd.openxmlformats-officedocument.drawingml.chart+xml"/>
  <Override PartName="/word/charts/style48.xml" ContentType="application/vnd.ms-office.chartstyle+xml"/>
  <Override PartName="/word/charts/colors48.xml" ContentType="application/vnd.ms-office.chartcolorstyle+xml"/>
  <Override PartName="/word/charts/chart132.xml" ContentType="application/vnd.openxmlformats-officedocument.drawingml.chart+xml"/>
  <Override PartName="/word/charts/style49.xml" ContentType="application/vnd.ms-office.chartstyle+xml"/>
  <Override PartName="/word/charts/colors49.xml" ContentType="application/vnd.ms-office.chartcolorsty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E77F45C" w14:textId="77EEFA0A" w:rsidR="00E818C7" w:rsidRDefault="00990E14">
      <w:pPr>
        <w:rPr>
          <w:rFonts w:cstheme="minorHAnsi"/>
          <w:color w:val="2C307E"/>
        </w:rPr>
      </w:pPr>
      <w:bookmarkStart w:id="0" w:name="_Hlk208307120"/>
      <w:bookmarkStart w:id="1" w:name="_Toc143700610"/>
      <w:bookmarkStart w:id="2" w:name="_Toc143700612"/>
      <w:bookmarkEnd w:id="0"/>
      <w:r>
        <w:rPr>
          <w:rFonts w:cstheme="minorHAnsi"/>
          <w:noProof/>
        </w:rPr>
        <w:drawing>
          <wp:anchor distT="0" distB="0" distL="114300" distR="114300" simplePos="0" relativeHeight="251658240" behindDoc="0" locked="0" layoutInCell="1" allowOverlap="1" wp14:anchorId="0D7BC67E" wp14:editId="3BA91C16">
            <wp:simplePos x="0" y="0"/>
            <wp:positionH relativeFrom="column">
              <wp:posOffset>-899795</wp:posOffset>
            </wp:positionH>
            <wp:positionV relativeFrom="paragraph">
              <wp:posOffset>586105</wp:posOffset>
            </wp:positionV>
            <wp:extent cx="7543800" cy="7824470"/>
            <wp:effectExtent l="0" t="0" r="0" b="5080"/>
            <wp:wrapSquare wrapText="bothSides"/>
            <wp:docPr id="1863958186"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3958186" name="Afbeelding 1"/>
                    <pic:cNvPicPr>
                      <a:picLocks noChangeAspect="1" noChangeArrowheads="1"/>
                    </pic:cNvPicPr>
                  </pic:nvPicPr>
                  <pic:blipFill>
                    <a:blip r:embed="rId11" cstate="print">
                      <a:extLst>
                        <a:ext uri="{28A0092B-C50C-407E-A947-70E740481C1C}">
                          <a14:useLocalDpi xmlns:a14="http://schemas.microsoft.com/office/drawing/2010/main" val="0"/>
                        </a:ext>
                      </a:extLst>
                    </a:blip>
                    <a:srcRect l="20197" r="20197"/>
                    <a:stretch>
                      <a:fillRect/>
                    </a:stretch>
                  </pic:blipFill>
                  <pic:spPr bwMode="auto">
                    <a:xfrm>
                      <a:off x="0" y="0"/>
                      <a:ext cx="7543800" cy="78244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F6A96">
        <w:rPr>
          <w:noProof/>
        </w:rPr>
        <w:drawing>
          <wp:anchor distT="0" distB="0" distL="114300" distR="114300" simplePos="0" relativeHeight="251658246" behindDoc="0" locked="0" layoutInCell="1" allowOverlap="1" wp14:anchorId="0056F23A" wp14:editId="6A3B34F6">
            <wp:simplePos x="0" y="0"/>
            <wp:positionH relativeFrom="column">
              <wp:posOffset>4554220</wp:posOffset>
            </wp:positionH>
            <wp:positionV relativeFrom="paragraph">
              <wp:posOffset>-628346</wp:posOffset>
            </wp:positionV>
            <wp:extent cx="1693545" cy="635000"/>
            <wp:effectExtent l="0" t="0" r="0" b="0"/>
            <wp:wrapNone/>
            <wp:docPr id="40" name="Afbeelding 1" descr="P1#y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Afbeelding 40" descr="P1#y4"/>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93545" cy="635000"/>
                    </a:xfrm>
                    <a:prstGeom prst="rect">
                      <a:avLst/>
                    </a:prstGeom>
                    <a:noFill/>
                    <a:ln>
                      <a:noFill/>
                    </a:ln>
                  </pic:spPr>
                </pic:pic>
              </a:graphicData>
            </a:graphic>
            <wp14:sizeRelH relativeFrom="page">
              <wp14:pctWidth>0</wp14:pctWidth>
            </wp14:sizeRelH>
            <wp14:sizeRelV relativeFrom="page">
              <wp14:pctHeight>0</wp14:pctHeight>
            </wp14:sizeRelV>
          </wp:anchor>
        </w:drawing>
      </w:r>
      <w:r w:rsidR="004F6A96" w:rsidRPr="00174EC8">
        <w:rPr>
          <w:rFonts w:cstheme="minorHAnsi"/>
          <w:noProof/>
          <w:color w:val="2C307E"/>
        </w:rPr>
        <mc:AlternateContent>
          <mc:Choice Requires="wps">
            <w:drawing>
              <wp:anchor distT="0" distB="0" distL="114300" distR="114300" simplePos="0" relativeHeight="251658242" behindDoc="0" locked="0" layoutInCell="1" allowOverlap="1" wp14:anchorId="7AAB8B29" wp14:editId="5E3E3B7B">
                <wp:simplePos x="0" y="0"/>
                <wp:positionH relativeFrom="margin">
                  <wp:posOffset>-308914</wp:posOffset>
                </wp:positionH>
                <wp:positionV relativeFrom="paragraph">
                  <wp:posOffset>76835</wp:posOffset>
                </wp:positionV>
                <wp:extent cx="6526530" cy="931545"/>
                <wp:effectExtent l="0" t="0" r="0" b="0"/>
                <wp:wrapSquare wrapText="bothSides"/>
                <wp:docPr id="36" name="Tekstvak 36" descr="P1TB17bA#y1"/>
                <wp:cNvGraphicFramePr/>
                <a:graphic xmlns:a="http://schemas.openxmlformats.org/drawingml/2006/main">
                  <a:graphicData uri="http://schemas.microsoft.com/office/word/2010/wordprocessingShape">
                    <wps:wsp>
                      <wps:cNvSpPr txBox="1"/>
                      <wps:spPr>
                        <a:xfrm>
                          <a:off x="0" y="0"/>
                          <a:ext cx="6526530" cy="931545"/>
                        </a:xfrm>
                        <a:prstGeom prst="rect">
                          <a:avLst/>
                        </a:prstGeom>
                        <a:noFill/>
                        <a:ln w="6350" cap="flat" cmpd="sng" algn="ctr">
                          <a:solidFill>
                            <a:prstClr val="black">
                              <a:alpha val="0"/>
                            </a:prstClr>
                          </a:solidFill>
                          <a:prstDash val="solid"/>
                          <a:round/>
                          <a:headEnd type="none" w="med" len="med"/>
                          <a:tailEnd type="none" w="med" len="med"/>
                        </a:ln>
                      </wps:spPr>
                      <wps:txbx>
                        <w:txbxContent>
                          <w:p w14:paraId="4F532770" w14:textId="77777777" w:rsidR="004F6A96" w:rsidRPr="00426D1E" w:rsidRDefault="004F6A96" w:rsidP="004F6A96">
                            <w:pPr>
                              <w:rPr>
                                <w:rFonts w:ascii="RijksoverheidSansHeadingTT" w:hAnsi="RijksoverheidSansHeadingTT"/>
                                <w:b/>
                                <w:bCs/>
                                <w:color w:val="2C307E"/>
                                <w:sz w:val="72"/>
                                <w:szCs w:val="72"/>
                              </w:rPr>
                            </w:pPr>
                            <w:r w:rsidRPr="00426D1E">
                              <w:rPr>
                                <w:rFonts w:ascii="RijksoverheidSansHeadingTT" w:hAnsi="RijksoverheidSansHeadingTT"/>
                                <w:b/>
                                <w:bCs/>
                                <w:color w:val="2C307E"/>
                                <w:sz w:val="56"/>
                                <w:szCs w:val="56"/>
                              </w:rPr>
                              <w:t xml:space="preserve">Laden van </w:t>
                            </w:r>
                            <w:r>
                              <w:rPr>
                                <w:rFonts w:ascii="RijksoverheidSansHeadingTT" w:hAnsi="RijksoverheidSansHeadingTT"/>
                                <w:b/>
                                <w:bCs/>
                                <w:color w:val="2C307E"/>
                                <w:sz w:val="56"/>
                                <w:szCs w:val="56"/>
                              </w:rPr>
                              <w:t>elektrische auto’s</w:t>
                            </w:r>
                            <w:r w:rsidRPr="00426D1E">
                              <w:rPr>
                                <w:rFonts w:ascii="RijksoverheidSansHeadingTT" w:hAnsi="RijksoverheidSansHeadingTT"/>
                                <w:b/>
                                <w:bCs/>
                                <w:color w:val="2C307E"/>
                                <w:sz w:val="56"/>
                                <w:szCs w:val="56"/>
                              </w:rPr>
                              <w:t xml:space="preserve"> in Nederland</w:t>
                            </w:r>
                            <w:r w:rsidRPr="00426D1E">
                              <w:rPr>
                                <w:rFonts w:ascii="RijksoverheidSansHeadingTT" w:hAnsi="RijksoverheidSansHeadingTT"/>
                                <w:b/>
                                <w:bCs/>
                                <w:color w:val="2C307E"/>
                                <w:sz w:val="56"/>
                                <w:szCs w:val="56"/>
                              </w:rPr>
                              <w:br/>
                            </w:r>
                            <w:r w:rsidRPr="00426D1E">
                              <w:rPr>
                                <w:rFonts w:ascii="RijksoverheidSansHeadingTT" w:hAnsi="RijksoverheidSansHeadingTT"/>
                                <w:b/>
                                <w:i/>
                                <w:iCs/>
                                <w:color w:val="2C307E"/>
                                <w:sz w:val="48"/>
                                <w:szCs w:val="48"/>
                              </w:rPr>
                              <w:t>Ervaringen en meningen van EV-rijders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AAB8B29" id="_x0000_t202" coordsize="21600,21600" o:spt="202" path="m,l,21600r21600,l21600,xe">
                <v:stroke joinstyle="miter"/>
                <v:path gradientshapeok="t" o:connecttype="rect"/>
              </v:shapetype>
              <v:shape id="Tekstvak 36" o:spid="_x0000_s1026" type="#_x0000_t202" alt="P1TB17bA#y1" style="position:absolute;margin-left:-24.3pt;margin-top:6.05pt;width:513.9pt;height:73.35pt;z-index:25165824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FBzdwIAAAkFAAAOAAAAZHJzL2Uyb0RvYy54bWysVMFuGjEQvVfqP1i+NwsE0gZliWjSVJWi&#10;JBKpch68Nruq13ZtA0u/vs9eCFHSQ1X1Ysae4c2bmTd7cdm1mm2kD401JR+eDDiTRtiqMauSf3+8&#10;+fCJsxDJVKStkSXfycAvZ+/fXWzdVI5sbXUlPQOICdOtK3kdo5sWRRC1bCmcWCcNnMr6liKuflVU&#10;nrZAb3UxGgzOiq31lfNWyBDwet07+SzjKyVFvFcqyMh0ycEt5tPnc5nOYnZB05UnVzdiT4P+gUVL&#10;jUHSZ6hrisTWvnkD1TbC22BVPBG2LaxSjZC5BlQzHLyqZlGTk7kWNCe45zaF/wcr7jYL9+BZ7D7b&#10;DgNMDdm6MA14TPV0yrfpF0wZ/Gjh7rltsotM4PFsMjqbnMIl4Ds/HU7GkwRTHP/tfIhfpW1ZMkru&#10;MZbcLdrchtiHHkJSMmNvGq3zaLRhW2Q4nSR4gkCUpgizdVXJg1lxRnoF5YnoM2KwuqnSvxNOwrzS&#10;nm0I019qEj/6rNrV1D9mAYDoPjKTfgNxTaHuw7Or14y3a1NlirWk6oupWNw5CNxA5jxxbmXFmZbg&#10;lqwcGanRfxMJQtqAy3EQyYrdsgNMMpe22mFo3vZ6Dk7cNKj1lkJ8IA8Bo1tYyniPQ2kLNnZvcVZb&#10;/+tP7ykeuoIX9LEQaO/PNXkUo78ZKO58OB4DNubLePJxhIt/6Vm+9Jh1e2XR9SHW34lspvioD6by&#10;tn3C7s5TVrjICOQuOYbbm1exX1PsvpDzeQ7CzjiKt2bhRII+zPixeyLv9uKKkOWdPawOTV9prI/t&#10;VTZfR6uaLMBjV/d9x75lNey/DWmhX95z1PELNvsNAAD//wMAUEsDBBQABgAIAAAAIQAz4HC+4gAA&#10;AAoBAAAPAAAAZHJzL2Rvd25yZXYueG1sTI/BTsMwDIbvSLxDZCQuaEtXwehK0wkmjQOIA2PANW28&#10;tlrjVEm2FZ4ec4Kj/X/6/blYjrYXR/Shc6RgNk1AINXOdNQo2L6tJxmIEDUZ3TtCBV8YYFmenxU6&#10;N+5Er3jcxEZwCYVcK2hjHHIpQ92i1WHqBiTOds5bHXn0jTRen7jc9jJNkrm0uiO+0OoBVy3W+83B&#10;Kni8ev58rz5enrb+e7V/2A1hPZqg1OXFeH8HIuIY/2D41Wd1KNmpcgcyQfQKJtfZnFEO0hkIBha3&#10;ixRExYubLANZFvL/C+UPAAAA//8DAFBLAQItABQABgAIAAAAIQC2gziS/gAAAOEBAAATAAAAAAAA&#10;AAAAAAAAAAAAAABbQ29udGVudF9UeXBlc10ueG1sUEsBAi0AFAAGAAgAAAAhADj9If/WAAAAlAEA&#10;AAsAAAAAAAAAAAAAAAAALwEAAF9yZWxzLy5yZWxzUEsBAi0AFAAGAAgAAAAhAGp8UHN3AgAACQUA&#10;AA4AAAAAAAAAAAAAAAAALgIAAGRycy9lMm9Eb2MueG1sUEsBAi0AFAAGAAgAAAAhADPgcL7iAAAA&#10;CgEAAA8AAAAAAAAAAAAAAAAA0QQAAGRycy9kb3ducmV2LnhtbFBLBQYAAAAABAAEAPMAAADgBQAA&#10;AAA=&#10;" filled="f" strokeweight=".5pt">
                <v:stroke opacity="0" joinstyle="round"/>
                <v:textbox>
                  <w:txbxContent>
                    <w:p w14:paraId="4F532770" w14:textId="77777777" w:rsidR="004F6A96" w:rsidRPr="00426D1E" w:rsidRDefault="004F6A96" w:rsidP="004F6A96">
                      <w:pPr>
                        <w:rPr>
                          <w:rFonts w:ascii="RijksoverheidSansHeadingTT" w:hAnsi="RijksoverheidSansHeadingTT"/>
                          <w:b/>
                          <w:bCs/>
                          <w:color w:val="2C307E"/>
                          <w:sz w:val="72"/>
                          <w:szCs w:val="72"/>
                        </w:rPr>
                      </w:pPr>
                      <w:r w:rsidRPr="00426D1E">
                        <w:rPr>
                          <w:rFonts w:ascii="RijksoverheidSansHeadingTT" w:hAnsi="RijksoverheidSansHeadingTT"/>
                          <w:b/>
                          <w:bCs/>
                          <w:color w:val="2C307E"/>
                          <w:sz w:val="56"/>
                          <w:szCs w:val="56"/>
                        </w:rPr>
                        <w:t xml:space="preserve">Laden van </w:t>
                      </w:r>
                      <w:r>
                        <w:rPr>
                          <w:rFonts w:ascii="RijksoverheidSansHeadingTT" w:hAnsi="RijksoverheidSansHeadingTT"/>
                          <w:b/>
                          <w:bCs/>
                          <w:color w:val="2C307E"/>
                          <w:sz w:val="56"/>
                          <w:szCs w:val="56"/>
                        </w:rPr>
                        <w:t>elektrische auto’s</w:t>
                      </w:r>
                      <w:r w:rsidRPr="00426D1E">
                        <w:rPr>
                          <w:rFonts w:ascii="RijksoverheidSansHeadingTT" w:hAnsi="RijksoverheidSansHeadingTT"/>
                          <w:b/>
                          <w:bCs/>
                          <w:color w:val="2C307E"/>
                          <w:sz w:val="56"/>
                          <w:szCs w:val="56"/>
                        </w:rPr>
                        <w:t xml:space="preserve"> in Nederland</w:t>
                      </w:r>
                      <w:r w:rsidRPr="00426D1E">
                        <w:rPr>
                          <w:rFonts w:ascii="RijksoverheidSansHeadingTT" w:hAnsi="RijksoverheidSansHeadingTT"/>
                          <w:b/>
                          <w:bCs/>
                          <w:color w:val="2C307E"/>
                          <w:sz w:val="56"/>
                          <w:szCs w:val="56"/>
                        </w:rPr>
                        <w:br/>
                      </w:r>
                      <w:r w:rsidRPr="00426D1E">
                        <w:rPr>
                          <w:rFonts w:ascii="RijksoverheidSansHeadingTT" w:hAnsi="RijksoverheidSansHeadingTT"/>
                          <w:b/>
                          <w:i/>
                          <w:iCs/>
                          <w:color w:val="2C307E"/>
                          <w:sz w:val="48"/>
                          <w:szCs w:val="48"/>
                        </w:rPr>
                        <w:t>Ervaringen en meningen van EV-rijders</w:t>
                      </w:r>
                    </w:p>
                  </w:txbxContent>
                </v:textbox>
                <w10:wrap type="square" anchorx="margin"/>
              </v:shape>
            </w:pict>
          </mc:Fallback>
        </mc:AlternateContent>
      </w:r>
      <w:r w:rsidR="004F6A96" w:rsidRPr="00FB15B4">
        <w:rPr>
          <w:rFonts w:cstheme="minorHAnsi"/>
          <w:noProof/>
          <w:lang w:eastAsia="nl-NL"/>
        </w:rPr>
        <w:drawing>
          <wp:anchor distT="0" distB="0" distL="114300" distR="114300" simplePos="0" relativeHeight="251658249" behindDoc="0" locked="0" layoutInCell="1" allowOverlap="1" wp14:anchorId="1D625FCE" wp14:editId="49942549">
            <wp:simplePos x="0" y="0"/>
            <wp:positionH relativeFrom="margin">
              <wp:posOffset>4651375</wp:posOffset>
            </wp:positionH>
            <wp:positionV relativeFrom="paragraph">
              <wp:posOffset>8835390</wp:posOffset>
            </wp:positionV>
            <wp:extent cx="1449705" cy="400050"/>
            <wp:effectExtent l="0" t="0" r="0" b="0"/>
            <wp:wrapNone/>
            <wp:docPr id="54" name="Afbeelding 54" descr="P2#y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Afbeelding 54" descr="P2#y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49705" cy="400050"/>
                    </a:xfrm>
                    <a:prstGeom prst="rect">
                      <a:avLst/>
                    </a:prstGeom>
                    <a:noFill/>
                    <a:ln>
                      <a:noFill/>
                    </a:ln>
                  </pic:spPr>
                </pic:pic>
              </a:graphicData>
            </a:graphic>
          </wp:anchor>
        </w:drawing>
      </w:r>
      <w:r w:rsidR="004F6A96" w:rsidRPr="00FB15B4">
        <w:rPr>
          <w:rFonts w:cstheme="minorHAnsi"/>
          <w:noProof/>
        </w:rPr>
        <w:drawing>
          <wp:anchor distT="0" distB="0" distL="114300" distR="114300" simplePos="0" relativeHeight="251658250" behindDoc="0" locked="0" layoutInCell="1" allowOverlap="1" wp14:anchorId="06937D3F" wp14:editId="64F13796">
            <wp:simplePos x="0" y="0"/>
            <wp:positionH relativeFrom="column">
              <wp:posOffset>3469640</wp:posOffset>
            </wp:positionH>
            <wp:positionV relativeFrom="page">
              <wp:posOffset>9490075</wp:posOffset>
            </wp:positionV>
            <wp:extent cx="885825" cy="885825"/>
            <wp:effectExtent l="0" t="0" r="9525" b="9525"/>
            <wp:wrapSquare wrapText="bothSides"/>
            <wp:docPr id="61" name="Afbeelding 61" descr="Onderzoeken en testen van slimme, duurzame mobiliteit • ElaadN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nderzoeken en testen van slimme, duurzame mobiliteit • ElaadNL"/>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85825" cy="885825"/>
                    </a:xfrm>
                    <a:prstGeom prst="rect">
                      <a:avLst/>
                    </a:prstGeom>
                    <a:noFill/>
                    <a:ln>
                      <a:noFill/>
                    </a:ln>
                  </pic:spPr>
                </pic:pic>
              </a:graphicData>
            </a:graphic>
          </wp:anchor>
        </w:drawing>
      </w:r>
      <w:r w:rsidR="004F6A96" w:rsidRPr="00FB15B4">
        <w:rPr>
          <w:rFonts w:cstheme="minorHAnsi"/>
          <w:noProof/>
          <w:color w:val="2C307E"/>
          <w:lang w:eastAsia="nl-NL"/>
        </w:rPr>
        <w:drawing>
          <wp:anchor distT="0" distB="0" distL="114300" distR="114300" simplePos="0" relativeHeight="251658248" behindDoc="0" locked="0" layoutInCell="1" allowOverlap="1" wp14:anchorId="1B6FD9A8" wp14:editId="3AA4F253">
            <wp:simplePos x="0" y="0"/>
            <wp:positionH relativeFrom="margin">
              <wp:posOffset>2218055</wp:posOffset>
            </wp:positionH>
            <wp:positionV relativeFrom="paragraph">
              <wp:posOffset>8856980</wp:posOffset>
            </wp:positionV>
            <wp:extent cx="843280" cy="350520"/>
            <wp:effectExtent l="0" t="0" r="0" b="0"/>
            <wp:wrapNone/>
            <wp:docPr id="53" name="Afbeelding 53" descr="P2#y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Afbeelding 53" descr="P2#y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43280" cy="3505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F6A96">
        <w:rPr>
          <w:noProof/>
        </w:rPr>
        <w:drawing>
          <wp:anchor distT="0" distB="0" distL="114300" distR="114300" simplePos="0" relativeHeight="251658247" behindDoc="0" locked="0" layoutInCell="1" allowOverlap="1" wp14:anchorId="1BB9E4CC" wp14:editId="1B676937">
            <wp:simplePos x="0" y="0"/>
            <wp:positionH relativeFrom="column">
              <wp:posOffset>-534035</wp:posOffset>
            </wp:positionH>
            <wp:positionV relativeFrom="paragraph">
              <wp:posOffset>8618220</wp:posOffset>
            </wp:positionV>
            <wp:extent cx="2655570" cy="826770"/>
            <wp:effectExtent l="0" t="0" r="0" b="0"/>
            <wp:wrapNone/>
            <wp:docPr id="1609230212"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55570" cy="826770"/>
                    </a:xfrm>
                    <a:prstGeom prst="rect">
                      <a:avLst/>
                    </a:prstGeom>
                    <a:noFill/>
                    <a:ln>
                      <a:noFill/>
                    </a:ln>
                  </pic:spPr>
                </pic:pic>
              </a:graphicData>
            </a:graphic>
            <wp14:sizeRelH relativeFrom="page">
              <wp14:pctWidth>0</wp14:pctWidth>
            </wp14:sizeRelH>
            <wp14:sizeRelV relativeFrom="page">
              <wp14:pctHeight>0</wp14:pctHeight>
            </wp14:sizeRelV>
          </wp:anchor>
        </w:drawing>
      </w:r>
      <w:r w:rsidR="004F6A96" w:rsidRPr="00174EC8">
        <w:rPr>
          <w:rFonts w:cstheme="minorHAnsi"/>
          <w:noProof/>
          <w:color w:val="2C307E"/>
        </w:rPr>
        <mc:AlternateContent>
          <mc:Choice Requires="wps">
            <w:drawing>
              <wp:anchor distT="0" distB="0" distL="114300" distR="114300" simplePos="0" relativeHeight="251658244" behindDoc="0" locked="0" layoutInCell="1" allowOverlap="1" wp14:anchorId="6D354D5F" wp14:editId="2F84B1B6">
                <wp:simplePos x="0" y="0"/>
                <wp:positionH relativeFrom="margin">
                  <wp:posOffset>-598805</wp:posOffset>
                </wp:positionH>
                <wp:positionV relativeFrom="paragraph">
                  <wp:posOffset>-577215</wp:posOffset>
                </wp:positionV>
                <wp:extent cx="6359552" cy="565812"/>
                <wp:effectExtent l="0" t="0" r="0" b="0"/>
                <wp:wrapNone/>
                <wp:docPr id="728851392" name="Tekstvak 728851392" descr="P1TB16bA#y1"/>
                <wp:cNvGraphicFramePr/>
                <a:graphic xmlns:a="http://schemas.openxmlformats.org/drawingml/2006/main">
                  <a:graphicData uri="http://schemas.microsoft.com/office/word/2010/wordprocessingShape">
                    <wps:wsp>
                      <wps:cNvSpPr txBox="1"/>
                      <wps:spPr>
                        <a:xfrm>
                          <a:off x="0" y="0"/>
                          <a:ext cx="6359552" cy="565812"/>
                        </a:xfrm>
                        <a:prstGeom prst="rect">
                          <a:avLst/>
                        </a:prstGeom>
                        <a:noFill/>
                        <a:ln w="6350" cap="flat" cmpd="sng" algn="ctr">
                          <a:solidFill>
                            <a:prstClr val="black">
                              <a:alpha val="0"/>
                            </a:prstClr>
                          </a:solidFill>
                          <a:prstDash val="solid"/>
                          <a:round/>
                          <a:headEnd type="none" w="med" len="med"/>
                          <a:tailEnd type="none" w="med" len="med"/>
                        </a:ln>
                      </wps:spPr>
                      <wps:txbx>
                        <w:txbxContent>
                          <w:p w14:paraId="0E518D34" w14:textId="0B358A2A" w:rsidR="004F6A96" w:rsidRPr="00426D1E" w:rsidRDefault="004F6A96" w:rsidP="004F6A96">
                            <w:pPr>
                              <w:rPr>
                                <w:rFonts w:ascii="RijksoverheidSansHeadingTT" w:hAnsi="RijksoverheidSansHeadingTT"/>
                                <w:b/>
                                <w:bCs/>
                                <w:color w:val="FFFFFF" w:themeColor="background1"/>
                                <w:sz w:val="44"/>
                                <w:szCs w:val="44"/>
                              </w:rPr>
                            </w:pPr>
                            <w:r w:rsidRPr="00426D1E">
                              <w:rPr>
                                <w:rFonts w:ascii="RijksoverheidSansHeadingTT" w:hAnsi="RijksoverheidSansHeadingTT"/>
                                <w:b/>
                                <w:bCs/>
                                <w:color w:val="FFFFFF" w:themeColor="background1"/>
                                <w:sz w:val="40"/>
                                <w:szCs w:val="40"/>
                              </w:rPr>
                              <w:t>Nationaal Laadonderzoek 202</w:t>
                            </w:r>
                            <w:r w:rsidR="00325C98">
                              <w:rPr>
                                <w:rFonts w:ascii="RijksoverheidSansHeadingTT" w:hAnsi="RijksoverheidSansHeadingTT"/>
                                <w:b/>
                                <w:bCs/>
                                <w:color w:val="FFFFFF" w:themeColor="background1"/>
                                <w:sz w:val="40"/>
                                <w:szCs w:val="40"/>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354D5F" id="Tekstvak 728851392" o:spid="_x0000_s1027" type="#_x0000_t202" alt="P1TB16bA#y1" style="position:absolute;margin-left:-47.15pt;margin-top:-45.45pt;width:500.75pt;height:44.55pt;z-index:2516582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oEOewIAABAFAAAOAAAAZHJzL2Uyb0RvYy54bWysVE1PGzEQvVfqf7B8L5ukCYWIDUpDqSoh&#10;QIKK88Trza7qr9pOsumv77M3CQh6qKpevOOZ2Tdfb3xx2WnFNtKH1pqSD08GnEkjbNWaVcm/P15/&#10;OOMsRDIVKWtkyXcy8MvZ+3cXWzeVI9tYVUnPAGLCdOtK3sTopkURRCM1hRPrpIGxtl5TxNWvisrT&#10;FuhaFaPB4LTYWl85b4UMAdqr3shnGb+upYh3dR1kZKrkyC3m0+dzmc5idkHTlSfXtGKfBv1DFppa&#10;g6BHqCuKxNa+fQOlW+FtsHU8EVYXtq5bIXMNqGY4eFXNQ0NO5lrQnOCObQr/D1bcbh7cvWex+2w7&#10;DDA1ZOvCNECZ6ulqr9MXmTLY0cLdsW2yi0xAefpxcj6ZjDgTsE1OJ2fDUYIpnv92PsSv0mqWhJJ7&#10;jCV3izY3IfauB5cUzNjrVqk8GmXYNkdAZEEgSK0oQtSuKnkwK85IrcA8EX1GDFa1Vfo74STMhfJs&#10;Q5j+UpH40UdVrqFemQmARPeeOek3EFcUmt49m3rOeLs2VU6xkVR9MRWLOweCG9Ccp5y1rDhTErkl&#10;KXtGatXfeCIhZZDL8yCSFLtlx1qUfRzS0lY7zM7bntbBiesWJd9QiPfkwWM0DbsZ73DUyiIpu5c4&#10;a6z/9Sd98ge9YEUV2At0+eeaPGpS3wyIdz4cj9Mi5ct48mmEi39pWb60mLVeWDR/iFfAiSwm/6gO&#10;Yu2tfsIKz1NUmMgIxC45ZtyLi9hvK54AIefz7ITVcRRvzIMTCfow6sfuibzbcyyCnbf2sEE0fUW1&#10;3rcn23wdbd1mHqY+913dtx9rl0mxfyLSXr+8Z6/nh2z2GwAA//8DAFBLAwQUAAYACAAAACEAKtg/&#10;o+EAAAAKAQAADwAAAGRycy9kb3ducmV2LnhtbEyPTU/CQBCG7yb+h82YeDGwCxqhtVuiJHjQeABR&#10;r9vu0DZ0Z5vuAtVf73DS23w8eeeZbDG4VhyxD40nDZOxAoFUettQpWH7vhrNQYRoyJrWE2r4xgCL&#10;/PIiM6n1J1rjcRMrwSEUUqOhjrFLpQxljc6Ese+QeLfzvTOR276StjcnDnetnCp1L51piC/UpsNl&#10;jeV+c3Aanm9evz6Kz7eXbf+z3D/turAabND6+mp4fAARcYh/MJz1WR1ydir8gWwQrYZRcnfL6LlQ&#10;CQgmEjWbgih4MpmDzDP5/4X8FwAA//8DAFBLAQItABQABgAIAAAAIQC2gziS/gAAAOEBAAATAAAA&#10;AAAAAAAAAAAAAAAAAABbQ29udGVudF9UeXBlc10ueG1sUEsBAi0AFAAGAAgAAAAhADj9If/WAAAA&#10;lAEAAAsAAAAAAAAAAAAAAAAALwEAAF9yZWxzLy5yZWxzUEsBAi0AFAAGAAgAAAAhAFuegQ57AgAA&#10;EAUAAA4AAAAAAAAAAAAAAAAALgIAAGRycy9lMm9Eb2MueG1sUEsBAi0AFAAGAAgAAAAhACrYP6Ph&#10;AAAACgEAAA8AAAAAAAAAAAAAAAAA1QQAAGRycy9kb3ducmV2LnhtbFBLBQYAAAAABAAEAPMAAADj&#10;BQAAAAA=&#10;" filled="f" strokeweight=".5pt">
                <v:stroke opacity="0" joinstyle="round"/>
                <v:textbox>
                  <w:txbxContent>
                    <w:p w14:paraId="0E518D34" w14:textId="0B358A2A" w:rsidR="004F6A96" w:rsidRPr="00426D1E" w:rsidRDefault="004F6A96" w:rsidP="004F6A96">
                      <w:pPr>
                        <w:rPr>
                          <w:rFonts w:ascii="RijksoverheidSansHeadingTT" w:hAnsi="RijksoverheidSansHeadingTT"/>
                          <w:b/>
                          <w:bCs/>
                          <w:color w:val="FFFFFF" w:themeColor="background1"/>
                          <w:sz w:val="44"/>
                          <w:szCs w:val="44"/>
                        </w:rPr>
                      </w:pPr>
                      <w:r w:rsidRPr="00426D1E">
                        <w:rPr>
                          <w:rFonts w:ascii="RijksoverheidSansHeadingTT" w:hAnsi="RijksoverheidSansHeadingTT"/>
                          <w:b/>
                          <w:bCs/>
                          <w:color w:val="FFFFFF" w:themeColor="background1"/>
                          <w:sz w:val="40"/>
                          <w:szCs w:val="40"/>
                        </w:rPr>
                        <w:t>Nationaal Laadonderzoek 202</w:t>
                      </w:r>
                      <w:r w:rsidR="00325C98">
                        <w:rPr>
                          <w:rFonts w:ascii="RijksoverheidSansHeadingTT" w:hAnsi="RijksoverheidSansHeadingTT"/>
                          <w:b/>
                          <w:bCs/>
                          <w:color w:val="FFFFFF" w:themeColor="background1"/>
                          <w:sz w:val="40"/>
                          <w:szCs w:val="40"/>
                        </w:rPr>
                        <w:t>5</w:t>
                      </w:r>
                    </w:p>
                  </w:txbxContent>
                </v:textbox>
                <w10:wrap anchorx="margin"/>
              </v:shape>
            </w:pict>
          </mc:Fallback>
        </mc:AlternateContent>
      </w:r>
      <w:r w:rsidR="004F6A96" w:rsidRPr="00174EC8">
        <w:rPr>
          <w:rFonts w:cstheme="minorHAnsi"/>
          <w:noProof/>
          <w:color w:val="2C307E"/>
        </w:rPr>
        <mc:AlternateContent>
          <mc:Choice Requires="wps">
            <w:drawing>
              <wp:anchor distT="0" distB="0" distL="114300" distR="114300" simplePos="0" relativeHeight="251658243" behindDoc="0" locked="0" layoutInCell="1" allowOverlap="1" wp14:anchorId="753B80F8" wp14:editId="1DE05967">
                <wp:simplePos x="0" y="0"/>
                <wp:positionH relativeFrom="margin">
                  <wp:posOffset>-2688838</wp:posOffset>
                </wp:positionH>
                <wp:positionV relativeFrom="paragraph">
                  <wp:posOffset>-3619141</wp:posOffset>
                </wp:positionV>
                <wp:extent cx="6526530" cy="733245"/>
                <wp:effectExtent l="0" t="0" r="0" b="0"/>
                <wp:wrapNone/>
                <wp:docPr id="37" name="Tekstvak 37" descr="P1TB16bA#y1"/>
                <wp:cNvGraphicFramePr/>
                <a:graphic xmlns:a="http://schemas.openxmlformats.org/drawingml/2006/main">
                  <a:graphicData uri="http://schemas.microsoft.com/office/word/2010/wordprocessingShape">
                    <wps:wsp>
                      <wps:cNvSpPr txBox="1"/>
                      <wps:spPr>
                        <a:xfrm>
                          <a:off x="0" y="0"/>
                          <a:ext cx="6526530" cy="733245"/>
                        </a:xfrm>
                        <a:prstGeom prst="rect">
                          <a:avLst/>
                        </a:prstGeom>
                        <a:noFill/>
                        <a:ln w="6350" cap="flat" cmpd="sng" algn="ctr">
                          <a:solidFill>
                            <a:prstClr val="black">
                              <a:alpha val="0"/>
                            </a:prstClr>
                          </a:solidFill>
                          <a:prstDash val="solid"/>
                          <a:round/>
                          <a:headEnd type="none" w="med" len="med"/>
                          <a:tailEnd type="none" w="med" len="med"/>
                        </a:ln>
                      </wps:spPr>
                      <wps:txbx>
                        <w:txbxContent>
                          <w:p w14:paraId="5B48D191" w14:textId="77777777" w:rsidR="004F6A96" w:rsidRPr="00426D1E" w:rsidRDefault="004F6A96" w:rsidP="004F6A96">
                            <w:pPr>
                              <w:rPr>
                                <w:rFonts w:ascii="RijksoverheidSansHeadingTT" w:hAnsi="RijksoverheidSansHeadingTT"/>
                                <w:b/>
                                <w:bCs/>
                                <w:color w:val="FFFFFF" w:themeColor="background1"/>
                                <w:sz w:val="44"/>
                                <w:szCs w:val="44"/>
                              </w:rPr>
                            </w:pPr>
                            <w:r w:rsidRPr="00426D1E">
                              <w:rPr>
                                <w:rFonts w:ascii="RijksoverheidSansHeadingTT" w:hAnsi="RijksoverheidSansHeadingTT"/>
                                <w:b/>
                                <w:bCs/>
                                <w:color w:val="FFFFFF" w:themeColor="background1"/>
                                <w:sz w:val="40"/>
                                <w:szCs w:val="40"/>
                              </w:rPr>
                              <w:t>Nationaal Laadonderzoek 202</w:t>
                            </w:r>
                            <w:r>
                              <w:rPr>
                                <w:rFonts w:ascii="RijksoverheidSansHeadingTT" w:hAnsi="RijksoverheidSansHeadingTT"/>
                                <w:b/>
                                <w:bCs/>
                                <w:color w:val="FFFFFF" w:themeColor="background1"/>
                                <w:sz w:val="40"/>
                                <w:szCs w:val="40"/>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53B80F8" id="Tekstvak 37" o:spid="_x0000_s1028" type="#_x0000_t202" alt="P1TB16bA#y1" style="position:absolute;margin-left:-211.7pt;margin-top:-284.95pt;width:513.9pt;height:57.75pt;z-index:251658243;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W3afQIAABAFAAAOAAAAZHJzL2Uyb0RvYy54bWysVE1PGzEQvVfqf7B8L5tPaCM2KIVSVUKA&#10;BBXnidfOruq1XdtJNv31ffYmEEEPVdWLd+yZfX4z88bnF12r2Ub60FhT8uHJgDNphK0asyr598fr&#10;Dx85C5FMRdoaWfKdDPxi/v7d+dbN5MjWVlfSM4CYMNu6ktcxullRBFHLlsKJddLAqaxvKWLrV0Xl&#10;aQv0VhejweC02FpfOW+FDAGnV72TzzO+UlLEO6WCjEyXHNxiXn1el2kt5uc0W3lydSP2NOgfWLTU&#10;GFz6DHVFkdjaN2+g2kZ4G6yKJ8K2hVWqETLngGyGg1fZPNTkZM4FxQnuuUzh/8GK282Du/csdp9t&#10;hwamgmxdmAUcpnw65dv0BVMGP0q4ey6b7CITODydjk6nY7gEfGfj8WgyTTDFy9/Oh/hV2pYlo+Qe&#10;bcnVos1NiH3oISRdZux1o3VujTZsixvG0wRPEIjSFGG2rip5MCvOSK+gPBF9RgxWN1X6O+EkzEvt&#10;2YbQ/aUm8aO/Vbua+sMsABDdR2bSbyCuKNR9eHb1mvF2bapMsZZUfTEVizsHgRvInCfOraw40xLc&#10;kpUjIzX6byJBSBtweWlEsmK37FiDtEeHJi1ttUPvvO1lHZy4bpDyDYV4Tx46RtEwm/EOi9IWpOze&#10;4qy2/tefzlM85AUvssBcoMo/1+SRk/5mILxPw8kEsDFvJtOzETb+2LM89ph1e2lR/CFeASeymeKj&#10;PpjK2/YJI7xIt8JFRuDukqPHvXkZ+2nFEyDkYpGDMDqO4o15cCJBH1r92D2Rd3uNRajz1h4miGav&#10;pNbH9mJbrKNVTdZhqnNf1X35MXZZFPsnIs318T5HvTxk898AAAD//wMAUEsDBBQABgAIAAAAIQB/&#10;l1wY5AAAAA4BAAAPAAAAZHJzL2Rvd25yZXYueG1sTI9BT8JAEIXvJv6HzZh4MbAVSwO1W6IkeJB4&#10;EFCv2+7QNnRnm+4C1V/vcNLbm3kvb77JFoNtxQl73zhScD+OQCCVzjRUKdhtV6MZCB80Gd06QgXf&#10;6GGRX19lOjXuTO942oRKcAn5VCuoQ+hSKX1Zo9V+7Dok9vautzrw2FfS9PrM5baVkyhKpNUN8YVa&#10;d7issTxsjlbBy93666P4fHvd9T/Lw/O+86vBeKVub4anRxABh/AXhgs+o0POTIU7kvGiVTCKJw8x&#10;Z1lNk/kcBGeSKOZVcTGnrGSeyf9v5L8AAAD//wMAUEsBAi0AFAAGAAgAAAAhALaDOJL+AAAA4QEA&#10;ABMAAAAAAAAAAAAAAAAAAAAAAFtDb250ZW50X1R5cGVzXS54bWxQSwECLQAUAAYACAAAACEAOP0h&#10;/9YAAACUAQAACwAAAAAAAAAAAAAAAAAvAQAAX3JlbHMvLnJlbHNQSwECLQAUAAYACAAAACEA9ylt&#10;2n0CAAAQBQAADgAAAAAAAAAAAAAAAAAuAgAAZHJzL2Uyb0RvYy54bWxQSwECLQAUAAYACAAAACEA&#10;f5dcGOQAAAAOAQAADwAAAAAAAAAAAAAAAADXBAAAZHJzL2Rvd25yZXYueG1sUEsFBgAAAAAEAAQA&#10;8wAAAOgFAAAAAA==&#10;" filled="f" strokeweight=".5pt">
                <v:stroke opacity="0" joinstyle="round"/>
                <v:textbox>
                  <w:txbxContent>
                    <w:p w14:paraId="5B48D191" w14:textId="77777777" w:rsidR="004F6A96" w:rsidRPr="00426D1E" w:rsidRDefault="004F6A96" w:rsidP="004F6A96">
                      <w:pPr>
                        <w:rPr>
                          <w:rFonts w:ascii="RijksoverheidSansHeadingTT" w:hAnsi="RijksoverheidSansHeadingTT"/>
                          <w:b/>
                          <w:bCs/>
                          <w:color w:val="FFFFFF" w:themeColor="background1"/>
                          <w:sz w:val="44"/>
                          <w:szCs w:val="44"/>
                        </w:rPr>
                      </w:pPr>
                      <w:r w:rsidRPr="00426D1E">
                        <w:rPr>
                          <w:rFonts w:ascii="RijksoverheidSansHeadingTT" w:hAnsi="RijksoverheidSansHeadingTT"/>
                          <w:b/>
                          <w:bCs/>
                          <w:color w:val="FFFFFF" w:themeColor="background1"/>
                          <w:sz w:val="40"/>
                          <w:szCs w:val="40"/>
                        </w:rPr>
                        <w:t>Nationaal Laadonderzoek 202</w:t>
                      </w:r>
                      <w:r>
                        <w:rPr>
                          <w:rFonts w:ascii="RijksoverheidSansHeadingTT" w:hAnsi="RijksoverheidSansHeadingTT"/>
                          <w:b/>
                          <w:bCs/>
                          <w:color w:val="FFFFFF" w:themeColor="background1"/>
                          <w:sz w:val="40"/>
                          <w:szCs w:val="40"/>
                        </w:rPr>
                        <w:t>3</w:t>
                      </w:r>
                    </w:p>
                  </w:txbxContent>
                </v:textbox>
                <w10:wrap anchorx="margin"/>
              </v:shape>
            </w:pict>
          </mc:Fallback>
        </mc:AlternateContent>
      </w:r>
      <w:r w:rsidR="004F6A96" w:rsidRPr="00174EC8">
        <w:rPr>
          <w:rFonts w:cstheme="minorHAnsi"/>
          <w:noProof/>
          <w:color w:val="2C307E"/>
        </w:rPr>
        <mc:AlternateContent>
          <mc:Choice Requires="wps">
            <w:drawing>
              <wp:anchor distT="0" distB="0" distL="114300" distR="114300" simplePos="0" relativeHeight="251658241" behindDoc="0" locked="0" layoutInCell="1" allowOverlap="1" wp14:anchorId="1E49E4F3" wp14:editId="44BA3DD5">
                <wp:simplePos x="0" y="0"/>
                <wp:positionH relativeFrom="margin">
                  <wp:posOffset>-2688535</wp:posOffset>
                </wp:positionH>
                <wp:positionV relativeFrom="paragraph">
                  <wp:posOffset>-3617070</wp:posOffset>
                </wp:positionV>
                <wp:extent cx="11201400" cy="4943475"/>
                <wp:effectExtent l="0" t="0" r="0" b="9525"/>
                <wp:wrapNone/>
                <wp:docPr id="35" name="Ovaal 35" descr="P1#y2"/>
                <wp:cNvGraphicFramePr/>
                <a:graphic xmlns:a="http://schemas.openxmlformats.org/drawingml/2006/main">
                  <a:graphicData uri="http://schemas.microsoft.com/office/word/2010/wordprocessingShape">
                    <wps:wsp>
                      <wps:cNvSpPr/>
                      <wps:spPr>
                        <a:xfrm>
                          <a:off x="0" y="0"/>
                          <a:ext cx="11201400" cy="4943475"/>
                        </a:xfrm>
                        <a:prstGeom prst="ellipse">
                          <a:avLst/>
                        </a:prstGeom>
                        <a:solidFill>
                          <a:srgbClr val="C9C74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E70A235" id="Ovaal 35" o:spid="_x0000_s1026" alt="P1#y2" style="position:absolute;margin-left:-211.7pt;margin-top:-284.8pt;width:882pt;height:389.25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TEKggIAAGQFAAAOAAAAZHJzL2Uyb0RvYy54bWysVE1v2zAMvQ/YfxB0X22n7roGdYogRYcB&#10;RVu0HXpWZCkWIIuapMTJfv0o+SPdWuwwLAeFEslH8pnk5dW+1WQnnFdgKlqc5JQIw6FWZlPR7883&#10;n75Q4gMzNdNgREUPwtOrxccPl52dixk0oGvhCIIYP+9sRZsQ7DzLPG9Ey/wJWGFQKcG1LODVbbLa&#10;sQ7RW53N8vxz1oGrrQMuvMfX615JFwlfSsHDvZReBKIrirmFdLp0ruOZLS7ZfOOYbRQf0mD/kEXL&#10;lMGgE9Q1C4xsnXoD1SruwIMMJxzaDKRUXKQasJoi/6Oap4ZZkWpBcrydaPL/D5bf7Z7sg0MaOuvn&#10;HsVYxV66Nv5jfmSfyDpMZIl9IBwfiwIzLnMklaOyvChPy/OzyGd29LfOh68CWhKFigqtlfWxIjZn&#10;u1sfeuvRKj570Kq+UVqni9usV9qRHcOvt7pYnZenQ4DfzLSJxgaiW48YX7JjQUkKBy2inTaPQhJV&#10;YwmzlEnqNTHFYZwLE4pe1bBa9OHPcvyN0WN3Ro9UbAKMyBLjT9gDwGjZg4zYfZaDfXQVqVUn5/xv&#10;ifXOk0eKDCZMzq0y4N4D0FjVELm3H0nqqYksraE+PDjioB8Ub/mNwk93y3x4YA4nAz83Tnu4x0Nq&#10;6CoKg0RJA+7ne+/RHhsWtZR0OGkV9T+2zAlK9DeDrXxRlGUczXQpz85neHGvNevXGrNtV4DtUOBe&#10;sTyJ0T7oUZQO2hdcCssYFVXMcIxdUR7ceFmFfgPgWuFiuUxmOI6WhVvzZHkEj6zGvnzevzBnh/4N&#10;2Pt3ME7lmx7ubaOngeU2gFSpwY+8DnzjKKfGGdZO3BWv78nquBwXvwAAAP//AwBQSwMEFAAGAAgA&#10;AAAhALxz7O7kAAAADgEAAA8AAABkcnMvZG93bnJldi54bWxMj01PwzAMhu9I/IfISNy2hK5UW2k6&#10;oUnjAhz2JY1b1nptReOUJtu6f493gttr+dHrx9l8sK04Y+8bRxqexgoEUuHKhioN281yNAXhg6HS&#10;tI5QwxU9zPP7u8ykpbvQCs/rUAkuIZ8aDXUIXSqlL2q0xo9dh8S7o+utCTz2lSx7c+Fy28pIqURa&#10;0xBfqE2HixqL7/XJakD5YZfH8Ln9Wr39XBeb3d6+7/ZaPz4Mry8gAg7hD4abPqtDzk4Hd6LSi1bD&#10;KI4mMbOcnpNZAuLGTGLF6aAhUtMZyDyT/9/IfwEAAP//AwBQSwECLQAUAAYACAAAACEAtoM4kv4A&#10;AADhAQAAEwAAAAAAAAAAAAAAAAAAAAAAW0NvbnRlbnRfVHlwZXNdLnhtbFBLAQItABQABgAIAAAA&#10;IQA4/SH/1gAAAJQBAAALAAAAAAAAAAAAAAAAAC8BAABfcmVscy8ucmVsc1BLAQItABQABgAIAAAA&#10;IQDKwTEKggIAAGQFAAAOAAAAAAAAAAAAAAAAAC4CAABkcnMvZTJvRG9jLnhtbFBLAQItABQABgAI&#10;AAAAIQC8c+zu5AAAAA4BAAAPAAAAAAAAAAAAAAAAANwEAABkcnMvZG93bnJldi54bWxQSwUGAAAA&#10;AAQABADzAAAA7QUAAAAA&#10;" fillcolor="#c9c743" stroked="f" strokeweight="1pt">
                <v:stroke joinstyle="miter"/>
                <w10:wrap anchorx="margin"/>
              </v:oval>
            </w:pict>
          </mc:Fallback>
        </mc:AlternateContent>
      </w:r>
      <w:r w:rsidR="00E818C7">
        <w:rPr>
          <w:rFonts w:cstheme="minorHAnsi"/>
        </w:rPr>
        <w:br w:type="page"/>
      </w:r>
    </w:p>
    <w:p w14:paraId="1475D3BE" w14:textId="50AFD048" w:rsidR="004E15DC" w:rsidRPr="00FB15B4" w:rsidRDefault="004E15DC" w:rsidP="00257E07">
      <w:pPr>
        <w:pStyle w:val="ROstandaard"/>
        <w:spacing w:line="276" w:lineRule="auto"/>
        <w:jc w:val="both"/>
        <w:rPr>
          <w:rFonts w:asciiTheme="minorHAnsi" w:hAnsiTheme="minorHAnsi" w:cstheme="minorHAnsi"/>
          <w:sz w:val="22"/>
          <w:szCs w:val="22"/>
          <w:lang w:val="nl-NL"/>
        </w:rPr>
      </w:pPr>
      <w:r w:rsidRPr="00FB15B4">
        <w:rPr>
          <w:rFonts w:asciiTheme="minorHAnsi" w:hAnsiTheme="minorHAnsi" w:cstheme="minorHAnsi"/>
          <w:sz w:val="22"/>
          <w:szCs w:val="22"/>
          <w:lang w:val="nl-NL"/>
        </w:rPr>
        <w:lastRenderedPageBreak/>
        <w:t>Het Nationaal Laadonderzoek</w:t>
      </w:r>
      <w:r w:rsidR="00434A10">
        <w:rPr>
          <w:rFonts w:asciiTheme="minorHAnsi" w:hAnsiTheme="minorHAnsi" w:cstheme="minorHAnsi"/>
          <w:sz w:val="22"/>
          <w:szCs w:val="22"/>
          <w:lang w:val="nl-NL"/>
        </w:rPr>
        <w:t xml:space="preserve"> is in samenwerking met de Nationale Agenda Laadinfrastructuur (NAL) opgezet en uitgevoerd en</w:t>
      </w:r>
      <w:r w:rsidRPr="00FB15B4">
        <w:rPr>
          <w:rFonts w:asciiTheme="minorHAnsi" w:hAnsiTheme="minorHAnsi" w:cstheme="minorHAnsi"/>
          <w:sz w:val="22"/>
          <w:szCs w:val="22"/>
          <w:lang w:val="nl-NL"/>
        </w:rPr>
        <w:t xml:space="preserve"> is een initiatief van </w:t>
      </w:r>
      <w:r w:rsidR="00434A10" w:rsidRPr="00FB15B4">
        <w:rPr>
          <w:rFonts w:asciiTheme="minorHAnsi" w:hAnsiTheme="minorHAnsi" w:cstheme="minorHAnsi"/>
          <w:sz w:val="22"/>
          <w:szCs w:val="22"/>
          <w:lang w:val="nl-NL"/>
        </w:rPr>
        <w:t>de Rijksdienst voor Ondernemend Nederland (RVO)</w:t>
      </w:r>
      <w:r w:rsidR="00434A10">
        <w:rPr>
          <w:rFonts w:asciiTheme="minorHAnsi" w:hAnsiTheme="minorHAnsi" w:cstheme="minorHAnsi"/>
          <w:sz w:val="22"/>
          <w:szCs w:val="22"/>
          <w:lang w:val="nl-NL"/>
        </w:rPr>
        <w:t xml:space="preserve">, </w:t>
      </w:r>
      <w:r w:rsidRPr="00FB15B4">
        <w:rPr>
          <w:rFonts w:asciiTheme="minorHAnsi" w:hAnsiTheme="minorHAnsi" w:cstheme="minorHAnsi"/>
          <w:sz w:val="22"/>
          <w:szCs w:val="22"/>
          <w:lang w:val="nl-NL"/>
        </w:rPr>
        <w:t>ElaadNL</w:t>
      </w:r>
      <w:r w:rsidR="00434A10">
        <w:rPr>
          <w:rFonts w:asciiTheme="minorHAnsi" w:hAnsiTheme="minorHAnsi" w:cstheme="minorHAnsi"/>
          <w:sz w:val="22"/>
          <w:szCs w:val="22"/>
          <w:lang w:val="nl-NL"/>
        </w:rPr>
        <w:t xml:space="preserve"> en</w:t>
      </w:r>
      <w:r w:rsidRPr="00FB15B4">
        <w:rPr>
          <w:rFonts w:asciiTheme="minorHAnsi" w:hAnsiTheme="minorHAnsi" w:cstheme="minorHAnsi"/>
          <w:sz w:val="22"/>
          <w:szCs w:val="22"/>
          <w:lang w:val="nl-NL"/>
        </w:rPr>
        <w:t xml:space="preserve"> de Vereniging Elektrische Rijders (VER)</w:t>
      </w:r>
      <w:r w:rsidR="00434A10">
        <w:rPr>
          <w:rFonts w:asciiTheme="minorHAnsi" w:hAnsiTheme="minorHAnsi" w:cstheme="minorHAnsi"/>
          <w:sz w:val="22"/>
          <w:szCs w:val="22"/>
          <w:lang w:val="nl-NL"/>
        </w:rPr>
        <w:t>.</w:t>
      </w:r>
      <w:r w:rsidRPr="00FB15B4">
        <w:rPr>
          <w:rFonts w:asciiTheme="minorHAnsi" w:hAnsiTheme="minorHAnsi" w:cstheme="minorHAnsi"/>
          <w:sz w:val="22"/>
          <w:szCs w:val="22"/>
          <w:lang w:val="nl-NL"/>
        </w:rPr>
        <w:t xml:space="preserve"> </w:t>
      </w:r>
      <w:r w:rsidR="00434A10">
        <w:rPr>
          <w:rFonts w:asciiTheme="minorHAnsi" w:hAnsiTheme="minorHAnsi" w:cstheme="minorHAnsi"/>
          <w:sz w:val="22"/>
          <w:szCs w:val="22"/>
          <w:lang w:val="nl-NL"/>
        </w:rPr>
        <w:t>D</w:t>
      </w:r>
      <w:r w:rsidRPr="00FB15B4">
        <w:rPr>
          <w:rFonts w:asciiTheme="minorHAnsi" w:hAnsiTheme="minorHAnsi" w:cstheme="minorHAnsi"/>
          <w:sz w:val="22"/>
          <w:szCs w:val="22"/>
          <w:lang w:val="nl-NL"/>
        </w:rPr>
        <w:t>e Rijksuniversiteit Groningen (RUG)</w:t>
      </w:r>
      <w:r w:rsidR="00434A10">
        <w:rPr>
          <w:rFonts w:asciiTheme="minorHAnsi" w:hAnsiTheme="minorHAnsi" w:cstheme="minorHAnsi"/>
          <w:sz w:val="22"/>
          <w:szCs w:val="22"/>
          <w:lang w:val="nl-NL"/>
        </w:rPr>
        <w:t xml:space="preserve"> is betrokken bij de uitvoering en vali</w:t>
      </w:r>
      <w:r w:rsidR="00C820E4">
        <w:rPr>
          <w:rFonts w:asciiTheme="minorHAnsi" w:hAnsiTheme="minorHAnsi" w:cstheme="minorHAnsi"/>
          <w:sz w:val="22"/>
          <w:szCs w:val="22"/>
          <w:lang w:val="nl-NL"/>
        </w:rPr>
        <w:t>datie</w:t>
      </w:r>
      <w:r w:rsidR="00434A10">
        <w:rPr>
          <w:rFonts w:asciiTheme="minorHAnsi" w:hAnsiTheme="minorHAnsi" w:cstheme="minorHAnsi"/>
          <w:sz w:val="22"/>
          <w:szCs w:val="22"/>
          <w:lang w:val="nl-NL"/>
        </w:rPr>
        <w:t xml:space="preserve"> van </w:t>
      </w:r>
      <w:r w:rsidR="00C820E4">
        <w:rPr>
          <w:rFonts w:asciiTheme="minorHAnsi" w:hAnsiTheme="minorHAnsi" w:cstheme="minorHAnsi"/>
          <w:sz w:val="22"/>
          <w:szCs w:val="22"/>
          <w:lang w:val="nl-NL"/>
        </w:rPr>
        <w:t>het onderzoek</w:t>
      </w:r>
      <w:r w:rsidRPr="00FB15B4">
        <w:rPr>
          <w:rFonts w:asciiTheme="minorHAnsi" w:hAnsiTheme="minorHAnsi" w:cstheme="minorHAnsi"/>
          <w:sz w:val="22"/>
          <w:szCs w:val="22"/>
          <w:lang w:val="nl-NL"/>
        </w:rPr>
        <w:t>.</w:t>
      </w:r>
      <w:r w:rsidR="00434A10">
        <w:rPr>
          <w:rFonts w:asciiTheme="minorHAnsi" w:hAnsiTheme="minorHAnsi" w:cstheme="minorHAnsi"/>
          <w:sz w:val="22"/>
          <w:szCs w:val="22"/>
          <w:lang w:val="nl-NL"/>
        </w:rPr>
        <w:t xml:space="preserve"> </w:t>
      </w:r>
    </w:p>
    <w:p w14:paraId="0748E543" w14:textId="77777777" w:rsidR="004E15DC" w:rsidRPr="00FB15B4" w:rsidRDefault="004E15DC" w:rsidP="00257E07">
      <w:pPr>
        <w:pStyle w:val="ROstandaard"/>
        <w:spacing w:line="276" w:lineRule="auto"/>
        <w:jc w:val="both"/>
        <w:rPr>
          <w:rFonts w:asciiTheme="minorHAnsi" w:hAnsiTheme="minorHAnsi" w:cstheme="minorHAnsi"/>
          <w:sz w:val="22"/>
          <w:szCs w:val="22"/>
          <w:lang w:val="nl-NL"/>
        </w:rPr>
      </w:pPr>
    </w:p>
    <w:p w14:paraId="128FE886" w14:textId="12172C40" w:rsidR="004E15DC" w:rsidRPr="00FB15B4" w:rsidRDefault="004E15DC" w:rsidP="00257E07">
      <w:pPr>
        <w:pStyle w:val="ROstandaard"/>
        <w:spacing w:line="276" w:lineRule="auto"/>
        <w:jc w:val="both"/>
        <w:rPr>
          <w:rFonts w:asciiTheme="minorHAnsi" w:hAnsiTheme="minorHAnsi" w:cstheme="minorHAnsi"/>
          <w:sz w:val="22"/>
          <w:szCs w:val="22"/>
          <w:lang w:val="de-DE"/>
        </w:rPr>
      </w:pPr>
      <w:r w:rsidRPr="00FB15B4">
        <w:rPr>
          <w:rFonts w:asciiTheme="minorHAnsi" w:hAnsiTheme="minorHAnsi" w:cstheme="minorHAnsi"/>
          <w:sz w:val="22"/>
          <w:szCs w:val="22"/>
          <w:lang w:val="de-DE"/>
        </w:rPr>
        <w:t xml:space="preserve">Publicatiedatum: </w:t>
      </w:r>
      <w:r w:rsidR="00E37F1D">
        <w:rPr>
          <w:rFonts w:asciiTheme="minorHAnsi" w:hAnsiTheme="minorHAnsi" w:cstheme="minorHAnsi"/>
          <w:sz w:val="22"/>
          <w:szCs w:val="22"/>
          <w:lang w:val="de-DE"/>
        </w:rPr>
        <w:t>30</w:t>
      </w:r>
      <w:r w:rsidRPr="00FB15B4">
        <w:rPr>
          <w:rFonts w:asciiTheme="minorHAnsi" w:hAnsiTheme="minorHAnsi" w:cstheme="minorHAnsi"/>
          <w:sz w:val="22"/>
          <w:szCs w:val="22"/>
          <w:lang w:val="de-DE"/>
        </w:rPr>
        <w:t xml:space="preserve"> september 202</w:t>
      </w:r>
      <w:r w:rsidR="00E37F1D">
        <w:rPr>
          <w:rFonts w:asciiTheme="minorHAnsi" w:hAnsiTheme="minorHAnsi" w:cstheme="minorHAnsi"/>
          <w:sz w:val="22"/>
          <w:szCs w:val="22"/>
          <w:lang w:val="de-DE"/>
        </w:rPr>
        <w:t>5</w:t>
      </w:r>
    </w:p>
    <w:p w14:paraId="35D82476" w14:textId="77777777" w:rsidR="004E15DC" w:rsidRPr="00FB15B4" w:rsidRDefault="004E15DC" w:rsidP="004E15DC">
      <w:pPr>
        <w:pStyle w:val="ROstandaard"/>
        <w:jc w:val="both"/>
        <w:rPr>
          <w:rFonts w:asciiTheme="minorHAnsi" w:hAnsiTheme="minorHAnsi" w:cstheme="minorHAnsi"/>
          <w:sz w:val="22"/>
          <w:szCs w:val="22"/>
          <w:lang w:val="de-DE"/>
        </w:rPr>
      </w:pPr>
    </w:p>
    <w:p w14:paraId="3FFB9D28" w14:textId="1CE19945" w:rsidR="004E15DC" w:rsidRPr="00FB15B4" w:rsidRDefault="004E15DC" w:rsidP="004E15DC">
      <w:pPr>
        <w:pStyle w:val="ROstandaard"/>
        <w:jc w:val="both"/>
        <w:rPr>
          <w:rFonts w:asciiTheme="minorHAnsi" w:hAnsiTheme="minorHAnsi" w:cstheme="minorHAnsi"/>
          <w:sz w:val="22"/>
          <w:szCs w:val="22"/>
          <w:highlight w:val="yellow"/>
          <w:lang w:val="de-DE"/>
        </w:rPr>
      </w:pPr>
    </w:p>
    <w:p w14:paraId="32C8DCA7" w14:textId="77777777" w:rsidR="004E15DC" w:rsidRPr="00FB15B4" w:rsidRDefault="004E15DC" w:rsidP="004E15DC">
      <w:pPr>
        <w:pStyle w:val="ROstandaard"/>
        <w:jc w:val="both"/>
        <w:rPr>
          <w:rFonts w:asciiTheme="minorHAnsi" w:hAnsiTheme="minorHAnsi" w:cstheme="minorHAnsi"/>
          <w:sz w:val="22"/>
          <w:szCs w:val="22"/>
          <w:highlight w:val="yellow"/>
          <w:lang w:val="de-DE"/>
        </w:rPr>
      </w:pPr>
    </w:p>
    <w:p w14:paraId="5EC5B354" w14:textId="77777777" w:rsidR="004E15DC" w:rsidRPr="00FB15B4" w:rsidRDefault="004E15DC" w:rsidP="004E15DC">
      <w:pPr>
        <w:pStyle w:val="ROstandaard"/>
        <w:jc w:val="both"/>
        <w:rPr>
          <w:rFonts w:asciiTheme="minorHAnsi" w:hAnsiTheme="minorHAnsi" w:cstheme="minorHAnsi"/>
          <w:sz w:val="22"/>
          <w:szCs w:val="22"/>
          <w:highlight w:val="yellow"/>
          <w:lang w:val="de-DE"/>
        </w:rPr>
      </w:pPr>
    </w:p>
    <w:p w14:paraId="617D945A" w14:textId="71AF2F21" w:rsidR="004E15DC" w:rsidRPr="00FB15B4" w:rsidRDefault="004E15DC" w:rsidP="004E15DC">
      <w:pPr>
        <w:pStyle w:val="ROstandaard"/>
        <w:jc w:val="both"/>
        <w:rPr>
          <w:rFonts w:asciiTheme="minorHAnsi" w:hAnsiTheme="minorHAnsi" w:cstheme="minorHAnsi"/>
          <w:sz w:val="22"/>
          <w:szCs w:val="22"/>
          <w:highlight w:val="yellow"/>
          <w:lang w:val="de-DE"/>
        </w:rPr>
      </w:pPr>
    </w:p>
    <w:p w14:paraId="29B11DAF" w14:textId="77777777" w:rsidR="004E15DC" w:rsidRPr="00FB15B4" w:rsidRDefault="004E15DC" w:rsidP="004E15DC">
      <w:pPr>
        <w:pStyle w:val="ROstandaard"/>
        <w:jc w:val="both"/>
        <w:rPr>
          <w:rFonts w:asciiTheme="minorHAnsi" w:hAnsiTheme="minorHAnsi" w:cstheme="minorHAnsi"/>
          <w:sz w:val="22"/>
          <w:szCs w:val="22"/>
          <w:highlight w:val="yellow"/>
          <w:lang w:val="de-DE"/>
        </w:rPr>
      </w:pPr>
    </w:p>
    <w:p w14:paraId="0ACC8603" w14:textId="77777777" w:rsidR="004E15DC" w:rsidRPr="00FB15B4" w:rsidRDefault="004E15DC" w:rsidP="004E15DC">
      <w:pPr>
        <w:pStyle w:val="ROstandaard"/>
        <w:jc w:val="both"/>
        <w:rPr>
          <w:rFonts w:asciiTheme="minorHAnsi" w:hAnsiTheme="minorHAnsi" w:cstheme="minorHAnsi"/>
          <w:sz w:val="22"/>
          <w:szCs w:val="22"/>
          <w:highlight w:val="yellow"/>
          <w:lang w:val="de-DE"/>
        </w:rPr>
      </w:pPr>
    </w:p>
    <w:p w14:paraId="633DE6D9" w14:textId="77777777" w:rsidR="004E15DC" w:rsidRPr="00FB15B4" w:rsidRDefault="004E15DC" w:rsidP="004E15DC">
      <w:pPr>
        <w:pStyle w:val="ROstandaard"/>
        <w:jc w:val="both"/>
        <w:rPr>
          <w:rFonts w:asciiTheme="minorHAnsi" w:hAnsiTheme="minorHAnsi" w:cstheme="minorHAnsi"/>
          <w:sz w:val="22"/>
          <w:szCs w:val="22"/>
          <w:highlight w:val="yellow"/>
          <w:lang w:val="de-DE"/>
        </w:rPr>
      </w:pPr>
    </w:p>
    <w:p w14:paraId="58CDF0CA" w14:textId="77777777" w:rsidR="004E15DC" w:rsidRPr="00FB15B4" w:rsidRDefault="004E15DC" w:rsidP="004E15DC">
      <w:pPr>
        <w:pStyle w:val="ROstandaard"/>
        <w:jc w:val="both"/>
        <w:rPr>
          <w:rFonts w:asciiTheme="minorHAnsi" w:hAnsiTheme="minorHAnsi" w:cstheme="minorHAnsi"/>
          <w:sz w:val="22"/>
          <w:szCs w:val="22"/>
          <w:highlight w:val="yellow"/>
          <w:lang w:val="de-DE"/>
        </w:rPr>
      </w:pPr>
    </w:p>
    <w:p w14:paraId="6F9B6D0A" w14:textId="77777777" w:rsidR="004E15DC" w:rsidRPr="00FB15B4" w:rsidRDefault="004E15DC" w:rsidP="004E15DC">
      <w:pPr>
        <w:pStyle w:val="ROstandaard"/>
        <w:jc w:val="both"/>
        <w:rPr>
          <w:rFonts w:asciiTheme="minorHAnsi" w:hAnsiTheme="minorHAnsi" w:cstheme="minorHAnsi"/>
          <w:sz w:val="22"/>
          <w:szCs w:val="22"/>
          <w:highlight w:val="yellow"/>
          <w:lang w:val="de-DE"/>
        </w:rPr>
      </w:pPr>
    </w:p>
    <w:p w14:paraId="38B31BE8" w14:textId="77777777" w:rsidR="004E15DC" w:rsidRPr="00FB15B4" w:rsidRDefault="004E15DC" w:rsidP="004E15DC">
      <w:pPr>
        <w:pStyle w:val="ROstandaard"/>
        <w:jc w:val="both"/>
        <w:rPr>
          <w:rFonts w:asciiTheme="minorHAnsi" w:hAnsiTheme="minorHAnsi" w:cstheme="minorHAnsi"/>
          <w:sz w:val="22"/>
          <w:szCs w:val="22"/>
          <w:highlight w:val="yellow"/>
          <w:lang w:val="de-DE"/>
        </w:rPr>
      </w:pPr>
    </w:p>
    <w:p w14:paraId="4A42761D" w14:textId="77777777" w:rsidR="004E15DC" w:rsidRPr="00FB15B4" w:rsidRDefault="004E15DC" w:rsidP="004E15DC">
      <w:pPr>
        <w:pStyle w:val="ROstandaard"/>
        <w:jc w:val="both"/>
        <w:rPr>
          <w:rFonts w:asciiTheme="minorHAnsi" w:hAnsiTheme="minorHAnsi" w:cstheme="minorHAnsi"/>
          <w:sz w:val="22"/>
          <w:szCs w:val="22"/>
          <w:highlight w:val="yellow"/>
          <w:lang w:val="de-DE"/>
        </w:rPr>
      </w:pPr>
    </w:p>
    <w:p w14:paraId="72BA0069" w14:textId="77777777" w:rsidR="004E15DC" w:rsidRPr="00FB15B4" w:rsidRDefault="004E15DC" w:rsidP="004E15DC">
      <w:pPr>
        <w:pStyle w:val="ROstandaard"/>
        <w:jc w:val="both"/>
        <w:rPr>
          <w:rFonts w:asciiTheme="minorHAnsi" w:hAnsiTheme="minorHAnsi" w:cstheme="minorHAnsi"/>
          <w:sz w:val="22"/>
          <w:szCs w:val="22"/>
          <w:highlight w:val="yellow"/>
          <w:lang w:val="de-DE"/>
        </w:rPr>
      </w:pPr>
    </w:p>
    <w:p w14:paraId="64AEC017" w14:textId="77777777" w:rsidR="004E15DC" w:rsidRPr="00FB15B4" w:rsidRDefault="004E15DC" w:rsidP="004E15DC">
      <w:pPr>
        <w:pStyle w:val="ROstandaard"/>
        <w:jc w:val="both"/>
        <w:rPr>
          <w:rFonts w:asciiTheme="minorHAnsi" w:hAnsiTheme="minorHAnsi" w:cstheme="minorHAnsi"/>
          <w:sz w:val="22"/>
          <w:szCs w:val="22"/>
          <w:highlight w:val="yellow"/>
          <w:lang w:val="de-DE"/>
        </w:rPr>
      </w:pPr>
    </w:p>
    <w:p w14:paraId="1F0C2D9D" w14:textId="77777777" w:rsidR="004E15DC" w:rsidRPr="00FB15B4" w:rsidRDefault="004E15DC" w:rsidP="004E15DC">
      <w:pPr>
        <w:pStyle w:val="ROstandaard"/>
        <w:jc w:val="both"/>
        <w:rPr>
          <w:rFonts w:asciiTheme="minorHAnsi" w:hAnsiTheme="minorHAnsi" w:cstheme="minorHAnsi"/>
          <w:sz w:val="22"/>
          <w:szCs w:val="22"/>
          <w:highlight w:val="yellow"/>
          <w:lang w:val="de-DE"/>
        </w:rPr>
      </w:pPr>
    </w:p>
    <w:p w14:paraId="313EB228" w14:textId="77777777" w:rsidR="004E15DC" w:rsidRPr="00FB15B4" w:rsidRDefault="004E15DC" w:rsidP="004E15DC">
      <w:pPr>
        <w:pStyle w:val="ROstandaard"/>
        <w:jc w:val="both"/>
        <w:rPr>
          <w:rFonts w:asciiTheme="minorHAnsi" w:hAnsiTheme="minorHAnsi" w:cstheme="minorHAnsi"/>
          <w:sz w:val="22"/>
          <w:szCs w:val="22"/>
          <w:highlight w:val="yellow"/>
          <w:lang w:val="de-DE"/>
        </w:rPr>
      </w:pPr>
    </w:p>
    <w:p w14:paraId="4D45855E" w14:textId="77777777" w:rsidR="004E15DC" w:rsidRPr="00FB15B4" w:rsidRDefault="004E15DC" w:rsidP="004E15DC">
      <w:pPr>
        <w:pStyle w:val="ROstandaard"/>
        <w:jc w:val="both"/>
        <w:rPr>
          <w:rFonts w:asciiTheme="minorHAnsi" w:hAnsiTheme="minorHAnsi" w:cstheme="minorHAnsi"/>
          <w:sz w:val="22"/>
          <w:szCs w:val="22"/>
          <w:highlight w:val="yellow"/>
          <w:lang w:val="de-DE"/>
        </w:rPr>
      </w:pPr>
    </w:p>
    <w:p w14:paraId="7F1A4302" w14:textId="77777777" w:rsidR="004E15DC" w:rsidRPr="00FB15B4" w:rsidRDefault="004E15DC" w:rsidP="004E15DC">
      <w:pPr>
        <w:pStyle w:val="ROstandaard"/>
        <w:jc w:val="both"/>
        <w:rPr>
          <w:rFonts w:asciiTheme="minorHAnsi" w:hAnsiTheme="minorHAnsi" w:cstheme="minorHAnsi"/>
          <w:sz w:val="22"/>
          <w:szCs w:val="22"/>
          <w:highlight w:val="yellow"/>
          <w:lang w:val="de-DE"/>
        </w:rPr>
      </w:pPr>
    </w:p>
    <w:p w14:paraId="2D899817" w14:textId="77777777" w:rsidR="004E15DC" w:rsidRPr="00FB15B4" w:rsidRDefault="004E15DC" w:rsidP="004E15DC">
      <w:pPr>
        <w:pStyle w:val="ROstandaard"/>
        <w:jc w:val="both"/>
        <w:rPr>
          <w:rFonts w:asciiTheme="minorHAnsi" w:hAnsiTheme="minorHAnsi" w:cstheme="minorHAnsi"/>
          <w:sz w:val="22"/>
          <w:szCs w:val="22"/>
          <w:highlight w:val="yellow"/>
          <w:lang w:val="de-DE"/>
        </w:rPr>
      </w:pPr>
    </w:p>
    <w:p w14:paraId="129C87A5" w14:textId="77777777" w:rsidR="004E15DC" w:rsidRPr="00FB15B4" w:rsidRDefault="004E15DC" w:rsidP="004E15DC">
      <w:pPr>
        <w:pStyle w:val="ROstandaard"/>
        <w:jc w:val="both"/>
        <w:rPr>
          <w:rFonts w:asciiTheme="minorHAnsi" w:hAnsiTheme="minorHAnsi" w:cstheme="minorHAnsi"/>
          <w:sz w:val="22"/>
          <w:szCs w:val="22"/>
          <w:highlight w:val="yellow"/>
          <w:lang w:val="de-DE"/>
        </w:rPr>
      </w:pPr>
    </w:p>
    <w:p w14:paraId="1A0C7DE4" w14:textId="77777777" w:rsidR="004E15DC" w:rsidRPr="00FB15B4" w:rsidRDefault="004E15DC" w:rsidP="004E15DC">
      <w:pPr>
        <w:pStyle w:val="ROstandaard"/>
        <w:jc w:val="both"/>
        <w:rPr>
          <w:rFonts w:asciiTheme="minorHAnsi" w:hAnsiTheme="minorHAnsi" w:cstheme="minorHAnsi"/>
          <w:sz w:val="22"/>
          <w:szCs w:val="22"/>
          <w:highlight w:val="yellow"/>
          <w:lang w:val="de-DE"/>
        </w:rPr>
      </w:pPr>
    </w:p>
    <w:p w14:paraId="6C46491A" w14:textId="77777777" w:rsidR="004E15DC" w:rsidRPr="00FB15B4" w:rsidRDefault="004E15DC" w:rsidP="004E15DC">
      <w:pPr>
        <w:pStyle w:val="ROstandaard"/>
        <w:jc w:val="both"/>
        <w:rPr>
          <w:rFonts w:asciiTheme="minorHAnsi" w:hAnsiTheme="minorHAnsi" w:cstheme="minorHAnsi"/>
          <w:sz w:val="22"/>
          <w:szCs w:val="22"/>
          <w:highlight w:val="yellow"/>
          <w:lang w:val="de-DE"/>
        </w:rPr>
      </w:pPr>
    </w:p>
    <w:p w14:paraId="5F6F49E7" w14:textId="77777777" w:rsidR="004E15DC" w:rsidRPr="00FB15B4" w:rsidRDefault="004E15DC" w:rsidP="004E15DC">
      <w:pPr>
        <w:pStyle w:val="ROstandaard"/>
        <w:jc w:val="both"/>
        <w:rPr>
          <w:rFonts w:asciiTheme="minorHAnsi" w:hAnsiTheme="minorHAnsi" w:cstheme="minorHAnsi"/>
          <w:sz w:val="22"/>
          <w:szCs w:val="22"/>
          <w:highlight w:val="yellow"/>
          <w:lang w:val="de-DE"/>
        </w:rPr>
      </w:pPr>
    </w:p>
    <w:p w14:paraId="4B730CA4" w14:textId="77777777" w:rsidR="004E15DC" w:rsidRPr="00FB15B4" w:rsidRDefault="004E15DC" w:rsidP="004E15DC">
      <w:pPr>
        <w:pStyle w:val="ROstandaard"/>
        <w:jc w:val="both"/>
        <w:rPr>
          <w:rFonts w:asciiTheme="minorHAnsi" w:hAnsiTheme="minorHAnsi" w:cstheme="minorHAnsi"/>
          <w:sz w:val="22"/>
          <w:szCs w:val="22"/>
          <w:highlight w:val="yellow"/>
          <w:lang w:val="de-DE"/>
        </w:rPr>
      </w:pPr>
    </w:p>
    <w:p w14:paraId="17B8D4BC" w14:textId="77777777" w:rsidR="004E15DC" w:rsidRPr="00FB15B4" w:rsidRDefault="004E15DC" w:rsidP="004E15DC">
      <w:pPr>
        <w:pStyle w:val="ROstandaard"/>
        <w:jc w:val="both"/>
        <w:rPr>
          <w:rFonts w:asciiTheme="minorHAnsi" w:hAnsiTheme="minorHAnsi" w:cstheme="minorHAnsi"/>
          <w:sz w:val="22"/>
          <w:szCs w:val="22"/>
          <w:highlight w:val="yellow"/>
          <w:lang w:val="de-DE"/>
        </w:rPr>
      </w:pPr>
    </w:p>
    <w:p w14:paraId="28C5EC04" w14:textId="77777777" w:rsidR="004E15DC" w:rsidRPr="00FB15B4" w:rsidRDefault="004E15DC" w:rsidP="004E15DC">
      <w:pPr>
        <w:pStyle w:val="ROstandaard"/>
        <w:jc w:val="both"/>
        <w:rPr>
          <w:rFonts w:asciiTheme="minorHAnsi" w:hAnsiTheme="minorHAnsi" w:cstheme="minorHAnsi"/>
          <w:sz w:val="22"/>
          <w:szCs w:val="22"/>
          <w:highlight w:val="yellow"/>
          <w:lang w:val="de-DE"/>
        </w:rPr>
      </w:pPr>
    </w:p>
    <w:p w14:paraId="4BFC2660" w14:textId="77777777" w:rsidR="004E15DC" w:rsidRPr="00FB15B4" w:rsidRDefault="004E15DC" w:rsidP="004E15DC">
      <w:pPr>
        <w:pStyle w:val="ROstandaard"/>
        <w:jc w:val="both"/>
        <w:rPr>
          <w:rFonts w:asciiTheme="minorHAnsi" w:hAnsiTheme="minorHAnsi" w:cstheme="minorHAnsi"/>
          <w:b/>
          <w:sz w:val="22"/>
          <w:szCs w:val="22"/>
          <w:lang w:val="de-DE"/>
        </w:rPr>
      </w:pPr>
    </w:p>
    <w:p w14:paraId="2359114F" w14:textId="77777777" w:rsidR="004E15DC" w:rsidRPr="00FB15B4" w:rsidRDefault="004E15DC" w:rsidP="004E15DC">
      <w:pPr>
        <w:pStyle w:val="ROstandaard"/>
        <w:jc w:val="both"/>
        <w:rPr>
          <w:rFonts w:asciiTheme="minorHAnsi" w:hAnsiTheme="minorHAnsi" w:cstheme="minorHAnsi"/>
          <w:b/>
          <w:sz w:val="22"/>
          <w:szCs w:val="22"/>
          <w:lang w:val="de-DE"/>
        </w:rPr>
      </w:pPr>
    </w:p>
    <w:p w14:paraId="2AF9D4C6" w14:textId="77777777" w:rsidR="004E15DC" w:rsidRPr="00FB15B4" w:rsidRDefault="004E15DC" w:rsidP="004E15DC">
      <w:pPr>
        <w:pStyle w:val="ROstandaard"/>
        <w:jc w:val="both"/>
        <w:rPr>
          <w:rFonts w:asciiTheme="minorHAnsi" w:hAnsiTheme="minorHAnsi" w:cstheme="minorHAnsi"/>
          <w:b/>
          <w:sz w:val="22"/>
          <w:szCs w:val="22"/>
          <w:lang w:val="de-DE"/>
        </w:rPr>
      </w:pPr>
    </w:p>
    <w:p w14:paraId="4D6477EF" w14:textId="77777777" w:rsidR="004E15DC" w:rsidRPr="00FB15B4" w:rsidRDefault="004E15DC" w:rsidP="004E15DC">
      <w:pPr>
        <w:pStyle w:val="ROstandaard"/>
        <w:jc w:val="both"/>
        <w:rPr>
          <w:rFonts w:asciiTheme="minorHAnsi" w:hAnsiTheme="minorHAnsi" w:cstheme="minorHAnsi"/>
          <w:b/>
          <w:sz w:val="22"/>
          <w:szCs w:val="22"/>
          <w:lang w:val="de-DE"/>
        </w:rPr>
      </w:pPr>
    </w:p>
    <w:p w14:paraId="2259FB05" w14:textId="77777777" w:rsidR="004E15DC" w:rsidRPr="00FB15B4" w:rsidRDefault="004E15DC" w:rsidP="004E15DC">
      <w:pPr>
        <w:pStyle w:val="ROstandaard"/>
        <w:jc w:val="both"/>
        <w:rPr>
          <w:rFonts w:asciiTheme="minorHAnsi" w:hAnsiTheme="minorHAnsi" w:cstheme="minorHAnsi"/>
          <w:b/>
          <w:sz w:val="22"/>
          <w:szCs w:val="22"/>
          <w:lang w:val="de-DE"/>
        </w:rPr>
      </w:pPr>
    </w:p>
    <w:p w14:paraId="70FFB792" w14:textId="77777777" w:rsidR="004E15DC" w:rsidRPr="00FB15B4" w:rsidRDefault="004E15DC" w:rsidP="004E15DC">
      <w:pPr>
        <w:pStyle w:val="ROstandaard"/>
        <w:jc w:val="both"/>
        <w:rPr>
          <w:rFonts w:asciiTheme="minorHAnsi" w:hAnsiTheme="minorHAnsi" w:cstheme="minorHAnsi"/>
          <w:b/>
          <w:sz w:val="22"/>
          <w:szCs w:val="22"/>
          <w:lang w:val="de-DE"/>
        </w:rPr>
      </w:pPr>
    </w:p>
    <w:p w14:paraId="1D324431" w14:textId="77777777" w:rsidR="004E15DC" w:rsidRPr="00FB15B4" w:rsidRDefault="004E15DC" w:rsidP="004E15DC">
      <w:pPr>
        <w:pStyle w:val="ROstandaard"/>
        <w:jc w:val="both"/>
        <w:rPr>
          <w:rFonts w:asciiTheme="minorHAnsi" w:hAnsiTheme="minorHAnsi" w:cstheme="minorHAnsi"/>
          <w:b/>
          <w:sz w:val="22"/>
          <w:szCs w:val="22"/>
          <w:lang w:val="de-DE"/>
        </w:rPr>
      </w:pPr>
    </w:p>
    <w:p w14:paraId="2C6ED1DC" w14:textId="77777777" w:rsidR="004E15DC" w:rsidRPr="00FB15B4" w:rsidRDefault="004E15DC" w:rsidP="004E15DC">
      <w:pPr>
        <w:pStyle w:val="ROstandaard"/>
        <w:jc w:val="both"/>
        <w:rPr>
          <w:rFonts w:asciiTheme="minorHAnsi" w:hAnsiTheme="minorHAnsi" w:cstheme="minorHAnsi"/>
          <w:b/>
          <w:sz w:val="22"/>
          <w:szCs w:val="22"/>
          <w:lang w:val="de-DE"/>
        </w:rPr>
      </w:pPr>
    </w:p>
    <w:p w14:paraId="3275B865" w14:textId="77777777" w:rsidR="004E15DC" w:rsidRPr="00FB15B4" w:rsidRDefault="004E15DC" w:rsidP="004E15DC">
      <w:pPr>
        <w:pStyle w:val="ROstandaard"/>
        <w:jc w:val="both"/>
        <w:rPr>
          <w:rFonts w:asciiTheme="minorHAnsi" w:hAnsiTheme="minorHAnsi" w:cstheme="minorHAnsi"/>
          <w:b/>
          <w:sz w:val="22"/>
          <w:szCs w:val="22"/>
          <w:lang w:val="de-DE"/>
        </w:rPr>
      </w:pPr>
    </w:p>
    <w:p w14:paraId="692FBB81" w14:textId="77777777" w:rsidR="004E15DC" w:rsidRPr="00FB15B4" w:rsidRDefault="004E15DC" w:rsidP="004E15DC">
      <w:pPr>
        <w:pStyle w:val="ROstandaard"/>
        <w:jc w:val="both"/>
        <w:rPr>
          <w:rFonts w:asciiTheme="minorHAnsi" w:hAnsiTheme="minorHAnsi" w:cstheme="minorHAnsi"/>
          <w:b/>
          <w:sz w:val="22"/>
          <w:szCs w:val="22"/>
          <w:lang w:val="de-DE"/>
        </w:rPr>
      </w:pPr>
    </w:p>
    <w:p w14:paraId="67392245" w14:textId="77777777" w:rsidR="004E15DC" w:rsidRPr="00FB15B4" w:rsidRDefault="004E15DC" w:rsidP="004E15DC">
      <w:pPr>
        <w:pStyle w:val="ROstandaard"/>
        <w:jc w:val="both"/>
        <w:rPr>
          <w:rFonts w:asciiTheme="minorHAnsi" w:hAnsiTheme="minorHAnsi" w:cstheme="minorHAnsi"/>
          <w:b/>
          <w:sz w:val="22"/>
          <w:szCs w:val="22"/>
          <w:lang w:val="de-DE"/>
        </w:rPr>
      </w:pPr>
    </w:p>
    <w:p w14:paraId="15E4AC2D" w14:textId="77777777" w:rsidR="004E15DC" w:rsidRPr="00FB15B4" w:rsidRDefault="004E15DC" w:rsidP="004E15DC">
      <w:pPr>
        <w:pStyle w:val="ROstandaard"/>
        <w:jc w:val="both"/>
        <w:rPr>
          <w:rFonts w:asciiTheme="minorHAnsi" w:hAnsiTheme="minorHAnsi" w:cstheme="minorHAnsi"/>
          <w:b/>
          <w:sz w:val="22"/>
          <w:szCs w:val="22"/>
          <w:lang w:val="de-DE"/>
        </w:rPr>
      </w:pPr>
    </w:p>
    <w:p w14:paraId="00ADFE89" w14:textId="77777777" w:rsidR="004E15DC" w:rsidRPr="00FB15B4" w:rsidRDefault="004E15DC" w:rsidP="004E15DC">
      <w:pPr>
        <w:pStyle w:val="ROstandaard"/>
        <w:jc w:val="both"/>
        <w:rPr>
          <w:rFonts w:asciiTheme="minorHAnsi" w:hAnsiTheme="minorHAnsi" w:cstheme="minorHAnsi"/>
          <w:b/>
          <w:sz w:val="22"/>
          <w:szCs w:val="22"/>
          <w:lang w:val="de-DE"/>
        </w:rPr>
      </w:pPr>
    </w:p>
    <w:p w14:paraId="2E0A8C7C" w14:textId="77777777" w:rsidR="004E15DC" w:rsidRPr="00FB15B4" w:rsidRDefault="004E15DC" w:rsidP="004E15DC">
      <w:pPr>
        <w:pStyle w:val="ROstandaard"/>
        <w:jc w:val="both"/>
        <w:rPr>
          <w:rFonts w:asciiTheme="minorHAnsi" w:hAnsiTheme="minorHAnsi" w:cstheme="minorHAnsi"/>
          <w:b/>
          <w:sz w:val="22"/>
          <w:szCs w:val="22"/>
          <w:lang w:val="de-DE"/>
        </w:rPr>
      </w:pPr>
    </w:p>
    <w:p w14:paraId="65BC4C29" w14:textId="77777777" w:rsidR="004E15DC" w:rsidRPr="00FB15B4" w:rsidRDefault="004E15DC" w:rsidP="004E15DC">
      <w:pPr>
        <w:pStyle w:val="ROstandaard"/>
        <w:jc w:val="both"/>
        <w:rPr>
          <w:rFonts w:asciiTheme="minorHAnsi" w:hAnsiTheme="minorHAnsi" w:cstheme="minorHAnsi"/>
          <w:b/>
          <w:sz w:val="22"/>
          <w:szCs w:val="22"/>
          <w:lang w:val="de-DE"/>
        </w:rPr>
      </w:pPr>
    </w:p>
    <w:p w14:paraId="03C2A172" w14:textId="77777777" w:rsidR="004E15DC" w:rsidRPr="00FB15B4" w:rsidRDefault="004E15DC" w:rsidP="004E15DC">
      <w:pPr>
        <w:pStyle w:val="ROstandaard"/>
        <w:jc w:val="both"/>
        <w:rPr>
          <w:rFonts w:asciiTheme="minorHAnsi" w:hAnsiTheme="minorHAnsi" w:cstheme="minorHAnsi"/>
          <w:b/>
          <w:sz w:val="22"/>
          <w:szCs w:val="22"/>
          <w:lang w:val="de-DE"/>
        </w:rPr>
      </w:pPr>
    </w:p>
    <w:p w14:paraId="5CB8346E" w14:textId="77777777" w:rsidR="004E15DC" w:rsidRPr="00FB15B4" w:rsidRDefault="004E15DC" w:rsidP="004E15DC">
      <w:pPr>
        <w:pStyle w:val="ROstandaard"/>
        <w:jc w:val="both"/>
        <w:rPr>
          <w:rFonts w:asciiTheme="minorHAnsi" w:hAnsiTheme="minorHAnsi" w:cstheme="minorHAnsi"/>
          <w:b/>
          <w:sz w:val="22"/>
          <w:szCs w:val="22"/>
          <w:lang w:val="de-DE"/>
        </w:rPr>
      </w:pPr>
    </w:p>
    <w:p w14:paraId="21C04BA3" w14:textId="77777777" w:rsidR="004E15DC" w:rsidRPr="00FB15B4" w:rsidRDefault="004E15DC" w:rsidP="004E15DC">
      <w:pPr>
        <w:pStyle w:val="ROstandaard"/>
        <w:jc w:val="both"/>
        <w:rPr>
          <w:rFonts w:asciiTheme="minorHAnsi" w:hAnsiTheme="minorHAnsi" w:cstheme="minorHAnsi"/>
          <w:b/>
          <w:sz w:val="22"/>
          <w:szCs w:val="22"/>
          <w:lang w:val="de-DE"/>
        </w:rPr>
      </w:pPr>
    </w:p>
    <w:p w14:paraId="6922605D" w14:textId="77777777" w:rsidR="004E15DC" w:rsidRPr="00FB15B4" w:rsidRDefault="004E15DC" w:rsidP="004E15DC">
      <w:pPr>
        <w:pStyle w:val="ROstandaard"/>
        <w:jc w:val="both"/>
        <w:rPr>
          <w:rFonts w:asciiTheme="minorHAnsi" w:hAnsiTheme="minorHAnsi" w:cstheme="minorHAnsi"/>
          <w:b/>
          <w:sz w:val="22"/>
          <w:szCs w:val="22"/>
          <w:lang w:val="de-DE"/>
        </w:rPr>
      </w:pPr>
    </w:p>
    <w:p w14:paraId="66D7B9CF" w14:textId="77777777" w:rsidR="004E15DC" w:rsidRPr="00FB15B4" w:rsidRDefault="004E15DC" w:rsidP="004E15DC">
      <w:pPr>
        <w:pStyle w:val="ROstandaard"/>
        <w:jc w:val="both"/>
        <w:rPr>
          <w:rFonts w:asciiTheme="minorHAnsi" w:hAnsiTheme="minorHAnsi" w:cstheme="minorHAnsi"/>
          <w:b/>
          <w:sz w:val="22"/>
          <w:szCs w:val="22"/>
          <w:lang w:val="de-DE"/>
        </w:rPr>
      </w:pPr>
    </w:p>
    <w:p w14:paraId="7D0014DC" w14:textId="77777777" w:rsidR="004E15DC" w:rsidRPr="00FB15B4" w:rsidRDefault="004E15DC" w:rsidP="004E15DC">
      <w:pPr>
        <w:pStyle w:val="ROstandaard"/>
        <w:jc w:val="both"/>
        <w:rPr>
          <w:rFonts w:asciiTheme="minorHAnsi" w:hAnsiTheme="minorHAnsi" w:cstheme="minorHAnsi"/>
          <w:b/>
          <w:sz w:val="22"/>
          <w:szCs w:val="22"/>
          <w:lang w:val="de-DE"/>
        </w:rPr>
      </w:pPr>
    </w:p>
    <w:p w14:paraId="072D33E3" w14:textId="77777777" w:rsidR="004E15DC" w:rsidRPr="00FB15B4" w:rsidRDefault="004E15DC" w:rsidP="004E15DC">
      <w:pPr>
        <w:pStyle w:val="ROstandaard"/>
        <w:jc w:val="both"/>
        <w:rPr>
          <w:rFonts w:asciiTheme="minorHAnsi" w:hAnsiTheme="minorHAnsi" w:cstheme="minorHAnsi"/>
          <w:b/>
          <w:sz w:val="22"/>
          <w:szCs w:val="22"/>
          <w:lang w:val="de-DE"/>
        </w:rPr>
      </w:pPr>
    </w:p>
    <w:p w14:paraId="6C2C3798" w14:textId="77777777" w:rsidR="004E15DC" w:rsidRPr="00FB15B4" w:rsidRDefault="004E15DC" w:rsidP="004E15DC">
      <w:pPr>
        <w:pStyle w:val="ROstandaard"/>
        <w:jc w:val="both"/>
        <w:rPr>
          <w:rFonts w:asciiTheme="minorHAnsi" w:hAnsiTheme="minorHAnsi" w:cstheme="minorHAnsi"/>
          <w:b/>
          <w:sz w:val="22"/>
          <w:szCs w:val="22"/>
          <w:lang w:val="de-DE"/>
        </w:rPr>
      </w:pPr>
    </w:p>
    <w:p w14:paraId="775DC1E5" w14:textId="77777777" w:rsidR="004E15DC" w:rsidRPr="00FB15B4" w:rsidRDefault="004E15DC" w:rsidP="004E15DC">
      <w:pPr>
        <w:pStyle w:val="ROstandaard"/>
        <w:jc w:val="both"/>
        <w:rPr>
          <w:rFonts w:asciiTheme="minorHAnsi" w:hAnsiTheme="minorHAnsi" w:cstheme="minorHAnsi"/>
          <w:b/>
          <w:sz w:val="22"/>
          <w:szCs w:val="22"/>
          <w:lang w:val="de-DE"/>
        </w:rPr>
      </w:pPr>
    </w:p>
    <w:p w14:paraId="62E45BCF" w14:textId="77777777" w:rsidR="004E15DC" w:rsidRPr="00FB15B4" w:rsidRDefault="004E15DC" w:rsidP="004E15DC">
      <w:pPr>
        <w:pStyle w:val="ROstandaard"/>
        <w:jc w:val="both"/>
        <w:rPr>
          <w:rFonts w:asciiTheme="minorHAnsi" w:hAnsiTheme="minorHAnsi" w:cstheme="minorHAnsi"/>
          <w:b/>
          <w:sz w:val="22"/>
          <w:szCs w:val="22"/>
          <w:lang w:val="de-DE"/>
        </w:rPr>
      </w:pPr>
    </w:p>
    <w:p w14:paraId="6DA30A82" w14:textId="77777777" w:rsidR="004E15DC" w:rsidRPr="00FB15B4" w:rsidRDefault="004E15DC" w:rsidP="004E15DC">
      <w:pPr>
        <w:pStyle w:val="ROstandaard"/>
        <w:jc w:val="both"/>
        <w:rPr>
          <w:rFonts w:asciiTheme="minorHAnsi" w:hAnsiTheme="minorHAnsi" w:cstheme="minorHAnsi"/>
          <w:b/>
          <w:sz w:val="22"/>
          <w:szCs w:val="22"/>
          <w:lang w:val="de-DE"/>
        </w:rPr>
      </w:pPr>
    </w:p>
    <w:p w14:paraId="22D7162A" w14:textId="77777777" w:rsidR="004E15DC" w:rsidRPr="00FB15B4" w:rsidRDefault="004E15DC" w:rsidP="004E15DC">
      <w:pPr>
        <w:pStyle w:val="ROstandaard"/>
        <w:jc w:val="both"/>
        <w:rPr>
          <w:rFonts w:asciiTheme="minorHAnsi" w:hAnsiTheme="minorHAnsi" w:cstheme="minorHAnsi"/>
          <w:b/>
          <w:sz w:val="22"/>
          <w:szCs w:val="22"/>
          <w:lang w:val="de-DE"/>
        </w:rPr>
      </w:pPr>
    </w:p>
    <w:p w14:paraId="307A0354" w14:textId="77777777" w:rsidR="004E15DC" w:rsidRPr="00FB15B4" w:rsidRDefault="004E15DC" w:rsidP="004E15DC">
      <w:pPr>
        <w:pStyle w:val="ROstandaard"/>
        <w:jc w:val="both"/>
        <w:rPr>
          <w:rFonts w:asciiTheme="minorHAnsi" w:hAnsiTheme="minorHAnsi" w:cstheme="minorHAnsi"/>
          <w:b/>
          <w:sz w:val="22"/>
          <w:szCs w:val="22"/>
          <w:lang w:val="de-DE"/>
        </w:rPr>
      </w:pPr>
    </w:p>
    <w:p w14:paraId="53DE7E96" w14:textId="77777777" w:rsidR="004E15DC" w:rsidRPr="00FB15B4" w:rsidRDefault="004E15DC" w:rsidP="004E15DC">
      <w:pPr>
        <w:pStyle w:val="ROstandaard"/>
        <w:jc w:val="both"/>
        <w:rPr>
          <w:rFonts w:asciiTheme="minorHAnsi" w:hAnsiTheme="minorHAnsi" w:cstheme="minorHAnsi"/>
          <w:b/>
          <w:sz w:val="22"/>
          <w:szCs w:val="22"/>
          <w:lang w:val="de-DE"/>
        </w:rPr>
      </w:pPr>
    </w:p>
    <w:p w14:paraId="19AB2EDD" w14:textId="77777777" w:rsidR="004E15DC" w:rsidRPr="00FB15B4" w:rsidRDefault="004E15DC" w:rsidP="004E15DC">
      <w:pPr>
        <w:pStyle w:val="ROstandaard"/>
        <w:jc w:val="both"/>
        <w:rPr>
          <w:rFonts w:asciiTheme="minorHAnsi" w:hAnsiTheme="minorHAnsi" w:cstheme="minorHAnsi"/>
          <w:b/>
          <w:sz w:val="22"/>
          <w:szCs w:val="22"/>
          <w:lang w:val="de-DE"/>
        </w:rPr>
      </w:pPr>
    </w:p>
    <w:p w14:paraId="57319D1D" w14:textId="77777777" w:rsidR="004E15DC" w:rsidRPr="00FB15B4" w:rsidRDefault="004E15DC" w:rsidP="004E15DC">
      <w:pPr>
        <w:pStyle w:val="ROstandaard"/>
        <w:jc w:val="both"/>
        <w:rPr>
          <w:rFonts w:asciiTheme="minorHAnsi" w:hAnsiTheme="minorHAnsi" w:cstheme="minorHAnsi"/>
          <w:b/>
          <w:sz w:val="22"/>
          <w:szCs w:val="22"/>
          <w:lang w:val="de-DE"/>
        </w:rPr>
      </w:pPr>
    </w:p>
    <w:p w14:paraId="256550A8" w14:textId="77777777" w:rsidR="004E15DC" w:rsidRPr="00FB15B4" w:rsidRDefault="004E15DC" w:rsidP="004E15DC">
      <w:pPr>
        <w:pStyle w:val="ROstandaard"/>
        <w:jc w:val="both"/>
        <w:rPr>
          <w:rFonts w:asciiTheme="minorHAnsi" w:hAnsiTheme="minorHAnsi" w:cstheme="minorHAnsi"/>
          <w:b/>
          <w:sz w:val="22"/>
          <w:szCs w:val="22"/>
          <w:lang w:val="de-DE"/>
        </w:rPr>
      </w:pPr>
    </w:p>
    <w:p w14:paraId="3AD3FED2" w14:textId="77777777" w:rsidR="004E15DC" w:rsidRPr="00FB15B4" w:rsidRDefault="004E15DC" w:rsidP="004E15DC">
      <w:pPr>
        <w:pStyle w:val="ROstandaard"/>
        <w:jc w:val="both"/>
        <w:rPr>
          <w:rFonts w:asciiTheme="minorHAnsi" w:hAnsiTheme="minorHAnsi" w:cstheme="minorHAnsi"/>
          <w:b/>
          <w:sz w:val="22"/>
          <w:szCs w:val="22"/>
          <w:lang w:val="de-DE"/>
        </w:rPr>
      </w:pPr>
    </w:p>
    <w:p w14:paraId="71E38432" w14:textId="77777777" w:rsidR="004E15DC" w:rsidRPr="00FB15B4" w:rsidRDefault="004E15DC" w:rsidP="004E15DC">
      <w:pPr>
        <w:pStyle w:val="ROstandaard"/>
        <w:jc w:val="both"/>
        <w:rPr>
          <w:rFonts w:asciiTheme="minorHAnsi" w:hAnsiTheme="minorHAnsi" w:cstheme="minorHAnsi"/>
          <w:b/>
          <w:sz w:val="22"/>
          <w:szCs w:val="22"/>
          <w:lang w:val="de-DE"/>
        </w:rPr>
      </w:pPr>
    </w:p>
    <w:p w14:paraId="40535E10" w14:textId="77777777" w:rsidR="004E15DC" w:rsidRPr="00FB15B4" w:rsidRDefault="004E15DC" w:rsidP="004E15DC">
      <w:pPr>
        <w:pStyle w:val="ROstandaard"/>
        <w:jc w:val="both"/>
        <w:rPr>
          <w:rFonts w:asciiTheme="minorHAnsi" w:hAnsiTheme="minorHAnsi" w:cstheme="minorHAnsi"/>
          <w:b/>
          <w:sz w:val="22"/>
          <w:szCs w:val="22"/>
          <w:lang w:val="de-DE"/>
        </w:rPr>
      </w:pPr>
    </w:p>
    <w:p w14:paraId="594C54DE" w14:textId="77777777" w:rsidR="004E15DC" w:rsidRDefault="004E15DC" w:rsidP="004E15DC">
      <w:pPr>
        <w:pStyle w:val="ROstandaard"/>
        <w:jc w:val="both"/>
        <w:rPr>
          <w:rFonts w:asciiTheme="minorHAnsi" w:hAnsiTheme="minorHAnsi" w:cstheme="minorHAnsi"/>
          <w:b/>
          <w:sz w:val="22"/>
          <w:szCs w:val="22"/>
          <w:lang w:val="de-DE"/>
        </w:rPr>
      </w:pPr>
    </w:p>
    <w:p w14:paraId="6060A64F" w14:textId="77777777" w:rsidR="004E15DC" w:rsidRDefault="004E15DC" w:rsidP="004E15DC">
      <w:pPr>
        <w:pStyle w:val="ROstandaard"/>
        <w:jc w:val="both"/>
        <w:rPr>
          <w:rFonts w:asciiTheme="minorHAnsi" w:hAnsiTheme="minorHAnsi" w:cstheme="minorHAnsi"/>
          <w:b/>
          <w:sz w:val="22"/>
          <w:szCs w:val="22"/>
          <w:lang w:val="de-DE"/>
        </w:rPr>
      </w:pPr>
    </w:p>
    <w:p w14:paraId="76D9007C" w14:textId="77777777" w:rsidR="004E15DC" w:rsidRDefault="004E15DC" w:rsidP="004E15DC">
      <w:pPr>
        <w:pStyle w:val="ROstandaard"/>
        <w:jc w:val="both"/>
        <w:rPr>
          <w:rFonts w:asciiTheme="minorHAnsi" w:hAnsiTheme="minorHAnsi" w:cstheme="minorHAnsi"/>
          <w:b/>
          <w:sz w:val="22"/>
          <w:szCs w:val="22"/>
          <w:lang w:val="de-DE"/>
        </w:rPr>
      </w:pPr>
    </w:p>
    <w:p w14:paraId="7DF48270" w14:textId="77777777" w:rsidR="004E15DC" w:rsidRDefault="004E15DC" w:rsidP="004E15DC">
      <w:pPr>
        <w:pStyle w:val="ROstandaard"/>
        <w:jc w:val="both"/>
        <w:rPr>
          <w:rFonts w:asciiTheme="minorHAnsi" w:hAnsiTheme="minorHAnsi" w:cstheme="minorHAnsi"/>
          <w:b/>
          <w:sz w:val="22"/>
          <w:szCs w:val="22"/>
          <w:lang w:val="de-DE"/>
        </w:rPr>
      </w:pPr>
    </w:p>
    <w:p w14:paraId="283D0A62" w14:textId="77777777" w:rsidR="004E15DC" w:rsidRDefault="004E15DC" w:rsidP="004E15DC">
      <w:pPr>
        <w:pStyle w:val="ROstandaard"/>
        <w:jc w:val="both"/>
        <w:rPr>
          <w:rFonts w:asciiTheme="minorHAnsi" w:hAnsiTheme="minorHAnsi" w:cstheme="minorHAnsi"/>
          <w:b/>
          <w:sz w:val="22"/>
          <w:szCs w:val="22"/>
          <w:lang w:val="de-DE"/>
        </w:rPr>
      </w:pPr>
    </w:p>
    <w:p w14:paraId="48C429A4" w14:textId="77777777" w:rsidR="004E15DC" w:rsidRDefault="004E15DC" w:rsidP="004E15DC">
      <w:pPr>
        <w:pStyle w:val="ROstandaard"/>
        <w:jc w:val="both"/>
        <w:rPr>
          <w:rFonts w:asciiTheme="minorHAnsi" w:hAnsiTheme="minorHAnsi" w:cstheme="minorHAnsi"/>
          <w:b/>
          <w:sz w:val="22"/>
          <w:szCs w:val="22"/>
          <w:lang w:val="de-DE"/>
        </w:rPr>
      </w:pPr>
    </w:p>
    <w:p w14:paraId="287E62D4" w14:textId="77777777" w:rsidR="004E15DC" w:rsidRDefault="004E15DC" w:rsidP="004E15DC">
      <w:pPr>
        <w:pStyle w:val="ROstandaard"/>
        <w:jc w:val="both"/>
        <w:rPr>
          <w:rFonts w:asciiTheme="minorHAnsi" w:hAnsiTheme="minorHAnsi" w:cstheme="minorHAnsi"/>
          <w:b/>
          <w:sz w:val="22"/>
          <w:szCs w:val="22"/>
          <w:lang w:val="de-DE"/>
        </w:rPr>
      </w:pPr>
    </w:p>
    <w:p w14:paraId="13A22839" w14:textId="77777777" w:rsidR="004E15DC" w:rsidRDefault="004E15DC" w:rsidP="004E15DC">
      <w:pPr>
        <w:pStyle w:val="ROstandaard"/>
        <w:jc w:val="both"/>
        <w:rPr>
          <w:rFonts w:asciiTheme="minorHAnsi" w:hAnsiTheme="minorHAnsi" w:cstheme="minorHAnsi"/>
          <w:b/>
          <w:sz w:val="22"/>
          <w:szCs w:val="22"/>
          <w:lang w:val="de-DE"/>
        </w:rPr>
      </w:pPr>
    </w:p>
    <w:p w14:paraId="4EEDD7F1" w14:textId="77777777" w:rsidR="004E15DC" w:rsidRDefault="004E15DC" w:rsidP="004E15DC">
      <w:pPr>
        <w:pStyle w:val="ROstandaard"/>
        <w:jc w:val="both"/>
        <w:rPr>
          <w:rFonts w:asciiTheme="minorHAnsi" w:hAnsiTheme="minorHAnsi" w:cstheme="minorHAnsi"/>
          <w:b/>
          <w:sz w:val="22"/>
          <w:szCs w:val="22"/>
          <w:lang w:val="de-DE"/>
        </w:rPr>
      </w:pPr>
    </w:p>
    <w:p w14:paraId="15820C19" w14:textId="77777777" w:rsidR="004E15DC" w:rsidRDefault="004E15DC" w:rsidP="004E15DC">
      <w:pPr>
        <w:pStyle w:val="ROstandaard"/>
        <w:jc w:val="both"/>
        <w:rPr>
          <w:rFonts w:asciiTheme="minorHAnsi" w:hAnsiTheme="minorHAnsi" w:cstheme="minorHAnsi"/>
          <w:b/>
          <w:sz w:val="22"/>
          <w:szCs w:val="22"/>
          <w:lang w:val="de-DE"/>
        </w:rPr>
      </w:pPr>
    </w:p>
    <w:p w14:paraId="3916E2DD" w14:textId="77777777" w:rsidR="004E15DC" w:rsidRDefault="004E15DC" w:rsidP="004E15DC">
      <w:pPr>
        <w:pStyle w:val="ROstandaard"/>
        <w:jc w:val="both"/>
        <w:rPr>
          <w:rFonts w:asciiTheme="minorHAnsi" w:hAnsiTheme="minorHAnsi" w:cstheme="minorHAnsi"/>
          <w:b/>
          <w:sz w:val="22"/>
          <w:szCs w:val="22"/>
          <w:lang w:val="de-DE"/>
        </w:rPr>
      </w:pPr>
    </w:p>
    <w:p w14:paraId="3E0A1293" w14:textId="77777777" w:rsidR="004E15DC" w:rsidRDefault="004E15DC" w:rsidP="004E15DC">
      <w:pPr>
        <w:pStyle w:val="ROstandaard"/>
        <w:jc w:val="both"/>
        <w:rPr>
          <w:rFonts w:asciiTheme="minorHAnsi" w:hAnsiTheme="minorHAnsi" w:cstheme="minorHAnsi"/>
          <w:b/>
          <w:sz w:val="22"/>
          <w:szCs w:val="22"/>
          <w:lang w:val="de-DE"/>
        </w:rPr>
      </w:pPr>
    </w:p>
    <w:p w14:paraId="23776686" w14:textId="77777777" w:rsidR="004E15DC" w:rsidRDefault="004E15DC" w:rsidP="004E15DC">
      <w:pPr>
        <w:pStyle w:val="ROstandaard"/>
        <w:jc w:val="both"/>
        <w:rPr>
          <w:rFonts w:asciiTheme="minorHAnsi" w:hAnsiTheme="minorHAnsi" w:cstheme="minorHAnsi"/>
          <w:b/>
          <w:sz w:val="22"/>
          <w:szCs w:val="22"/>
          <w:lang w:val="de-DE"/>
        </w:rPr>
      </w:pPr>
    </w:p>
    <w:p w14:paraId="36A4E358" w14:textId="77777777" w:rsidR="004E15DC" w:rsidRDefault="004E15DC" w:rsidP="004E15DC">
      <w:pPr>
        <w:pStyle w:val="ROstandaard"/>
        <w:jc w:val="both"/>
        <w:rPr>
          <w:rFonts w:asciiTheme="minorHAnsi" w:hAnsiTheme="minorHAnsi" w:cstheme="minorHAnsi"/>
          <w:b/>
          <w:sz w:val="22"/>
          <w:szCs w:val="22"/>
          <w:lang w:val="de-DE"/>
        </w:rPr>
      </w:pPr>
    </w:p>
    <w:p w14:paraId="4F9D0709" w14:textId="77777777" w:rsidR="004E15DC" w:rsidRPr="00FB15B4" w:rsidRDefault="004E15DC" w:rsidP="004E15DC">
      <w:pPr>
        <w:pStyle w:val="ROstandaard"/>
        <w:jc w:val="both"/>
        <w:rPr>
          <w:rFonts w:asciiTheme="minorHAnsi" w:hAnsiTheme="minorHAnsi" w:cstheme="minorHAnsi"/>
          <w:b/>
          <w:sz w:val="22"/>
          <w:szCs w:val="22"/>
          <w:lang w:val="de-DE"/>
        </w:rPr>
      </w:pPr>
    </w:p>
    <w:p w14:paraId="349932A6" w14:textId="77777777" w:rsidR="004E15DC" w:rsidRPr="003A5D82" w:rsidRDefault="004E15DC" w:rsidP="00257E07">
      <w:pPr>
        <w:pStyle w:val="ROstandaard"/>
        <w:spacing w:line="276" w:lineRule="auto"/>
        <w:jc w:val="both"/>
        <w:rPr>
          <w:rFonts w:asciiTheme="minorHAnsi" w:hAnsiTheme="minorHAnsi" w:cstheme="minorHAnsi"/>
          <w:b/>
          <w:sz w:val="22"/>
          <w:szCs w:val="22"/>
          <w:lang w:val="de-DE"/>
        </w:rPr>
      </w:pPr>
      <w:r w:rsidRPr="003A5D82">
        <w:rPr>
          <w:rFonts w:asciiTheme="minorHAnsi" w:hAnsiTheme="minorHAnsi" w:cstheme="minorHAnsi"/>
          <w:b/>
          <w:sz w:val="22"/>
          <w:szCs w:val="22"/>
          <w:lang w:val="nl-NL"/>
        </w:rPr>
        <w:t>Auteurs</w:t>
      </w:r>
    </w:p>
    <w:p w14:paraId="7438CDD0" w14:textId="77777777" w:rsidR="004E15DC" w:rsidRPr="003A5D82" w:rsidRDefault="004E15DC" w:rsidP="00257E07">
      <w:pPr>
        <w:pStyle w:val="ROstandaard"/>
        <w:spacing w:line="276" w:lineRule="auto"/>
        <w:jc w:val="both"/>
        <w:rPr>
          <w:rFonts w:asciiTheme="minorHAnsi" w:hAnsiTheme="minorHAnsi" w:cstheme="minorHAnsi"/>
          <w:sz w:val="22"/>
          <w:szCs w:val="22"/>
          <w:lang w:val="de-DE"/>
        </w:rPr>
      </w:pPr>
      <w:r w:rsidRPr="003A5D82">
        <w:rPr>
          <w:rFonts w:asciiTheme="minorHAnsi" w:hAnsiTheme="minorHAnsi" w:cstheme="minorHAnsi"/>
          <w:sz w:val="22"/>
          <w:szCs w:val="22"/>
          <w:lang w:val="de-DE"/>
        </w:rPr>
        <w:t xml:space="preserve">Britt Wolterman - RVO </w:t>
      </w:r>
    </w:p>
    <w:p w14:paraId="1FFECFFB" w14:textId="77777777" w:rsidR="003A5D82" w:rsidRPr="003A5D82" w:rsidRDefault="003A5D82" w:rsidP="003A5D82">
      <w:pPr>
        <w:pStyle w:val="ROstandaard"/>
        <w:spacing w:line="276" w:lineRule="auto"/>
        <w:jc w:val="both"/>
        <w:rPr>
          <w:rFonts w:asciiTheme="minorHAnsi" w:hAnsiTheme="minorHAnsi" w:cstheme="minorHAnsi"/>
          <w:sz w:val="22"/>
          <w:szCs w:val="22"/>
          <w:lang w:val="nl-NL"/>
        </w:rPr>
      </w:pPr>
      <w:r w:rsidRPr="003A5D82">
        <w:rPr>
          <w:rFonts w:asciiTheme="minorHAnsi" w:hAnsiTheme="minorHAnsi" w:cstheme="minorHAnsi"/>
          <w:sz w:val="22"/>
          <w:szCs w:val="22"/>
          <w:lang w:val="nl-NL"/>
        </w:rPr>
        <w:t xml:space="preserve">Ellen Hiep – VER </w:t>
      </w:r>
    </w:p>
    <w:p w14:paraId="3B773636" w14:textId="77777777" w:rsidR="003A5D82" w:rsidRPr="003A5D82" w:rsidRDefault="003A5D82" w:rsidP="003A5D82">
      <w:pPr>
        <w:pStyle w:val="ROstandaard"/>
        <w:spacing w:line="276" w:lineRule="auto"/>
        <w:jc w:val="both"/>
        <w:rPr>
          <w:rFonts w:asciiTheme="minorHAnsi" w:hAnsiTheme="minorHAnsi" w:cstheme="minorHAnsi"/>
          <w:sz w:val="22"/>
          <w:szCs w:val="22"/>
          <w:lang w:val="nl-NL"/>
        </w:rPr>
      </w:pPr>
      <w:r w:rsidRPr="003A5D82">
        <w:rPr>
          <w:rFonts w:asciiTheme="minorHAnsi" w:hAnsiTheme="minorHAnsi" w:cstheme="minorHAnsi"/>
          <w:sz w:val="22"/>
          <w:szCs w:val="22"/>
          <w:lang w:val="nl-NL"/>
        </w:rPr>
        <w:t>Maarten van Biezen – VER</w:t>
      </w:r>
    </w:p>
    <w:p w14:paraId="7D303BE5" w14:textId="77777777" w:rsidR="004E15DC" w:rsidRPr="003A5D82" w:rsidRDefault="004E15DC" w:rsidP="00257E07">
      <w:pPr>
        <w:pStyle w:val="ROstandaard"/>
        <w:spacing w:line="276" w:lineRule="auto"/>
        <w:jc w:val="both"/>
        <w:rPr>
          <w:rFonts w:asciiTheme="minorHAnsi" w:hAnsiTheme="minorHAnsi" w:cstheme="minorHAnsi"/>
          <w:sz w:val="22"/>
          <w:szCs w:val="22"/>
          <w:lang w:val="nl-NL"/>
        </w:rPr>
      </w:pPr>
      <w:r w:rsidRPr="003A5D82">
        <w:rPr>
          <w:rFonts w:asciiTheme="minorHAnsi" w:hAnsiTheme="minorHAnsi" w:cstheme="minorHAnsi"/>
          <w:sz w:val="22"/>
          <w:szCs w:val="22"/>
          <w:lang w:val="nl-NL"/>
        </w:rPr>
        <w:t>Marisca Zweistra – ElaadNL</w:t>
      </w:r>
    </w:p>
    <w:p w14:paraId="7BD391B3" w14:textId="77777777" w:rsidR="004E15DC" w:rsidRPr="003A5D82" w:rsidRDefault="004E15DC" w:rsidP="00257E07">
      <w:pPr>
        <w:pStyle w:val="ROstandaard"/>
        <w:spacing w:line="276" w:lineRule="auto"/>
        <w:jc w:val="both"/>
        <w:rPr>
          <w:rFonts w:asciiTheme="minorHAnsi" w:hAnsiTheme="minorHAnsi" w:cstheme="minorHAnsi"/>
          <w:sz w:val="22"/>
          <w:szCs w:val="22"/>
          <w:lang w:val="nl-NL"/>
        </w:rPr>
      </w:pPr>
    </w:p>
    <w:p w14:paraId="7E896E3E" w14:textId="77777777" w:rsidR="004E15DC" w:rsidRPr="003A5D82" w:rsidRDefault="004E15DC" w:rsidP="00257E07">
      <w:pPr>
        <w:pStyle w:val="ROstandaard"/>
        <w:spacing w:line="276" w:lineRule="auto"/>
        <w:jc w:val="both"/>
        <w:rPr>
          <w:rFonts w:asciiTheme="minorHAnsi" w:hAnsiTheme="minorHAnsi" w:cstheme="minorHAnsi"/>
          <w:b/>
          <w:sz w:val="22"/>
          <w:szCs w:val="22"/>
          <w:lang w:val="nl-NL"/>
        </w:rPr>
      </w:pPr>
      <w:r w:rsidRPr="003A5D82">
        <w:rPr>
          <w:rFonts w:asciiTheme="minorHAnsi" w:hAnsiTheme="minorHAnsi" w:cstheme="minorHAnsi"/>
          <w:b/>
          <w:sz w:val="22"/>
          <w:szCs w:val="22"/>
          <w:lang w:val="nl-NL"/>
        </w:rPr>
        <w:t>Analisten</w:t>
      </w:r>
    </w:p>
    <w:p w14:paraId="6573BCE7" w14:textId="77777777" w:rsidR="003A5D82" w:rsidRPr="00990E14" w:rsidRDefault="003A5D82" w:rsidP="003A5D82">
      <w:pPr>
        <w:pStyle w:val="ROstandaard"/>
        <w:spacing w:line="276" w:lineRule="auto"/>
        <w:jc w:val="both"/>
        <w:rPr>
          <w:rFonts w:asciiTheme="minorHAnsi" w:hAnsiTheme="minorHAnsi" w:cstheme="minorHAnsi"/>
          <w:sz w:val="22"/>
          <w:szCs w:val="22"/>
          <w:lang w:val="nl-NL"/>
        </w:rPr>
      </w:pPr>
      <w:r w:rsidRPr="00990E14">
        <w:rPr>
          <w:rFonts w:asciiTheme="minorHAnsi" w:hAnsiTheme="minorHAnsi" w:cstheme="minorHAnsi"/>
          <w:sz w:val="22"/>
          <w:szCs w:val="22"/>
          <w:lang w:val="nl-NL"/>
        </w:rPr>
        <w:t>Charlie Walker Clarke - RUG</w:t>
      </w:r>
    </w:p>
    <w:p w14:paraId="6A210539" w14:textId="77777777" w:rsidR="003A5D82" w:rsidRPr="003A5D82" w:rsidRDefault="003A5D82" w:rsidP="003A5D82">
      <w:pPr>
        <w:pStyle w:val="ROstandaard"/>
        <w:spacing w:line="276" w:lineRule="auto"/>
        <w:jc w:val="both"/>
        <w:rPr>
          <w:rFonts w:asciiTheme="minorHAnsi" w:hAnsiTheme="minorHAnsi" w:cstheme="minorHAnsi"/>
          <w:sz w:val="22"/>
          <w:szCs w:val="22"/>
          <w:lang w:val="nl-NL"/>
        </w:rPr>
      </w:pPr>
      <w:r w:rsidRPr="003A5D82">
        <w:rPr>
          <w:rFonts w:asciiTheme="minorHAnsi" w:hAnsiTheme="minorHAnsi" w:cstheme="minorHAnsi"/>
          <w:sz w:val="22"/>
          <w:szCs w:val="22"/>
          <w:lang w:val="nl-NL"/>
        </w:rPr>
        <w:t>Jeroen Vos - ElaadNL</w:t>
      </w:r>
    </w:p>
    <w:p w14:paraId="79574837" w14:textId="77777777" w:rsidR="004E15DC" w:rsidRPr="003A5D82" w:rsidRDefault="004E15DC" w:rsidP="00257E07">
      <w:pPr>
        <w:pStyle w:val="ROstandaard"/>
        <w:spacing w:line="276" w:lineRule="auto"/>
        <w:jc w:val="both"/>
        <w:rPr>
          <w:rFonts w:asciiTheme="minorHAnsi" w:hAnsiTheme="minorHAnsi" w:cstheme="minorHAnsi"/>
          <w:sz w:val="22"/>
          <w:szCs w:val="22"/>
          <w:lang w:val="nl-NL"/>
        </w:rPr>
      </w:pPr>
      <w:r w:rsidRPr="003A5D82">
        <w:rPr>
          <w:rFonts w:asciiTheme="minorHAnsi" w:hAnsiTheme="minorHAnsi" w:cstheme="minorHAnsi"/>
          <w:sz w:val="22"/>
          <w:szCs w:val="22"/>
          <w:lang w:val="nl-NL"/>
        </w:rPr>
        <w:t>Peter Markotic – ElaadNL</w:t>
      </w:r>
    </w:p>
    <w:p w14:paraId="196036AB" w14:textId="7963FE3D" w:rsidR="00F54E49" w:rsidRPr="003A5D82" w:rsidRDefault="00F54E49" w:rsidP="00FF48DD">
      <w:pPr>
        <w:pStyle w:val="ROstandaard"/>
        <w:spacing w:line="276" w:lineRule="auto"/>
        <w:jc w:val="both"/>
        <w:rPr>
          <w:rFonts w:asciiTheme="minorHAnsi" w:hAnsiTheme="minorHAnsi" w:cstheme="minorHAnsi"/>
          <w:sz w:val="22"/>
          <w:szCs w:val="22"/>
          <w:lang w:val="nl-NL"/>
        </w:rPr>
      </w:pPr>
      <w:r w:rsidRPr="003A5D82">
        <w:rPr>
          <w:rFonts w:asciiTheme="minorHAnsi" w:hAnsiTheme="minorHAnsi" w:cstheme="minorHAnsi"/>
          <w:sz w:val="22"/>
          <w:szCs w:val="22"/>
          <w:lang w:val="nl-NL"/>
        </w:rPr>
        <w:t>Thijs Duurkoop - RVO</w:t>
      </w:r>
    </w:p>
    <w:sdt>
      <w:sdtPr>
        <w:rPr>
          <w:rFonts w:asciiTheme="minorHAnsi" w:eastAsiaTheme="minorEastAsia" w:hAnsiTheme="minorHAnsi" w:cstheme="minorBidi"/>
          <w:color w:val="auto"/>
          <w:sz w:val="22"/>
          <w:szCs w:val="22"/>
          <w:lang w:eastAsia="en-US"/>
        </w:rPr>
        <w:id w:val="-2061160253"/>
        <w:docPartObj>
          <w:docPartGallery w:val="Table of Contents"/>
          <w:docPartUnique/>
        </w:docPartObj>
      </w:sdtPr>
      <w:sdtEndPr>
        <w:rPr>
          <w:b/>
        </w:rPr>
      </w:sdtEndPr>
      <w:sdtContent>
        <w:p w14:paraId="26C602AC" w14:textId="77777777" w:rsidR="00FF48DD" w:rsidRPr="0089494B" w:rsidRDefault="00FF48DD" w:rsidP="00FF48DD">
          <w:pPr>
            <w:pStyle w:val="Kopvaninhoudsopgave"/>
            <w:rPr>
              <w:color w:val="2C307E"/>
              <w:lang w:val="en-US"/>
            </w:rPr>
          </w:pPr>
          <w:r w:rsidRPr="0089494B">
            <w:rPr>
              <w:color w:val="2C307E"/>
              <w:lang w:val="en-US"/>
            </w:rPr>
            <w:t>Inhoudsopgave</w:t>
          </w:r>
        </w:p>
        <w:p w14:paraId="4A4EC75E" w14:textId="2C2FC798" w:rsidR="0089494B" w:rsidRPr="0089494B" w:rsidRDefault="00FF48DD">
          <w:pPr>
            <w:pStyle w:val="Inhopg1"/>
            <w:tabs>
              <w:tab w:val="right" w:leader="dot" w:pos="4172"/>
            </w:tabs>
            <w:rPr>
              <w:rFonts w:eastAsiaTheme="minorEastAsia"/>
              <w:noProof/>
              <w:color w:val="2C307E"/>
              <w:kern w:val="2"/>
              <w:sz w:val="24"/>
              <w:szCs w:val="24"/>
              <w:lang w:eastAsia="nl-NL"/>
              <w14:ligatures w14:val="standardContextual"/>
            </w:rPr>
          </w:pPr>
          <w:r w:rsidRPr="0089494B">
            <w:rPr>
              <w:color w:val="2C307E"/>
            </w:rPr>
            <w:fldChar w:fldCharType="begin"/>
          </w:r>
          <w:r w:rsidRPr="0089494B">
            <w:rPr>
              <w:color w:val="2C307E"/>
            </w:rPr>
            <w:instrText xml:space="preserve"> TOC \o "1-3" \h \z \u </w:instrText>
          </w:r>
          <w:r w:rsidRPr="0089494B">
            <w:rPr>
              <w:color w:val="2C307E"/>
            </w:rPr>
            <w:fldChar w:fldCharType="separate"/>
          </w:r>
          <w:hyperlink w:anchor="_Toc209710034" w:history="1">
            <w:r w:rsidR="0089494B" w:rsidRPr="0089494B">
              <w:rPr>
                <w:rStyle w:val="Hyperlink"/>
                <w:noProof/>
                <w:color w:val="2C307E"/>
              </w:rPr>
              <w:t>Samenvatting</w:t>
            </w:r>
            <w:r w:rsidR="0089494B" w:rsidRPr="0089494B">
              <w:rPr>
                <w:noProof/>
                <w:webHidden/>
                <w:color w:val="2C307E"/>
              </w:rPr>
              <w:tab/>
            </w:r>
            <w:r w:rsidR="0089494B" w:rsidRPr="0089494B">
              <w:rPr>
                <w:noProof/>
                <w:webHidden/>
                <w:color w:val="2C307E"/>
              </w:rPr>
              <w:fldChar w:fldCharType="begin"/>
            </w:r>
            <w:r w:rsidR="0089494B" w:rsidRPr="0089494B">
              <w:rPr>
                <w:noProof/>
                <w:webHidden/>
                <w:color w:val="2C307E"/>
              </w:rPr>
              <w:instrText xml:space="preserve"> PAGEREF _Toc209710034 \h </w:instrText>
            </w:r>
            <w:r w:rsidR="0089494B" w:rsidRPr="0089494B">
              <w:rPr>
                <w:noProof/>
                <w:webHidden/>
                <w:color w:val="2C307E"/>
              </w:rPr>
            </w:r>
            <w:r w:rsidR="0089494B" w:rsidRPr="0089494B">
              <w:rPr>
                <w:noProof/>
                <w:webHidden/>
                <w:color w:val="2C307E"/>
              </w:rPr>
              <w:fldChar w:fldCharType="separate"/>
            </w:r>
            <w:r w:rsidR="0089494B" w:rsidRPr="0089494B">
              <w:rPr>
                <w:noProof/>
                <w:webHidden/>
                <w:color w:val="2C307E"/>
              </w:rPr>
              <w:t>4</w:t>
            </w:r>
            <w:r w:rsidR="0089494B" w:rsidRPr="0089494B">
              <w:rPr>
                <w:noProof/>
                <w:webHidden/>
                <w:color w:val="2C307E"/>
              </w:rPr>
              <w:fldChar w:fldCharType="end"/>
            </w:r>
          </w:hyperlink>
        </w:p>
        <w:p w14:paraId="4B432B67" w14:textId="2DFF1388" w:rsidR="0089494B" w:rsidRPr="0089494B" w:rsidRDefault="0089494B">
          <w:pPr>
            <w:pStyle w:val="Inhopg1"/>
            <w:tabs>
              <w:tab w:val="left" w:pos="440"/>
              <w:tab w:val="right" w:leader="dot" w:pos="4172"/>
            </w:tabs>
            <w:rPr>
              <w:rFonts w:eastAsiaTheme="minorEastAsia"/>
              <w:noProof/>
              <w:color w:val="2C307E"/>
              <w:kern w:val="2"/>
              <w:sz w:val="24"/>
              <w:szCs w:val="24"/>
              <w:lang w:eastAsia="nl-NL"/>
              <w14:ligatures w14:val="standardContextual"/>
            </w:rPr>
          </w:pPr>
          <w:hyperlink w:anchor="_Toc209710035" w:history="1">
            <w:r w:rsidRPr="0089494B">
              <w:rPr>
                <w:rStyle w:val="Hyperlink"/>
                <w:noProof/>
                <w:color w:val="2C307E"/>
              </w:rPr>
              <w:t>1.</w:t>
            </w:r>
            <w:r w:rsidRPr="0089494B">
              <w:rPr>
                <w:rFonts w:eastAsiaTheme="minorEastAsia"/>
                <w:noProof/>
                <w:color w:val="2C307E"/>
                <w:kern w:val="2"/>
                <w:sz w:val="24"/>
                <w:szCs w:val="24"/>
                <w:lang w:eastAsia="nl-NL"/>
                <w14:ligatures w14:val="standardContextual"/>
              </w:rPr>
              <w:tab/>
            </w:r>
            <w:r w:rsidRPr="0089494B">
              <w:rPr>
                <w:rStyle w:val="Hyperlink"/>
                <w:noProof/>
                <w:color w:val="2C307E"/>
              </w:rPr>
              <w:t>Inleiding</w:t>
            </w:r>
            <w:r w:rsidRPr="0089494B">
              <w:rPr>
                <w:noProof/>
                <w:webHidden/>
                <w:color w:val="2C307E"/>
              </w:rPr>
              <w:tab/>
            </w:r>
            <w:r w:rsidRPr="0089494B">
              <w:rPr>
                <w:noProof/>
                <w:webHidden/>
                <w:color w:val="2C307E"/>
              </w:rPr>
              <w:fldChar w:fldCharType="begin"/>
            </w:r>
            <w:r w:rsidRPr="0089494B">
              <w:rPr>
                <w:noProof/>
                <w:webHidden/>
                <w:color w:val="2C307E"/>
              </w:rPr>
              <w:instrText xml:space="preserve"> PAGEREF _Toc209710035 \h </w:instrText>
            </w:r>
            <w:r w:rsidRPr="0089494B">
              <w:rPr>
                <w:noProof/>
                <w:webHidden/>
                <w:color w:val="2C307E"/>
              </w:rPr>
            </w:r>
            <w:r w:rsidRPr="0089494B">
              <w:rPr>
                <w:noProof/>
                <w:webHidden/>
                <w:color w:val="2C307E"/>
              </w:rPr>
              <w:fldChar w:fldCharType="separate"/>
            </w:r>
            <w:r w:rsidRPr="0089494B">
              <w:rPr>
                <w:noProof/>
                <w:webHidden/>
                <w:color w:val="2C307E"/>
              </w:rPr>
              <w:t>9</w:t>
            </w:r>
            <w:r w:rsidRPr="0089494B">
              <w:rPr>
                <w:noProof/>
                <w:webHidden/>
                <w:color w:val="2C307E"/>
              </w:rPr>
              <w:fldChar w:fldCharType="end"/>
            </w:r>
          </w:hyperlink>
        </w:p>
        <w:p w14:paraId="6AE4E87B" w14:textId="7F9983AB" w:rsidR="0089494B" w:rsidRPr="0089494B" w:rsidRDefault="0089494B">
          <w:pPr>
            <w:pStyle w:val="Inhopg1"/>
            <w:tabs>
              <w:tab w:val="left" w:pos="440"/>
              <w:tab w:val="right" w:leader="dot" w:pos="4172"/>
            </w:tabs>
            <w:rPr>
              <w:rFonts w:eastAsiaTheme="minorEastAsia"/>
              <w:noProof/>
              <w:color w:val="2C307E"/>
              <w:kern w:val="2"/>
              <w:sz w:val="24"/>
              <w:szCs w:val="24"/>
              <w:lang w:eastAsia="nl-NL"/>
              <w14:ligatures w14:val="standardContextual"/>
            </w:rPr>
          </w:pPr>
          <w:hyperlink w:anchor="_Toc209710036" w:history="1">
            <w:r w:rsidRPr="0089494B">
              <w:rPr>
                <w:rStyle w:val="Hyperlink"/>
                <w:noProof/>
                <w:color w:val="2C307E"/>
              </w:rPr>
              <w:t>2.</w:t>
            </w:r>
            <w:r w:rsidRPr="0089494B">
              <w:rPr>
                <w:rFonts w:eastAsiaTheme="minorEastAsia"/>
                <w:noProof/>
                <w:color w:val="2C307E"/>
                <w:kern w:val="2"/>
                <w:sz w:val="24"/>
                <w:szCs w:val="24"/>
                <w:lang w:eastAsia="nl-NL"/>
                <w14:ligatures w14:val="standardContextual"/>
              </w:rPr>
              <w:tab/>
            </w:r>
            <w:r w:rsidRPr="0089494B">
              <w:rPr>
                <w:rStyle w:val="Hyperlink"/>
                <w:noProof/>
                <w:color w:val="2C307E"/>
              </w:rPr>
              <w:t>Onderzoeksopzet</w:t>
            </w:r>
            <w:r w:rsidRPr="0089494B">
              <w:rPr>
                <w:noProof/>
                <w:webHidden/>
                <w:color w:val="2C307E"/>
              </w:rPr>
              <w:tab/>
            </w:r>
            <w:r w:rsidRPr="0089494B">
              <w:rPr>
                <w:noProof/>
                <w:webHidden/>
                <w:color w:val="2C307E"/>
              </w:rPr>
              <w:fldChar w:fldCharType="begin"/>
            </w:r>
            <w:r w:rsidRPr="0089494B">
              <w:rPr>
                <w:noProof/>
                <w:webHidden/>
                <w:color w:val="2C307E"/>
              </w:rPr>
              <w:instrText xml:space="preserve"> PAGEREF _Toc209710036 \h </w:instrText>
            </w:r>
            <w:r w:rsidRPr="0089494B">
              <w:rPr>
                <w:noProof/>
                <w:webHidden/>
                <w:color w:val="2C307E"/>
              </w:rPr>
            </w:r>
            <w:r w:rsidRPr="0089494B">
              <w:rPr>
                <w:noProof/>
                <w:webHidden/>
                <w:color w:val="2C307E"/>
              </w:rPr>
              <w:fldChar w:fldCharType="separate"/>
            </w:r>
            <w:r w:rsidRPr="0089494B">
              <w:rPr>
                <w:noProof/>
                <w:webHidden/>
                <w:color w:val="2C307E"/>
              </w:rPr>
              <w:t>11</w:t>
            </w:r>
            <w:r w:rsidRPr="0089494B">
              <w:rPr>
                <w:noProof/>
                <w:webHidden/>
                <w:color w:val="2C307E"/>
              </w:rPr>
              <w:fldChar w:fldCharType="end"/>
            </w:r>
          </w:hyperlink>
        </w:p>
        <w:p w14:paraId="6AB79D42" w14:textId="7587E3D3" w:rsidR="0089494B" w:rsidRPr="0089494B" w:rsidRDefault="0089494B">
          <w:pPr>
            <w:pStyle w:val="Inhopg1"/>
            <w:tabs>
              <w:tab w:val="left" w:pos="440"/>
              <w:tab w:val="right" w:leader="dot" w:pos="4172"/>
            </w:tabs>
            <w:rPr>
              <w:rFonts w:eastAsiaTheme="minorEastAsia"/>
              <w:noProof/>
              <w:color w:val="2C307E"/>
              <w:kern w:val="2"/>
              <w:sz w:val="24"/>
              <w:szCs w:val="24"/>
              <w:lang w:eastAsia="nl-NL"/>
              <w14:ligatures w14:val="standardContextual"/>
            </w:rPr>
          </w:pPr>
          <w:hyperlink w:anchor="_Toc209710037" w:history="1">
            <w:r w:rsidRPr="0089494B">
              <w:rPr>
                <w:rStyle w:val="Hyperlink"/>
                <w:noProof/>
                <w:color w:val="2C307E"/>
              </w:rPr>
              <w:t>3.</w:t>
            </w:r>
            <w:r w:rsidRPr="0089494B">
              <w:rPr>
                <w:rFonts w:eastAsiaTheme="minorEastAsia"/>
                <w:noProof/>
                <w:color w:val="2C307E"/>
                <w:kern w:val="2"/>
                <w:sz w:val="24"/>
                <w:szCs w:val="24"/>
                <w:lang w:eastAsia="nl-NL"/>
                <w14:ligatures w14:val="standardContextual"/>
              </w:rPr>
              <w:tab/>
            </w:r>
            <w:r w:rsidRPr="0089494B">
              <w:rPr>
                <w:rStyle w:val="Hyperlink"/>
                <w:noProof/>
                <w:color w:val="2C307E"/>
              </w:rPr>
              <w:t>Resultaten</w:t>
            </w:r>
            <w:r w:rsidRPr="0089494B">
              <w:rPr>
                <w:noProof/>
                <w:webHidden/>
                <w:color w:val="2C307E"/>
              </w:rPr>
              <w:tab/>
            </w:r>
            <w:r w:rsidRPr="0089494B">
              <w:rPr>
                <w:noProof/>
                <w:webHidden/>
                <w:color w:val="2C307E"/>
              </w:rPr>
              <w:fldChar w:fldCharType="begin"/>
            </w:r>
            <w:r w:rsidRPr="0089494B">
              <w:rPr>
                <w:noProof/>
                <w:webHidden/>
                <w:color w:val="2C307E"/>
              </w:rPr>
              <w:instrText xml:space="preserve"> PAGEREF _Toc209710037 \h </w:instrText>
            </w:r>
            <w:r w:rsidRPr="0089494B">
              <w:rPr>
                <w:noProof/>
                <w:webHidden/>
                <w:color w:val="2C307E"/>
              </w:rPr>
            </w:r>
            <w:r w:rsidRPr="0089494B">
              <w:rPr>
                <w:noProof/>
                <w:webHidden/>
                <w:color w:val="2C307E"/>
              </w:rPr>
              <w:fldChar w:fldCharType="separate"/>
            </w:r>
            <w:r w:rsidRPr="0089494B">
              <w:rPr>
                <w:noProof/>
                <w:webHidden/>
                <w:color w:val="2C307E"/>
              </w:rPr>
              <w:t>15</w:t>
            </w:r>
            <w:r w:rsidRPr="0089494B">
              <w:rPr>
                <w:noProof/>
                <w:webHidden/>
                <w:color w:val="2C307E"/>
              </w:rPr>
              <w:fldChar w:fldCharType="end"/>
            </w:r>
          </w:hyperlink>
        </w:p>
        <w:p w14:paraId="2118E071" w14:textId="11616169" w:rsidR="0089494B" w:rsidRPr="0089494B" w:rsidRDefault="0089494B">
          <w:pPr>
            <w:pStyle w:val="Inhopg2"/>
            <w:rPr>
              <w:rFonts w:eastAsiaTheme="minorEastAsia"/>
              <w:noProof/>
              <w:color w:val="2C307E"/>
              <w:kern w:val="2"/>
              <w:sz w:val="24"/>
              <w:szCs w:val="24"/>
              <w:lang w:eastAsia="nl-NL"/>
              <w14:ligatures w14:val="standardContextual"/>
            </w:rPr>
          </w:pPr>
          <w:hyperlink w:anchor="_Toc209710038" w:history="1">
            <w:r w:rsidRPr="0089494B">
              <w:rPr>
                <w:rStyle w:val="Hyperlink"/>
                <w:noProof/>
                <w:color w:val="2C307E"/>
              </w:rPr>
              <w:t>3.1 De EV-rijder</w:t>
            </w:r>
            <w:r w:rsidRPr="0089494B">
              <w:rPr>
                <w:noProof/>
                <w:webHidden/>
                <w:color w:val="2C307E"/>
              </w:rPr>
              <w:tab/>
            </w:r>
            <w:r w:rsidRPr="0089494B">
              <w:rPr>
                <w:noProof/>
                <w:webHidden/>
                <w:color w:val="2C307E"/>
              </w:rPr>
              <w:fldChar w:fldCharType="begin"/>
            </w:r>
            <w:r w:rsidRPr="0089494B">
              <w:rPr>
                <w:noProof/>
                <w:webHidden/>
                <w:color w:val="2C307E"/>
              </w:rPr>
              <w:instrText xml:space="preserve"> PAGEREF _Toc209710038 \h </w:instrText>
            </w:r>
            <w:r w:rsidRPr="0089494B">
              <w:rPr>
                <w:noProof/>
                <w:webHidden/>
                <w:color w:val="2C307E"/>
              </w:rPr>
            </w:r>
            <w:r w:rsidRPr="0089494B">
              <w:rPr>
                <w:noProof/>
                <w:webHidden/>
                <w:color w:val="2C307E"/>
              </w:rPr>
              <w:fldChar w:fldCharType="separate"/>
            </w:r>
            <w:r w:rsidRPr="0089494B">
              <w:rPr>
                <w:noProof/>
                <w:webHidden/>
                <w:color w:val="2C307E"/>
              </w:rPr>
              <w:t>15</w:t>
            </w:r>
            <w:r w:rsidRPr="0089494B">
              <w:rPr>
                <w:noProof/>
                <w:webHidden/>
                <w:color w:val="2C307E"/>
              </w:rPr>
              <w:fldChar w:fldCharType="end"/>
            </w:r>
          </w:hyperlink>
        </w:p>
        <w:p w14:paraId="5A116A94" w14:textId="41A1068A" w:rsidR="0089494B" w:rsidRPr="0089494B" w:rsidRDefault="0089494B">
          <w:pPr>
            <w:pStyle w:val="Inhopg2"/>
            <w:rPr>
              <w:rFonts w:eastAsiaTheme="minorEastAsia"/>
              <w:noProof/>
              <w:color w:val="2C307E"/>
              <w:kern w:val="2"/>
              <w:sz w:val="24"/>
              <w:szCs w:val="24"/>
              <w:lang w:eastAsia="nl-NL"/>
              <w14:ligatures w14:val="standardContextual"/>
            </w:rPr>
          </w:pPr>
          <w:hyperlink w:anchor="_Toc209710040" w:history="1">
            <w:r w:rsidRPr="0089494B">
              <w:rPr>
                <w:rStyle w:val="Hyperlink"/>
                <w:noProof/>
                <w:color w:val="2C307E"/>
              </w:rPr>
              <w:t>Zonnepanelen</w:t>
            </w:r>
            <w:r w:rsidRPr="0089494B">
              <w:rPr>
                <w:noProof/>
                <w:webHidden/>
                <w:color w:val="2C307E"/>
              </w:rPr>
              <w:tab/>
            </w:r>
            <w:r w:rsidRPr="0089494B">
              <w:rPr>
                <w:noProof/>
                <w:webHidden/>
                <w:color w:val="2C307E"/>
              </w:rPr>
              <w:fldChar w:fldCharType="begin"/>
            </w:r>
            <w:r w:rsidRPr="0089494B">
              <w:rPr>
                <w:noProof/>
                <w:webHidden/>
                <w:color w:val="2C307E"/>
              </w:rPr>
              <w:instrText xml:space="preserve"> PAGEREF _Toc209710040 \h </w:instrText>
            </w:r>
            <w:r w:rsidRPr="0089494B">
              <w:rPr>
                <w:noProof/>
                <w:webHidden/>
                <w:color w:val="2C307E"/>
              </w:rPr>
            </w:r>
            <w:r w:rsidRPr="0089494B">
              <w:rPr>
                <w:noProof/>
                <w:webHidden/>
                <w:color w:val="2C307E"/>
              </w:rPr>
              <w:fldChar w:fldCharType="separate"/>
            </w:r>
            <w:r w:rsidRPr="0089494B">
              <w:rPr>
                <w:noProof/>
                <w:webHidden/>
                <w:color w:val="2C307E"/>
              </w:rPr>
              <w:t>16</w:t>
            </w:r>
            <w:r w:rsidRPr="0089494B">
              <w:rPr>
                <w:noProof/>
                <w:webHidden/>
                <w:color w:val="2C307E"/>
              </w:rPr>
              <w:fldChar w:fldCharType="end"/>
            </w:r>
          </w:hyperlink>
        </w:p>
        <w:p w14:paraId="69328B07" w14:textId="5414D9D1" w:rsidR="0089494B" w:rsidRPr="0089494B" w:rsidRDefault="0089494B">
          <w:pPr>
            <w:pStyle w:val="Inhopg2"/>
            <w:rPr>
              <w:rFonts w:eastAsiaTheme="minorEastAsia"/>
              <w:noProof/>
              <w:color w:val="2C307E"/>
              <w:kern w:val="2"/>
              <w:sz w:val="24"/>
              <w:szCs w:val="24"/>
              <w:lang w:eastAsia="nl-NL"/>
              <w14:ligatures w14:val="standardContextual"/>
            </w:rPr>
          </w:pPr>
          <w:hyperlink w:anchor="_Toc209710041" w:history="1">
            <w:r w:rsidRPr="0089494B">
              <w:rPr>
                <w:rStyle w:val="Hyperlink"/>
                <w:noProof/>
                <w:color w:val="2C307E"/>
              </w:rPr>
              <w:t>Parkeersituatie</w:t>
            </w:r>
            <w:r w:rsidRPr="0089494B">
              <w:rPr>
                <w:noProof/>
                <w:webHidden/>
                <w:color w:val="2C307E"/>
              </w:rPr>
              <w:tab/>
            </w:r>
            <w:r w:rsidRPr="0089494B">
              <w:rPr>
                <w:noProof/>
                <w:webHidden/>
                <w:color w:val="2C307E"/>
              </w:rPr>
              <w:fldChar w:fldCharType="begin"/>
            </w:r>
            <w:r w:rsidRPr="0089494B">
              <w:rPr>
                <w:noProof/>
                <w:webHidden/>
                <w:color w:val="2C307E"/>
              </w:rPr>
              <w:instrText xml:space="preserve"> PAGEREF _Toc209710041 \h </w:instrText>
            </w:r>
            <w:r w:rsidRPr="0089494B">
              <w:rPr>
                <w:noProof/>
                <w:webHidden/>
                <w:color w:val="2C307E"/>
              </w:rPr>
            </w:r>
            <w:r w:rsidRPr="0089494B">
              <w:rPr>
                <w:noProof/>
                <w:webHidden/>
                <w:color w:val="2C307E"/>
              </w:rPr>
              <w:fldChar w:fldCharType="separate"/>
            </w:r>
            <w:r w:rsidRPr="0089494B">
              <w:rPr>
                <w:noProof/>
                <w:webHidden/>
                <w:color w:val="2C307E"/>
              </w:rPr>
              <w:t>17</w:t>
            </w:r>
            <w:r w:rsidRPr="0089494B">
              <w:rPr>
                <w:noProof/>
                <w:webHidden/>
                <w:color w:val="2C307E"/>
              </w:rPr>
              <w:fldChar w:fldCharType="end"/>
            </w:r>
          </w:hyperlink>
        </w:p>
        <w:p w14:paraId="530C6E86" w14:textId="59A0E010" w:rsidR="0089494B" w:rsidRPr="0089494B" w:rsidRDefault="0089494B">
          <w:pPr>
            <w:pStyle w:val="Inhopg2"/>
            <w:rPr>
              <w:rFonts w:eastAsiaTheme="minorEastAsia"/>
              <w:noProof/>
              <w:color w:val="2C307E"/>
              <w:kern w:val="2"/>
              <w:sz w:val="24"/>
              <w:szCs w:val="24"/>
              <w:lang w:eastAsia="nl-NL"/>
              <w14:ligatures w14:val="standardContextual"/>
            </w:rPr>
          </w:pPr>
          <w:hyperlink w:anchor="_Toc209710042" w:history="1">
            <w:r w:rsidRPr="0089494B">
              <w:rPr>
                <w:rStyle w:val="Hyperlink"/>
                <w:noProof/>
                <w:color w:val="2C307E"/>
              </w:rPr>
              <w:t>3.2 Het laadgedrag</w:t>
            </w:r>
            <w:r w:rsidRPr="0089494B">
              <w:rPr>
                <w:noProof/>
                <w:webHidden/>
                <w:color w:val="2C307E"/>
              </w:rPr>
              <w:tab/>
            </w:r>
            <w:r w:rsidRPr="0089494B">
              <w:rPr>
                <w:noProof/>
                <w:webHidden/>
                <w:color w:val="2C307E"/>
              </w:rPr>
              <w:fldChar w:fldCharType="begin"/>
            </w:r>
            <w:r w:rsidRPr="0089494B">
              <w:rPr>
                <w:noProof/>
                <w:webHidden/>
                <w:color w:val="2C307E"/>
              </w:rPr>
              <w:instrText xml:space="preserve"> PAGEREF _Toc209710042 \h </w:instrText>
            </w:r>
            <w:r w:rsidRPr="0089494B">
              <w:rPr>
                <w:noProof/>
                <w:webHidden/>
                <w:color w:val="2C307E"/>
              </w:rPr>
            </w:r>
            <w:r w:rsidRPr="0089494B">
              <w:rPr>
                <w:noProof/>
                <w:webHidden/>
                <w:color w:val="2C307E"/>
              </w:rPr>
              <w:fldChar w:fldCharType="separate"/>
            </w:r>
            <w:r w:rsidRPr="0089494B">
              <w:rPr>
                <w:noProof/>
                <w:webHidden/>
                <w:color w:val="2C307E"/>
              </w:rPr>
              <w:t>18</w:t>
            </w:r>
            <w:r w:rsidRPr="0089494B">
              <w:rPr>
                <w:noProof/>
                <w:webHidden/>
                <w:color w:val="2C307E"/>
              </w:rPr>
              <w:fldChar w:fldCharType="end"/>
            </w:r>
          </w:hyperlink>
        </w:p>
        <w:p w14:paraId="1EF8E27F" w14:textId="77DC19C9" w:rsidR="0089494B" w:rsidRPr="0089494B" w:rsidRDefault="0089494B">
          <w:pPr>
            <w:pStyle w:val="Inhopg2"/>
            <w:rPr>
              <w:rFonts w:eastAsiaTheme="minorEastAsia"/>
              <w:noProof/>
              <w:color w:val="2C307E"/>
              <w:kern w:val="2"/>
              <w:sz w:val="24"/>
              <w:szCs w:val="24"/>
              <w:lang w:eastAsia="nl-NL"/>
              <w14:ligatures w14:val="standardContextual"/>
            </w:rPr>
          </w:pPr>
          <w:hyperlink w:anchor="_Toc209710043" w:history="1">
            <w:r w:rsidRPr="0089494B">
              <w:rPr>
                <w:rStyle w:val="Hyperlink"/>
                <w:noProof/>
                <w:color w:val="2C307E"/>
              </w:rPr>
              <w:t>Laadmix</w:t>
            </w:r>
            <w:r w:rsidRPr="0089494B">
              <w:rPr>
                <w:noProof/>
                <w:webHidden/>
                <w:color w:val="2C307E"/>
              </w:rPr>
              <w:tab/>
            </w:r>
            <w:r w:rsidRPr="0089494B">
              <w:rPr>
                <w:noProof/>
                <w:webHidden/>
                <w:color w:val="2C307E"/>
              </w:rPr>
              <w:fldChar w:fldCharType="begin"/>
            </w:r>
            <w:r w:rsidRPr="0089494B">
              <w:rPr>
                <w:noProof/>
                <w:webHidden/>
                <w:color w:val="2C307E"/>
              </w:rPr>
              <w:instrText xml:space="preserve"> PAGEREF _Toc209710043 \h </w:instrText>
            </w:r>
            <w:r w:rsidRPr="0089494B">
              <w:rPr>
                <w:noProof/>
                <w:webHidden/>
                <w:color w:val="2C307E"/>
              </w:rPr>
            </w:r>
            <w:r w:rsidRPr="0089494B">
              <w:rPr>
                <w:noProof/>
                <w:webHidden/>
                <w:color w:val="2C307E"/>
              </w:rPr>
              <w:fldChar w:fldCharType="separate"/>
            </w:r>
            <w:r w:rsidRPr="0089494B">
              <w:rPr>
                <w:noProof/>
                <w:webHidden/>
                <w:color w:val="2C307E"/>
              </w:rPr>
              <w:t>19</w:t>
            </w:r>
            <w:r w:rsidRPr="0089494B">
              <w:rPr>
                <w:noProof/>
                <w:webHidden/>
                <w:color w:val="2C307E"/>
              </w:rPr>
              <w:fldChar w:fldCharType="end"/>
            </w:r>
          </w:hyperlink>
        </w:p>
        <w:p w14:paraId="4D15F77B" w14:textId="1FE3945F" w:rsidR="0089494B" w:rsidRPr="0089494B" w:rsidRDefault="0089494B">
          <w:pPr>
            <w:pStyle w:val="Inhopg2"/>
            <w:rPr>
              <w:rFonts w:eastAsiaTheme="minorEastAsia"/>
              <w:noProof/>
              <w:color w:val="2C307E"/>
              <w:kern w:val="2"/>
              <w:sz w:val="24"/>
              <w:szCs w:val="24"/>
              <w:lang w:eastAsia="nl-NL"/>
              <w14:ligatures w14:val="standardContextual"/>
            </w:rPr>
          </w:pPr>
          <w:hyperlink w:anchor="_Toc209710044" w:history="1">
            <w:r w:rsidRPr="0089494B">
              <w:rPr>
                <w:rStyle w:val="Hyperlink"/>
                <w:noProof/>
                <w:color w:val="2C307E"/>
              </w:rPr>
              <w:t>Laden in het buitenland</w:t>
            </w:r>
            <w:r w:rsidRPr="0089494B">
              <w:rPr>
                <w:noProof/>
                <w:webHidden/>
                <w:color w:val="2C307E"/>
              </w:rPr>
              <w:tab/>
            </w:r>
            <w:r w:rsidRPr="0089494B">
              <w:rPr>
                <w:noProof/>
                <w:webHidden/>
                <w:color w:val="2C307E"/>
              </w:rPr>
              <w:fldChar w:fldCharType="begin"/>
            </w:r>
            <w:r w:rsidRPr="0089494B">
              <w:rPr>
                <w:noProof/>
                <w:webHidden/>
                <w:color w:val="2C307E"/>
              </w:rPr>
              <w:instrText xml:space="preserve"> PAGEREF _Toc209710044 \h </w:instrText>
            </w:r>
            <w:r w:rsidRPr="0089494B">
              <w:rPr>
                <w:noProof/>
                <w:webHidden/>
                <w:color w:val="2C307E"/>
              </w:rPr>
            </w:r>
            <w:r w:rsidRPr="0089494B">
              <w:rPr>
                <w:noProof/>
                <w:webHidden/>
                <w:color w:val="2C307E"/>
              </w:rPr>
              <w:fldChar w:fldCharType="separate"/>
            </w:r>
            <w:r w:rsidRPr="0089494B">
              <w:rPr>
                <w:noProof/>
                <w:webHidden/>
                <w:color w:val="2C307E"/>
              </w:rPr>
              <w:t>24</w:t>
            </w:r>
            <w:r w:rsidRPr="0089494B">
              <w:rPr>
                <w:noProof/>
                <w:webHidden/>
                <w:color w:val="2C307E"/>
              </w:rPr>
              <w:fldChar w:fldCharType="end"/>
            </w:r>
          </w:hyperlink>
        </w:p>
        <w:p w14:paraId="25A1AB52" w14:textId="2D59812C" w:rsidR="0089494B" w:rsidRPr="0089494B" w:rsidRDefault="0089494B">
          <w:pPr>
            <w:pStyle w:val="Inhopg2"/>
            <w:rPr>
              <w:rFonts w:eastAsiaTheme="minorEastAsia"/>
              <w:noProof/>
              <w:color w:val="2C307E"/>
              <w:kern w:val="2"/>
              <w:sz w:val="24"/>
              <w:szCs w:val="24"/>
              <w:lang w:eastAsia="nl-NL"/>
              <w14:ligatures w14:val="standardContextual"/>
            </w:rPr>
          </w:pPr>
          <w:hyperlink w:anchor="_Toc209710047" w:history="1">
            <w:r w:rsidRPr="0089494B">
              <w:rPr>
                <w:rStyle w:val="Hyperlink"/>
                <w:noProof/>
                <w:color w:val="2C307E"/>
              </w:rPr>
              <w:t>3.3 Betaalmethode en prijzen</w:t>
            </w:r>
            <w:r w:rsidRPr="0089494B">
              <w:rPr>
                <w:noProof/>
                <w:webHidden/>
                <w:color w:val="2C307E"/>
              </w:rPr>
              <w:tab/>
            </w:r>
            <w:r w:rsidRPr="0089494B">
              <w:rPr>
                <w:noProof/>
                <w:webHidden/>
                <w:color w:val="2C307E"/>
              </w:rPr>
              <w:fldChar w:fldCharType="begin"/>
            </w:r>
            <w:r w:rsidRPr="0089494B">
              <w:rPr>
                <w:noProof/>
                <w:webHidden/>
                <w:color w:val="2C307E"/>
              </w:rPr>
              <w:instrText xml:space="preserve"> PAGEREF _Toc209710047 \h </w:instrText>
            </w:r>
            <w:r w:rsidRPr="0089494B">
              <w:rPr>
                <w:noProof/>
                <w:webHidden/>
                <w:color w:val="2C307E"/>
              </w:rPr>
            </w:r>
            <w:r w:rsidRPr="0089494B">
              <w:rPr>
                <w:noProof/>
                <w:webHidden/>
                <w:color w:val="2C307E"/>
              </w:rPr>
              <w:fldChar w:fldCharType="separate"/>
            </w:r>
            <w:r w:rsidRPr="0089494B">
              <w:rPr>
                <w:noProof/>
                <w:webHidden/>
                <w:color w:val="2C307E"/>
              </w:rPr>
              <w:t>26</w:t>
            </w:r>
            <w:r w:rsidRPr="0089494B">
              <w:rPr>
                <w:noProof/>
                <w:webHidden/>
                <w:color w:val="2C307E"/>
              </w:rPr>
              <w:fldChar w:fldCharType="end"/>
            </w:r>
          </w:hyperlink>
        </w:p>
        <w:p w14:paraId="463621A9" w14:textId="42188B3D" w:rsidR="0089494B" w:rsidRPr="0089494B" w:rsidRDefault="0089494B">
          <w:pPr>
            <w:pStyle w:val="Inhopg2"/>
            <w:rPr>
              <w:rFonts w:eastAsiaTheme="minorEastAsia"/>
              <w:noProof/>
              <w:color w:val="2C307E"/>
              <w:kern w:val="2"/>
              <w:sz w:val="24"/>
              <w:szCs w:val="24"/>
              <w:lang w:eastAsia="nl-NL"/>
              <w14:ligatures w14:val="standardContextual"/>
            </w:rPr>
          </w:pPr>
          <w:hyperlink w:anchor="_Toc209710048" w:history="1">
            <w:r w:rsidRPr="0089494B">
              <w:rPr>
                <w:rStyle w:val="Hyperlink"/>
                <w:noProof/>
                <w:color w:val="2C307E"/>
              </w:rPr>
              <w:t>Ad hoc laden</w:t>
            </w:r>
            <w:r w:rsidRPr="0089494B">
              <w:rPr>
                <w:noProof/>
                <w:webHidden/>
                <w:color w:val="2C307E"/>
              </w:rPr>
              <w:tab/>
            </w:r>
            <w:r w:rsidRPr="0089494B">
              <w:rPr>
                <w:noProof/>
                <w:webHidden/>
                <w:color w:val="2C307E"/>
              </w:rPr>
              <w:fldChar w:fldCharType="begin"/>
            </w:r>
            <w:r w:rsidRPr="0089494B">
              <w:rPr>
                <w:noProof/>
                <w:webHidden/>
                <w:color w:val="2C307E"/>
              </w:rPr>
              <w:instrText xml:space="preserve"> PAGEREF _Toc209710048 \h </w:instrText>
            </w:r>
            <w:r w:rsidRPr="0089494B">
              <w:rPr>
                <w:noProof/>
                <w:webHidden/>
                <w:color w:val="2C307E"/>
              </w:rPr>
            </w:r>
            <w:r w:rsidRPr="0089494B">
              <w:rPr>
                <w:noProof/>
                <w:webHidden/>
                <w:color w:val="2C307E"/>
              </w:rPr>
              <w:fldChar w:fldCharType="separate"/>
            </w:r>
            <w:r w:rsidRPr="0089494B">
              <w:rPr>
                <w:noProof/>
                <w:webHidden/>
                <w:color w:val="2C307E"/>
              </w:rPr>
              <w:t>27</w:t>
            </w:r>
            <w:r w:rsidRPr="0089494B">
              <w:rPr>
                <w:noProof/>
                <w:webHidden/>
                <w:color w:val="2C307E"/>
              </w:rPr>
              <w:fldChar w:fldCharType="end"/>
            </w:r>
          </w:hyperlink>
        </w:p>
        <w:p w14:paraId="25B62511" w14:textId="6F09B603" w:rsidR="0089494B" w:rsidRPr="0089494B" w:rsidRDefault="0089494B">
          <w:pPr>
            <w:pStyle w:val="Inhopg2"/>
            <w:rPr>
              <w:rFonts w:eastAsiaTheme="minorEastAsia"/>
              <w:noProof/>
              <w:color w:val="2C307E"/>
              <w:kern w:val="2"/>
              <w:sz w:val="24"/>
              <w:szCs w:val="24"/>
              <w:lang w:eastAsia="nl-NL"/>
              <w14:ligatures w14:val="standardContextual"/>
            </w:rPr>
          </w:pPr>
          <w:hyperlink w:anchor="_Toc209710049" w:history="1">
            <w:r w:rsidRPr="0089494B">
              <w:rPr>
                <w:rStyle w:val="Hyperlink"/>
                <w:noProof/>
                <w:color w:val="2C307E"/>
              </w:rPr>
              <w:t>Prijstransparantie</w:t>
            </w:r>
            <w:r w:rsidRPr="0089494B">
              <w:rPr>
                <w:noProof/>
                <w:webHidden/>
                <w:color w:val="2C307E"/>
              </w:rPr>
              <w:tab/>
            </w:r>
            <w:r w:rsidRPr="0089494B">
              <w:rPr>
                <w:noProof/>
                <w:webHidden/>
                <w:color w:val="2C307E"/>
              </w:rPr>
              <w:fldChar w:fldCharType="begin"/>
            </w:r>
            <w:r w:rsidRPr="0089494B">
              <w:rPr>
                <w:noProof/>
                <w:webHidden/>
                <w:color w:val="2C307E"/>
              </w:rPr>
              <w:instrText xml:space="preserve"> PAGEREF _Toc209710049 \h </w:instrText>
            </w:r>
            <w:r w:rsidRPr="0089494B">
              <w:rPr>
                <w:noProof/>
                <w:webHidden/>
                <w:color w:val="2C307E"/>
              </w:rPr>
            </w:r>
            <w:r w:rsidRPr="0089494B">
              <w:rPr>
                <w:noProof/>
                <w:webHidden/>
                <w:color w:val="2C307E"/>
              </w:rPr>
              <w:fldChar w:fldCharType="separate"/>
            </w:r>
            <w:r w:rsidRPr="0089494B">
              <w:rPr>
                <w:noProof/>
                <w:webHidden/>
                <w:color w:val="2C307E"/>
              </w:rPr>
              <w:t>29</w:t>
            </w:r>
            <w:r w:rsidRPr="0089494B">
              <w:rPr>
                <w:noProof/>
                <w:webHidden/>
                <w:color w:val="2C307E"/>
              </w:rPr>
              <w:fldChar w:fldCharType="end"/>
            </w:r>
          </w:hyperlink>
        </w:p>
        <w:p w14:paraId="57B8BA64" w14:textId="12BCF3FA" w:rsidR="0089494B" w:rsidRPr="0089494B" w:rsidRDefault="0089494B">
          <w:pPr>
            <w:pStyle w:val="Inhopg2"/>
            <w:rPr>
              <w:rFonts w:eastAsiaTheme="minorEastAsia"/>
              <w:noProof/>
              <w:color w:val="2C307E"/>
              <w:kern w:val="2"/>
              <w:sz w:val="24"/>
              <w:szCs w:val="24"/>
              <w:lang w:eastAsia="nl-NL"/>
              <w14:ligatures w14:val="standardContextual"/>
            </w:rPr>
          </w:pPr>
          <w:hyperlink w:anchor="_Toc209710050" w:history="1">
            <w:r w:rsidRPr="0089494B">
              <w:rPr>
                <w:rStyle w:val="Hyperlink"/>
                <w:noProof/>
                <w:color w:val="2C307E"/>
              </w:rPr>
              <w:t>3.4 Verschillende soorten laadpunten</w:t>
            </w:r>
            <w:r w:rsidRPr="0089494B">
              <w:rPr>
                <w:noProof/>
                <w:webHidden/>
                <w:color w:val="2C307E"/>
              </w:rPr>
              <w:tab/>
            </w:r>
            <w:r w:rsidRPr="0089494B">
              <w:rPr>
                <w:noProof/>
                <w:webHidden/>
                <w:color w:val="2C307E"/>
              </w:rPr>
              <w:fldChar w:fldCharType="begin"/>
            </w:r>
            <w:r w:rsidRPr="0089494B">
              <w:rPr>
                <w:noProof/>
                <w:webHidden/>
                <w:color w:val="2C307E"/>
              </w:rPr>
              <w:instrText xml:space="preserve"> PAGEREF _Toc209710050 \h </w:instrText>
            </w:r>
            <w:r w:rsidRPr="0089494B">
              <w:rPr>
                <w:noProof/>
                <w:webHidden/>
                <w:color w:val="2C307E"/>
              </w:rPr>
            </w:r>
            <w:r w:rsidRPr="0089494B">
              <w:rPr>
                <w:noProof/>
                <w:webHidden/>
                <w:color w:val="2C307E"/>
              </w:rPr>
              <w:fldChar w:fldCharType="separate"/>
            </w:r>
            <w:r w:rsidRPr="0089494B">
              <w:rPr>
                <w:noProof/>
                <w:webHidden/>
                <w:color w:val="2C307E"/>
              </w:rPr>
              <w:t>31</w:t>
            </w:r>
            <w:r w:rsidRPr="0089494B">
              <w:rPr>
                <w:noProof/>
                <w:webHidden/>
                <w:color w:val="2C307E"/>
              </w:rPr>
              <w:fldChar w:fldCharType="end"/>
            </w:r>
          </w:hyperlink>
        </w:p>
        <w:p w14:paraId="64D37787" w14:textId="743D8086" w:rsidR="0089494B" w:rsidRPr="0089494B" w:rsidRDefault="0089494B">
          <w:pPr>
            <w:pStyle w:val="Inhopg2"/>
            <w:rPr>
              <w:rFonts w:eastAsiaTheme="minorEastAsia"/>
              <w:noProof/>
              <w:color w:val="2C307E"/>
              <w:kern w:val="2"/>
              <w:sz w:val="24"/>
              <w:szCs w:val="24"/>
              <w:lang w:eastAsia="nl-NL"/>
              <w14:ligatures w14:val="standardContextual"/>
            </w:rPr>
          </w:pPr>
          <w:hyperlink w:anchor="_Toc209710051" w:history="1">
            <w:r w:rsidRPr="0089494B">
              <w:rPr>
                <w:rStyle w:val="Hyperlink"/>
                <w:noProof/>
                <w:color w:val="2C307E"/>
              </w:rPr>
              <w:t>Thuis laden</w:t>
            </w:r>
            <w:r w:rsidRPr="0089494B">
              <w:rPr>
                <w:noProof/>
                <w:webHidden/>
                <w:color w:val="2C307E"/>
              </w:rPr>
              <w:tab/>
            </w:r>
            <w:r w:rsidRPr="0089494B">
              <w:rPr>
                <w:noProof/>
                <w:webHidden/>
                <w:color w:val="2C307E"/>
              </w:rPr>
              <w:fldChar w:fldCharType="begin"/>
            </w:r>
            <w:r w:rsidRPr="0089494B">
              <w:rPr>
                <w:noProof/>
                <w:webHidden/>
                <w:color w:val="2C307E"/>
              </w:rPr>
              <w:instrText xml:space="preserve"> PAGEREF _Toc209710051 \h </w:instrText>
            </w:r>
            <w:r w:rsidRPr="0089494B">
              <w:rPr>
                <w:noProof/>
                <w:webHidden/>
                <w:color w:val="2C307E"/>
              </w:rPr>
            </w:r>
            <w:r w:rsidRPr="0089494B">
              <w:rPr>
                <w:noProof/>
                <w:webHidden/>
                <w:color w:val="2C307E"/>
              </w:rPr>
              <w:fldChar w:fldCharType="separate"/>
            </w:r>
            <w:r w:rsidRPr="0089494B">
              <w:rPr>
                <w:noProof/>
                <w:webHidden/>
                <w:color w:val="2C307E"/>
              </w:rPr>
              <w:t>31</w:t>
            </w:r>
            <w:r w:rsidRPr="0089494B">
              <w:rPr>
                <w:noProof/>
                <w:webHidden/>
                <w:color w:val="2C307E"/>
              </w:rPr>
              <w:fldChar w:fldCharType="end"/>
            </w:r>
          </w:hyperlink>
        </w:p>
        <w:p w14:paraId="1F9D50C9" w14:textId="0AAF76F5" w:rsidR="0089494B" w:rsidRPr="0089494B" w:rsidRDefault="0089494B">
          <w:pPr>
            <w:pStyle w:val="Inhopg2"/>
            <w:rPr>
              <w:rFonts w:eastAsiaTheme="minorEastAsia"/>
              <w:noProof/>
              <w:color w:val="2C307E"/>
              <w:kern w:val="2"/>
              <w:sz w:val="24"/>
              <w:szCs w:val="24"/>
              <w:lang w:eastAsia="nl-NL"/>
              <w14:ligatures w14:val="standardContextual"/>
            </w:rPr>
          </w:pPr>
          <w:hyperlink w:anchor="_Toc209710052" w:history="1">
            <w:r w:rsidRPr="0089494B">
              <w:rPr>
                <w:rStyle w:val="Hyperlink"/>
                <w:noProof/>
                <w:color w:val="2C307E"/>
              </w:rPr>
              <w:t>Laden in een VvE</w:t>
            </w:r>
            <w:r w:rsidRPr="0089494B">
              <w:rPr>
                <w:noProof/>
                <w:webHidden/>
                <w:color w:val="2C307E"/>
              </w:rPr>
              <w:tab/>
            </w:r>
            <w:r w:rsidRPr="0089494B">
              <w:rPr>
                <w:noProof/>
                <w:webHidden/>
                <w:color w:val="2C307E"/>
              </w:rPr>
              <w:fldChar w:fldCharType="begin"/>
            </w:r>
            <w:r w:rsidRPr="0089494B">
              <w:rPr>
                <w:noProof/>
                <w:webHidden/>
                <w:color w:val="2C307E"/>
              </w:rPr>
              <w:instrText xml:space="preserve"> PAGEREF _Toc209710052 \h </w:instrText>
            </w:r>
            <w:r w:rsidRPr="0089494B">
              <w:rPr>
                <w:noProof/>
                <w:webHidden/>
                <w:color w:val="2C307E"/>
              </w:rPr>
            </w:r>
            <w:r w:rsidRPr="0089494B">
              <w:rPr>
                <w:noProof/>
                <w:webHidden/>
                <w:color w:val="2C307E"/>
              </w:rPr>
              <w:fldChar w:fldCharType="separate"/>
            </w:r>
            <w:r w:rsidRPr="0089494B">
              <w:rPr>
                <w:noProof/>
                <w:webHidden/>
                <w:color w:val="2C307E"/>
              </w:rPr>
              <w:t>34</w:t>
            </w:r>
            <w:r w:rsidRPr="0089494B">
              <w:rPr>
                <w:noProof/>
                <w:webHidden/>
                <w:color w:val="2C307E"/>
              </w:rPr>
              <w:fldChar w:fldCharType="end"/>
            </w:r>
          </w:hyperlink>
        </w:p>
        <w:p w14:paraId="7B3D1601" w14:textId="0A090480" w:rsidR="0089494B" w:rsidRPr="0089494B" w:rsidRDefault="0089494B">
          <w:pPr>
            <w:pStyle w:val="Inhopg2"/>
            <w:rPr>
              <w:rFonts w:eastAsiaTheme="minorEastAsia"/>
              <w:noProof/>
              <w:color w:val="2C307E"/>
              <w:kern w:val="2"/>
              <w:sz w:val="24"/>
              <w:szCs w:val="24"/>
              <w:lang w:eastAsia="nl-NL"/>
              <w14:ligatures w14:val="standardContextual"/>
            </w:rPr>
          </w:pPr>
          <w:hyperlink w:anchor="_Toc209710053" w:history="1">
            <w:r w:rsidRPr="0089494B">
              <w:rPr>
                <w:rStyle w:val="Hyperlink"/>
                <w:noProof/>
                <w:color w:val="2C307E"/>
              </w:rPr>
              <w:t>Openbaar laden</w:t>
            </w:r>
            <w:r w:rsidRPr="0089494B">
              <w:rPr>
                <w:noProof/>
                <w:webHidden/>
                <w:color w:val="2C307E"/>
              </w:rPr>
              <w:tab/>
            </w:r>
            <w:r w:rsidRPr="0089494B">
              <w:rPr>
                <w:noProof/>
                <w:webHidden/>
                <w:color w:val="2C307E"/>
              </w:rPr>
              <w:fldChar w:fldCharType="begin"/>
            </w:r>
            <w:r w:rsidRPr="0089494B">
              <w:rPr>
                <w:noProof/>
                <w:webHidden/>
                <w:color w:val="2C307E"/>
              </w:rPr>
              <w:instrText xml:space="preserve"> PAGEREF _Toc209710053 \h </w:instrText>
            </w:r>
            <w:r w:rsidRPr="0089494B">
              <w:rPr>
                <w:noProof/>
                <w:webHidden/>
                <w:color w:val="2C307E"/>
              </w:rPr>
            </w:r>
            <w:r w:rsidRPr="0089494B">
              <w:rPr>
                <w:noProof/>
                <w:webHidden/>
                <w:color w:val="2C307E"/>
              </w:rPr>
              <w:fldChar w:fldCharType="separate"/>
            </w:r>
            <w:r w:rsidRPr="0089494B">
              <w:rPr>
                <w:noProof/>
                <w:webHidden/>
                <w:color w:val="2C307E"/>
              </w:rPr>
              <w:t>36</w:t>
            </w:r>
            <w:r w:rsidRPr="0089494B">
              <w:rPr>
                <w:noProof/>
                <w:webHidden/>
                <w:color w:val="2C307E"/>
              </w:rPr>
              <w:fldChar w:fldCharType="end"/>
            </w:r>
          </w:hyperlink>
        </w:p>
        <w:p w14:paraId="71821D85" w14:textId="24C8EEEE" w:rsidR="0089494B" w:rsidRPr="0089494B" w:rsidRDefault="0089494B">
          <w:pPr>
            <w:pStyle w:val="Inhopg2"/>
            <w:rPr>
              <w:rFonts w:eastAsiaTheme="minorEastAsia"/>
              <w:noProof/>
              <w:color w:val="2C307E"/>
              <w:kern w:val="2"/>
              <w:sz w:val="24"/>
              <w:szCs w:val="24"/>
              <w:lang w:eastAsia="nl-NL"/>
              <w14:ligatures w14:val="standardContextual"/>
            </w:rPr>
          </w:pPr>
          <w:hyperlink w:anchor="_Toc209710055" w:history="1">
            <w:r w:rsidRPr="0089494B">
              <w:rPr>
                <w:rStyle w:val="Hyperlink"/>
                <w:noProof/>
                <w:color w:val="2C307E"/>
              </w:rPr>
              <w:t>Snelladen</w:t>
            </w:r>
            <w:r w:rsidRPr="0089494B">
              <w:rPr>
                <w:noProof/>
                <w:webHidden/>
                <w:color w:val="2C307E"/>
              </w:rPr>
              <w:tab/>
            </w:r>
            <w:r w:rsidRPr="0089494B">
              <w:rPr>
                <w:noProof/>
                <w:webHidden/>
                <w:color w:val="2C307E"/>
              </w:rPr>
              <w:fldChar w:fldCharType="begin"/>
            </w:r>
            <w:r w:rsidRPr="0089494B">
              <w:rPr>
                <w:noProof/>
                <w:webHidden/>
                <w:color w:val="2C307E"/>
              </w:rPr>
              <w:instrText xml:space="preserve"> PAGEREF _Toc209710055 \h </w:instrText>
            </w:r>
            <w:r w:rsidRPr="0089494B">
              <w:rPr>
                <w:noProof/>
                <w:webHidden/>
                <w:color w:val="2C307E"/>
              </w:rPr>
            </w:r>
            <w:r w:rsidRPr="0089494B">
              <w:rPr>
                <w:noProof/>
                <w:webHidden/>
                <w:color w:val="2C307E"/>
              </w:rPr>
              <w:fldChar w:fldCharType="separate"/>
            </w:r>
            <w:r w:rsidRPr="0089494B">
              <w:rPr>
                <w:noProof/>
                <w:webHidden/>
                <w:color w:val="2C307E"/>
              </w:rPr>
              <w:t>41</w:t>
            </w:r>
            <w:r w:rsidRPr="0089494B">
              <w:rPr>
                <w:noProof/>
                <w:webHidden/>
                <w:color w:val="2C307E"/>
              </w:rPr>
              <w:fldChar w:fldCharType="end"/>
            </w:r>
          </w:hyperlink>
        </w:p>
        <w:p w14:paraId="29594DF2" w14:textId="3A01AB87" w:rsidR="0089494B" w:rsidRPr="0089494B" w:rsidRDefault="0089494B">
          <w:pPr>
            <w:pStyle w:val="Inhopg2"/>
            <w:rPr>
              <w:rFonts w:eastAsiaTheme="minorEastAsia"/>
              <w:noProof/>
              <w:color w:val="2C307E"/>
              <w:kern w:val="2"/>
              <w:sz w:val="24"/>
              <w:szCs w:val="24"/>
              <w:lang w:eastAsia="nl-NL"/>
              <w14:ligatures w14:val="standardContextual"/>
            </w:rPr>
          </w:pPr>
          <w:hyperlink w:anchor="_Toc209710057" w:history="1">
            <w:r w:rsidRPr="0089494B">
              <w:rPr>
                <w:rStyle w:val="Hyperlink"/>
                <w:noProof/>
                <w:color w:val="2C307E"/>
              </w:rPr>
              <w:t>Laden op het werk</w:t>
            </w:r>
            <w:r w:rsidRPr="0089494B">
              <w:rPr>
                <w:noProof/>
                <w:webHidden/>
                <w:color w:val="2C307E"/>
              </w:rPr>
              <w:tab/>
            </w:r>
            <w:r w:rsidRPr="0089494B">
              <w:rPr>
                <w:noProof/>
                <w:webHidden/>
                <w:color w:val="2C307E"/>
              </w:rPr>
              <w:fldChar w:fldCharType="begin"/>
            </w:r>
            <w:r w:rsidRPr="0089494B">
              <w:rPr>
                <w:noProof/>
                <w:webHidden/>
                <w:color w:val="2C307E"/>
              </w:rPr>
              <w:instrText xml:space="preserve"> PAGEREF _Toc209710057 \h </w:instrText>
            </w:r>
            <w:r w:rsidRPr="0089494B">
              <w:rPr>
                <w:noProof/>
                <w:webHidden/>
                <w:color w:val="2C307E"/>
              </w:rPr>
            </w:r>
            <w:r w:rsidRPr="0089494B">
              <w:rPr>
                <w:noProof/>
                <w:webHidden/>
                <w:color w:val="2C307E"/>
              </w:rPr>
              <w:fldChar w:fldCharType="separate"/>
            </w:r>
            <w:r w:rsidRPr="0089494B">
              <w:rPr>
                <w:noProof/>
                <w:webHidden/>
                <w:color w:val="2C307E"/>
              </w:rPr>
              <w:t>45</w:t>
            </w:r>
            <w:r w:rsidRPr="0089494B">
              <w:rPr>
                <w:noProof/>
                <w:webHidden/>
                <w:color w:val="2C307E"/>
              </w:rPr>
              <w:fldChar w:fldCharType="end"/>
            </w:r>
          </w:hyperlink>
        </w:p>
        <w:p w14:paraId="62101122" w14:textId="3C7C8278" w:rsidR="0089494B" w:rsidRPr="0089494B" w:rsidRDefault="0089494B">
          <w:pPr>
            <w:pStyle w:val="Inhopg2"/>
            <w:rPr>
              <w:rFonts w:eastAsiaTheme="minorEastAsia"/>
              <w:noProof/>
              <w:color w:val="2C307E"/>
              <w:kern w:val="2"/>
              <w:sz w:val="24"/>
              <w:szCs w:val="24"/>
              <w:lang w:eastAsia="nl-NL"/>
              <w14:ligatures w14:val="standardContextual"/>
            </w:rPr>
          </w:pPr>
          <w:hyperlink w:anchor="_Toc209710058" w:history="1">
            <w:r w:rsidRPr="0089494B">
              <w:rPr>
                <w:rStyle w:val="Hyperlink"/>
                <w:noProof/>
                <w:color w:val="2C307E"/>
              </w:rPr>
              <w:t>3.5 Slim laden</w:t>
            </w:r>
            <w:r w:rsidRPr="0089494B">
              <w:rPr>
                <w:noProof/>
                <w:webHidden/>
                <w:color w:val="2C307E"/>
              </w:rPr>
              <w:tab/>
            </w:r>
            <w:r w:rsidRPr="0089494B">
              <w:rPr>
                <w:noProof/>
                <w:webHidden/>
                <w:color w:val="2C307E"/>
              </w:rPr>
              <w:fldChar w:fldCharType="begin"/>
            </w:r>
            <w:r w:rsidRPr="0089494B">
              <w:rPr>
                <w:noProof/>
                <w:webHidden/>
                <w:color w:val="2C307E"/>
              </w:rPr>
              <w:instrText xml:space="preserve"> PAGEREF _Toc209710058 \h </w:instrText>
            </w:r>
            <w:r w:rsidRPr="0089494B">
              <w:rPr>
                <w:noProof/>
                <w:webHidden/>
                <w:color w:val="2C307E"/>
              </w:rPr>
            </w:r>
            <w:r w:rsidRPr="0089494B">
              <w:rPr>
                <w:noProof/>
                <w:webHidden/>
                <w:color w:val="2C307E"/>
              </w:rPr>
              <w:fldChar w:fldCharType="separate"/>
            </w:r>
            <w:r w:rsidRPr="0089494B">
              <w:rPr>
                <w:noProof/>
                <w:webHidden/>
                <w:color w:val="2C307E"/>
              </w:rPr>
              <w:t>48</w:t>
            </w:r>
            <w:r w:rsidRPr="0089494B">
              <w:rPr>
                <w:noProof/>
                <w:webHidden/>
                <w:color w:val="2C307E"/>
              </w:rPr>
              <w:fldChar w:fldCharType="end"/>
            </w:r>
          </w:hyperlink>
        </w:p>
        <w:p w14:paraId="25A0E19C" w14:textId="200B4DD3" w:rsidR="0089494B" w:rsidRPr="0089494B" w:rsidRDefault="0089494B">
          <w:pPr>
            <w:pStyle w:val="Inhopg2"/>
            <w:rPr>
              <w:rFonts w:eastAsiaTheme="minorEastAsia"/>
              <w:noProof/>
              <w:color w:val="2C307E"/>
              <w:kern w:val="2"/>
              <w:sz w:val="24"/>
              <w:szCs w:val="24"/>
              <w:lang w:eastAsia="nl-NL"/>
              <w14:ligatures w14:val="standardContextual"/>
            </w:rPr>
          </w:pPr>
          <w:hyperlink w:anchor="_Toc209710060" w:history="1">
            <w:r w:rsidRPr="0089494B">
              <w:rPr>
                <w:rStyle w:val="Hyperlink"/>
                <w:noProof/>
                <w:color w:val="2C307E"/>
              </w:rPr>
              <w:t>Slim laden aan het thuislaadpunt</w:t>
            </w:r>
            <w:r w:rsidRPr="0089494B">
              <w:rPr>
                <w:noProof/>
                <w:webHidden/>
                <w:color w:val="2C307E"/>
              </w:rPr>
              <w:tab/>
            </w:r>
            <w:r w:rsidRPr="0089494B">
              <w:rPr>
                <w:noProof/>
                <w:webHidden/>
                <w:color w:val="2C307E"/>
              </w:rPr>
              <w:fldChar w:fldCharType="begin"/>
            </w:r>
            <w:r w:rsidRPr="0089494B">
              <w:rPr>
                <w:noProof/>
                <w:webHidden/>
                <w:color w:val="2C307E"/>
              </w:rPr>
              <w:instrText xml:space="preserve"> PAGEREF _Toc209710060 \h </w:instrText>
            </w:r>
            <w:r w:rsidRPr="0089494B">
              <w:rPr>
                <w:noProof/>
                <w:webHidden/>
                <w:color w:val="2C307E"/>
              </w:rPr>
            </w:r>
            <w:r w:rsidRPr="0089494B">
              <w:rPr>
                <w:noProof/>
                <w:webHidden/>
                <w:color w:val="2C307E"/>
              </w:rPr>
              <w:fldChar w:fldCharType="separate"/>
            </w:r>
            <w:r w:rsidRPr="0089494B">
              <w:rPr>
                <w:noProof/>
                <w:webHidden/>
                <w:color w:val="2C307E"/>
              </w:rPr>
              <w:t>50</w:t>
            </w:r>
            <w:r w:rsidRPr="0089494B">
              <w:rPr>
                <w:noProof/>
                <w:webHidden/>
                <w:color w:val="2C307E"/>
              </w:rPr>
              <w:fldChar w:fldCharType="end"/>
            </w:r>
          </w:hyperlink>
        </w:p>
        <w:p w14:paraId="27FBF62A" w14:textId="01B9C68B" w:rsidR="0089494B" w:rsidRPr="0089494B" w:rsidRDefault="0089494B">
          <w:pPr>
            <w:pStyle w:val="Inhopg2"/>
            <w:rPr>
              <w:rFonts w:eastAsiaTheme="minorEastAsia"/>
              <w:noProof/>
              <w:color w:val="2C307E"/>
              <w:kern w:val="2"/>
              <w:sz w:val="24"/>
              <w:szCs w:val="24"/>
              <w:lang w:eastAsia="nl-NL"/>
              <w14:ligatures w14:val="standardContextual"/>
            </w:rPr>
          </w:pPr>
          <w:hyperlink w:anchor="_Toc209710061" w:history="1">
            <w:r w:rsidRPr="0089494B">
              <w:rPr>
                <w:rStyle w:val="Hyperlink"/>
                <w:noProof/>
                <w:color w:val="2C307E"/>
              </w:rPr>
              <w:t>Slim laden aan de openbare laadpaal</w:t>
            </w:r>
            <w:r w:rsidRPr="0089494B">
              <w:rPr>
                <w:noProof/>
                <w:webHidden/>
                <w:color w:val="2C307E"/>
              </w:rPr>
              <w:tab/>
            </w:r>
            <w:r w:rsidRPr="0089494B">
              <w:rPr>
                <w:noProof/>
                <w:webHidden/>
                <w:color w:val="2C307E"/>
              </w:rPr>
              <w:fldChar w:fldCharType="begin"/>
            </w:r>
            <w:r w:rsidRPr="0089494B">
              <w:rPr>
                <w:noProof/>
                <w:webHidden/>
                <w:color w:val="2C307E"/>
              </w:rPr>
              <w:instrText xml:space="preserve"> PAGEREF _Toc209710061 \h </w:instrText>
            </w:r>
            <w:r w:rsidRPr="0089494B">
              <w:rPr>
                <w:noProof/>
                <w:webHidden/>
                <w:color w:val="2C307E"/>
              </w:rPr>
            </w:r>
            <w:r w:rsidRPr="0089494B">
              <w:rPr>
                <w:noProof/>
                <w:webHidden/>
                <w:color w:val="2C307E"/>
              </w:rPr>
              <w:fldChar w:fldCharType="separate"/>
            </w:r>
            <w:r w:rsidRPr="0089494B">
              <w:rPr>
                <w:noProof/>
                <w:webHidden/>
                <w:color w:val="2C307E"/>
              </w:rPr>
              <w:t>52</w:t>
            </w:r>
            <w:r w:rsidRPr="0089494B">
              <w:rPr>
                <w:noProof/>
                <w:webHidden/>
                <w:color w:val="2C307E"/>
              </w:rPr>
              <w:fldChar w:fldCharType="end"/>
            </w:r>
          </w:hyperlink>
        </w:p>
        <w:p w14:paraId="392F27B3" w14:textId="1D435FA9" w:rsidR="0089494B" w:rsidRPr="0089494B" w:rsidRDefault="0089494B">
          <w:pPr>
            <w:pStyle w:val="Inhopg2"/>
            <w:rPr>
              <w:rFonts w:eastAsiaTheme="minorEastAsia"/>
              <w:noProof/>
              <w:color w:val="2C307E"/>
              <w:kern w:val="2"/>
              <w:sz w:val="24"/>
              <w:szCs w:val="24"/>
              <w:lang w:eastAsia="nl-NL"/>
              <w14:ligatures w14:val="standardContextual"/>
            </w:rPr>
          </w:pPr>
          <w:hyperlink w:anchor="_Toc209710063" w:history="1">
            <w:r w:rsidRPr="0089494B">
              <w:rPr>
                <w:rStyle w:val="Hyperlink"/>
                <w:noProof/>
                <w:color w:val="2C307E"/>
              </w:rPr>
              <w:t>Slim laden op het werk</w:t>
            </w:r>
            <w:r w:rsidRPr="0089494B">
              <w:rPr>
                <w:noProof/>
                <w:webHidden/>
                <w:color w:val="2C307E"/>
              </w:rPr>
              <w:tab/>
            </w:r>
            <w:r w:rsidRPr="0089494B">
              <w:rPr>
                <w:noProof/>
                <w:webHidden/>
                <w:color w:val="2C307E"/>
              </w:rPr>
              <w:fldChar w:fldCharType="begin"/>
            </w:r>
            <w:r w:rsidRPr="0089494B">
              <w:rPr>
                <w:noProof/>
                <w:webHidden/>
                <w:color w:val="2C307E"/>
              </w:rPr>
              <w:instrText xml:space="preserve"> PAGEREF _Toc209710063 \h </w:instrText>
            </w:r>
            <w:r w:rsidRPr="0089494B">
              <w:rPr>
                <w:noProof/>
                <w:webHidden/>
                <w:color w:val="2C307E"/>
              </w:rPr>
            </w:r>
            <w:r w:rsidRPr="0089494B">
              <w:rPr>
                <w:noProof/>
                <w:webHidden/>
                <w:color w:val="2C307E"/>
              </w:rPr>
              <w:fldChar w:fldCharType="separate"/>
            </w:r>
            <w:r w:rsidRPr="0089494B">
              <w:rPr>
                <w:noProof/>
                <w:webHidden/>
                <w:color w:val="2C307E"/>
              </w:rPr>
              <w:t>58</w:t>
            </w:r>
            <w:r w:rsidRPr="0089494B">
              <w:rPr>
                <w:noProof/>
                <w:webHidden/>
                <w:color w:val="2C307E"/>
              </w:rPr>
              <w:fldChar w:fldCharType="end"/>
            </w:r>
          </w:hyperlink>
        </w:p>
        <w:p w14:paraId="6112C582" w14:textId="392C70AB" w:rsidR="0089494B" w:rsidRPr="0089494B" w:rsidRDefault="0089494B">
          <w:pPr>
            <w:pStyle w:val="Inhopg2"/>
            <w:rPr>
              <w:rFonts w:eastAsiaTheme="minorEastAsia"/>
              <w:noProof/>
              <w:color w:val="2C307E"/>
              <w:kern w:val="2"/>
              <w:sz w:val="24"/>
              <w:szCs w:val="24"/>
              <w:lang w:eastAsia="nl-NL"/>
              <w14:ligatures w14:val="standardContextual"/>
            </w:rPr>
          </w:pPr>
          <w:hyperlink w:anchor="_Toc209710064" w:history="1">
            <w:r w:rsidRPr="0089494B">
              <w:rPr>
                <w:rStyle w:val="Hyperlink"/>
                <w:noProof/>
                <w:color w:val="2C307E"/>
              </w:rPr>
              <w:t>Bidirectioneel laden</w:t>
            </w:r>
            <w:r w:rsidRPr="0089494B">
              <w:rPr>
                <w:noProof/>
                <w:webHidden/>
                <w:color w:val="2C307E"/>
              </w:rPr>
              <w:tab/>
            </w:r>
            <w:r w:rsidRPr="0089494B">
              <w:rPr>
                <w:noProof/>
                <w:webHidden/>
                <w:color w:val="2C307E"/>
              </w:rPr>
              <w:fldChar w:fldCharType="begin"/>
            </w:r>
            <w:r w:rsidRPr="0089494B">
              <w:rPr>
                <w:noProof/>
                <w:webHidden/>
                <w:color w:val="2C307E"/>
              </w:rPr>
              <w:instrText xml:space="preserve"> PAGEREF _Toc209710064 \h </w:instrText>
            </w:r>
            <w:r w:rsidRPr="0089494B">
              <w:rPr>
                <w:noProof/>
                <w:webHidden/>
                <w:color w:val="2C307E"/>
              </w:rPr>
            </w:r>
            <w:r w:rsidRPr="0089494B">
              <w:rPr>
                <w:noProof/>
                <w:webHidden/>
                <w:color w:val="2C307E"/>
              </w:rPr>
              <w:fldChar w:fldCharType="separate"/>
            </w:r>
            <w:r w:rsidRPr="0089494B">
              <w:rPr>
                <w:noProof/>
                <w:webHidden/>
                <w:color w:val="2C307E"/>
              </w:rPr>
              <w:t>59</w:t>
            </w:r>
            <w:r w:rsidRPr="0089494B">
              <w:rPr>
                <w:noProof/>
                <w:webHidden/>
                <w:color w:val="2C307E"/>
              </w:rPr>
              <w:fldChar w:fldCharType="end"/>
            </w:r>
          </w:hyperlink>
        </w:p>
        <w:p w14:paraId="282FF102" w14:textId="724AE1CD" w:rsidR="0089494B" w:rsidRPr="0089494B" w:rsidRDefault="0089494B">
          <w:pPr>
            <w:pStyle w:val="Inhopg2"/>
            <w:rPr>
              <w:rFonts w:eastAsiaTheme="minorEastAsia"/>
              <w:noProof/>
              <w:color w:val="2C307E"/>
              <w:kern w:val="2"/>
              <w:sz w:val="24"/>
              <w:szCs w:val="24"/>
              <w:lang w:eastAsia="nl-NL"/>
              <w14:ligatures w14:val="standardContextual"/>
            </w:rPr>
          </w:pPr>
          <w:hyperlink w:anchor="_Toc209710065" w:history="1">
            <w:r w:rsidRPr="0089494B">
              <w:rPr>
                <w:rStyle w:val="Hyperlink"/>
                <w:noProof/>
                <w:color w:val="2C307E"/>
              </w:rPr>
              <w:t>3.6 Regionale Informatie</w:t>
            </w:r>
            <w:r w:rsidRPr="0089494B">
              <w:rPr>
                <w:noProof/>
                <w:webHidden/>
                <w:color w:val="2C307E"/>
              </w:rPr>
              <w:tab/>
            </w:r>
            <w:r w:rsidRPr="0089494B">
              <w:rPr>
                <w:noProof/>
                <w:webHidden/>
                <w:color w:val="2C307E"/>
              </w:rPr>
              <w:fldChar w:fldCharType="begin"/>
            </w:r>
            <w:r w:rsidRPr="0089494B">
              <w:rPr>
                <w:noProof/>
                <w:webHidden/>
                <w:color w:val="2C307E"/>
              </w:rPr>
              <w:instrText xml:space="preserve"> PAGEREF _Toc209710065 \h </w:instrText>
            </w:r>
            <w:r w:rsidRPr="0089494B">
              <w:rPr>
                <w:noProof/>
                <w:webHidden/>
                <w:color w:val="2C307E"/>
              </w:rPr>
            </w:r>
            <w:r w:rsidRPr="0089494B">
              <w:rPr>
                <w:noProof/>
                <w:webHidden/>
                <w:color w:val="2C307E"/>
              </w:rPr>
              <w:fldChar w:fldCharType="separate"/>
            </w:r>
            <w:r w:rsidRPr="0089494B">
              <w:rPr>
                <w:noProof/>
                <w:webHidden/>
                <w:color w:val="2C307E"/>
              </w:rPr>
              <w:t>61</w:t>
            </w:r>
            <w:r w:rsidRPr="0089494B">
              <w:rPr>
                <w:noProof/>
                <w:webHidden/>
                <w:color w:val="2C307E"/>
              </w:rPr>
              <w:fldChar w:fldCharType="end"/>
            </w:r>
          </w:hyperlink>
        </w:p>
        <w:p w14:paraId="5862BF89" w14:textId="5ED6E104" w:rsidR="0089494B" w:rsidRPr="0089494B" w:rsidRDefault="0089494B">
          <w:pPr>
            <w:pStyle w:val="Inhopg1"/>
            <w:tabs>
              <w:tab w:val="right" w:leader="dot" w:pos="4172"/>
            </w:tabs>
            <w:rPr>
              <w:rFonts w:eastAsiaTheme="minorEastAsia"/>
              <w:noProof/>
              <w:color w:val="2C307E"/>
              <w:kern w:val="2"/>
              <w:sz w:val="24"/>
              <w:szCs w:val="24"/>
              <w:lang w:eastAsia="nl-NL"/>
              <w14:ligatures w14:val="standardContextual"/>
            </w:rPr>
          </w:pPr>
          <w:hyperlink w:anchor="_Toc209710068" w:history="1">
            <w:r w:rsidRPr="0089494B">
              <w:rPr>
                <w:rStyle w:val="Hyperlink"/>
                <w:noProof/>
                <w:color w:val="2C307E"/>
              </w:rPr>
              <w:t>Vervolg</w:t>
            </w:r>
            <w:r w:rsidRPr="0089494B">
              <w:rPr>
                <w:noProof/>
                <w:webHidden/>
                <w:color w:val="2C307E"/>
              </w:rPr>
              <w:tab/>
            </w:r>
            <w:r w:rsidRPr="0089494B">
              <w:rPr>
                <w:noProof/>
                <w:webHidden/>
                <w:color w:val="2C307E"/>
              </w:rPr>
              <w:fldChar w:fldCharType="begin"/>
            </w:r>
            <w:r w:rsidRPr="0089494B">
              <w:rPr>
                <w:noProof/>
                <w:webHidden/>
                <w:color w:val="2C307E"/>
              </w:rPr>
              <w:instrText xml:space="preserve"> PAGEREF _Toc209710068 \h </w:instrText>
            </w:r>
            <w:r w:rsidRPr="0089494B">
              <w:rPr>
                <w:noProof/>
                <w:webHidden/>
                <w:color w:val="2C307E"/>
              </w:rPr>
            </w:r>
            <w:r w:rsidRPr="0089494B">
              <w:rPr>
                <w:noProof/>
                <w:webHidden/>
                <w:color w:val="2C307E"/>
              </w:rPr>
              <w:fldChar w:fldCharType="separate"/>
            </w:r>
            <w:r w:rsidRPr="0089494B">
              <w:rPr>
                <w:noProof/>
                <w:webHidden/>
                <w:color w:val="2C307E"/>
              </w:rPr>
              <w:t>71</w:t>
            </w:r>
            <w:r w:rsidRPr="0089494B">
              <w:rPr>
                <w:noProof/>
                <w:webHidden/>
                <w:color w:val="2C307E"/>
              </w:rPr>
              <w:fldChar w:fldCharType="end"/>
            </w:r>
          </w:hyperlink>
        </w:p>
        <w:p w14:paraId="60C7D259" w14:textId="5F5ACD73" w:rsidR="00FF48DD" w:rsidRDefault="00FF48DD" w:rsidP="00FF48DD">
          <w:r w:rsidRPr="0089494B">
            <w:rPr>
              <w:b/>
              <w:bCs/>
              <w:color w:val="2C307E"/>
            </w:rPr>
            <w:fldChar w:fldCharType="end"/>
          </w:r>
        </w:p>
      </w:sdtContent>
    </w:sdt>
    <w:p w14:paraId="6CDD8D0D" w14:textId="77777777" w:rsidR="00FF48DD" w:rsidRPr="00FF48DD" w:rsidRDefault="00FF48DD" w:rsidP="00FF48DD"/>
    <w:p w14:paraId="234B9CAB" w14:textId="77777777" w:rsidR="00FF48DD" w:rsidRDefault="00FF48DD">
      <w:pPr>
        <w:rPr>
          <w:rFonts w:asciiTheme="majorHAnsi" w:eastAsiaTheme="majorEastAsia" w:hAnsiTheme="majorHAnsi" w:cstheme="majorBidi"/>
          <w:color w:val="2F5496" w:themeColor="accent1" w:themeShade="BF"/>
          <w:sz w:val="32"/>
          <w:szCs w:val="32"/>
        </w:rPr>
      </w:pPr>
      <w:r>
        <w:br w:type="page"/>
      </w:r>
    </w:p>
    <w:p w14:paraId="7C14D5A6" w14:textId="77777777" w:rsidR="007E17F8" w:rsidRPr="00325C98" w:rsidRDefault="007E17F8" w:rsidP="007E17F8">
      <w:pPr>
        <w:pStyle w:val="Kop1"/>
        <w:jc w:val="both"/>
      </w:pPr>
      <w:bookmarkStart w:id="3" w:name="_Toc206683809"/>
      <w:bookmarkStart w:id="4" w:name="_Toc209710034"/>
      <w:bookmarkEnd w:id="1"/>
      <w:r w:rsidRPr="00325C98">
        <w:lastRenderedPageBreak/>
        <w:t>Samenvatting</w:t>
      </w:r>
      <w:bookmarkEnd w:id="3"/>
      <w:bookmarkEnd w:id="4"/>
    </w:p>
    <w:p w14:paraId="46554973" w14:textId="77777777" w:rsidR="007E17F8" w:rsidRPr="00325C98" w:rsidRDefault="007E17F8" w:rsidP="007E17F8">
      <w:pPr>
        <w:spacing w:after="0" w:line="276" w:lineRule="auto"/>
        <w:jc w:val="both"/>
        <w:rPr>
          <w:rFonts w:cstheme="minorHAnsi"/>
          <w:color w:val="2C307E"/>
        </w:rPr>
      </w:pPr>
      <w:r w:rsidRPr="00325C98">
        <w:rPr>
          <w:rFonts w:eastAsia="Verdana" w:cstheme="minorHAnsi"/>
          <w:color w:val="2C307E"/>
        </w:rPr>
        <w:t>Het Nationaal Laadonderzoek is een jaarlijkse, grootschalige enquête onder Nederlandse</w:t>
      </w:r>
      <w:r>
        <w:rPr>
          <w:rFonts w:eastAsia="Verdana" w:cstheme="minorHAnsi"/>
          <w:color w:val="2C307E"/>
        </w:rPr>
        <w:t xml:space="preserve"> Elektrische Voertuigen (</w:t>
      </w:r>
      <w:r w:rsidRPr="00325C98">
        <w:rPr>
          <w:rFonts w:eastAsia="Verdana" w:cstheme="minorHAnsi"/>
          <w:color w:val="2C307E"/>
        </w:rPr>
        <w:t>EV</w:t>
      </w:r>
      <w:r>
        <w:rPr>
          <w:rFonts w:eastAsia="Verdana" w:cstheme="minorHAnsi"/>
          <w:color w:val="2C307E"/>
        </w:rPr>
        <w:t>)</w:t>
      </w:r>
      <w:r w:rsidRPr="00325C98">
        <w:rPr>
          <w:rFonts w:eastAsia="Verdana" w:cstheme="minorHAnsi"/>
          <w:color w:val="2C307E"/>
        </w:rPr>
        <w:t xml:space="preserve">-rijders naar hun ervaringen met en meningen over het opladen van elektrische </w:t>
      </w:r>
      <w:r>
        <w:rPr>
          <w:rFonts w:eastAsia="Verdana" w:cstheme="minorHAnsi"/>
          <w:color w:val="2C307E"/>
        </w:rPr>
        <w:t>personen</w:t>
      </w:r>
      <w:r w:rsidRPr="00325C98">
        <w:rPr>
          <w:rFonts w:eastAsia="Verdana" w:cstheme="minorHAnsi"/>
          <w:color w:val="2C307E"/>
        </w:rPr>
        <w:t>auto’s. De resultaten</w:t>
      </w:r>
      <w:r>
        <w:rPr>
          <w:rFonts w:eastAsia="Verdana" w:cstheme="minorHAnsi"/>
          <w:color w:val="2C307E"/>
        </w:rPr>
        <w:t xml:space="preserve"> in dit rapport</w:t>
      </w:r>
      <w:r w:rsidRPr="00325C98">
        <w:rPr>
          <w:rFonts w:eastAsia="Verdana" w:cstheme="minorHAnsi"/>
          <w:color w:val="2C307E"/>
        </w:rPr>
        <w:t xml:space="preserve"> zijn gebaseerd op de antwoorden in de enquête en hebben zodoende betrekking op dat wat respondenten geantwoord hebben. </w:t>
      </w:r>
    </w:p>
    <w:p w14:paraId="50EF9C44" w14:textId="77777777" w:rsidR="007E17F8" w:rsidRDefault="007E17F8" w:rsidP="007E17F8">
      <w:pPr>
        <w:spacing w:after="0" w:line="276" w:lineRule="auto"/>
        <w:jc w:val="both"/>
        <w:rPr>
          <w:rFonts w:eastAsia="Verdana" w:cstheme="minorHAnsi"/>
          <w:color w:val="2C307E"/>
        </w:rPr>
      </w:pPr>
      <w:r w:rsidRPr="00325C98">
        <w:rPr>
          <w:rFonts w:eastAsia="Verdana" w:cstheme="minorHAnsi"/>
          <w:color w:val="2C307E"/>
        </w:rPr>
        <w:t xml:space="preserve">Het Nationaal Laadonderzoek 2025 laat zien hoe bestaande trends zich ontwikkelen en biedt inzicht in nieuwe onderwerpen die opkomen in deze sector. </w:t>
      </w:r>
    </w:p>
    <w:p w14:paraId="134AAE3A" w14:textId="77777777" w:rsidR="007E17F8" w:rsidRDefault="007E17F8" w:rsidP="007E17F8">
      <w:pPr>
        <w:spacing w:after="0" w:line="276" w:lineRule="auto"/>
        <w:jc w:val="both"/>
        <w:rPr>
          <w:rFonts w:eastAsia="Verdana" w:cstheme="minorHAnsi"/>
          <w:color w:val="2C307E"/>
        </w:rPr>
      </w:pPr>
    </w:p>
    <w:p w14:paraId="330AB286" w14:textId="77777777" w:rsidR="007E17F8" w:rsidRPr="00252053" w:rsidRDefault="007E17F8" w:rsidP="007E17F8">
      <w:pPr>
        <w:spacing w:after="0" w:line="276" w:lineRule="auto"/>
        <w:jc w:val="both"/>
        <w:rPr>
          <w:rFonts w:eastAsia="Verdana" w:cstheme="minorHAnsi"/>
          <w:b/>
          <w:bCs/>
          <w:color w:val="2C307E"/>
        </w:rPr>
      </w:pPr>
      <w:r>
        <w:rPr>
          <w:rFonts w:eastAsia="Verdana" w:cstheme="minorHAnsi"/>
          <w:b/>
          <w:bCs/>
          <w:color w:val="2C307E"/>
        </w:rPr>
        <w:t>Representativiteit</w:t>
      </w:r>
    </w:p>
    <w:p w14:paraId="3C6F9526" w14:textId="77777777" w:rsidR="007E17F8" w:rsidRDefault="007E17F8" w:rsidP="007E17F8">
      <w:pPr>
        <w:spacing w:after="0" w:line="276" w:lineRule="auto"/>
        <w:jc w:val="both"/>
        <w:rPr>
          <w:rFonts w:eastAsia="Verdana" w:cstheme="minorHAnsi"/>
          <w:color w:val="2C307E"/>
        </w:rPr>
      </w:pPr>
      <w:r>
        <w:rPr>
          <w:rFonts w:eastAsia="Verdana" w:cstheme="minorHAnsi"/>
          <w:color w:val="2C307E"/>
        </w:rPr>
        <w:t>I</w:t>
      </w:r>
      <w:r w:rsidRPr="00481CA7">
        <w:rPr>
          <w:rFonts w:eastAsia="Verdana" w:cstheme="minorHAnsi"/>
          <w:color w:val="2C307E"/>
        </w:rPr>
        <w:t>n het onderzoek zijn zowel ervaren als nieuwe EV-rijders vertegenwoordigd. De verdeling van ervaren en nieuwe EV-rijders</w:t>
      </w:r>
      <w:r>
        <w:rPr>
          <w:rFonts w:eastAsia="Verdana" w:cstheme="minorHAnsi"/>
          <w:color w:val="2C307E"/>
        </w:rPr>
        <w:t xml:space="preserve"> in dit onderzoek</w:t>
      </w:r>
      <w:r w:rsidRPr="00481CA7">
        <w:rPr>
          <w:rFonts w:eastAsia="Verdana" w:cstheme="minorHAnsi"/>
          <w:color w:val="2C307E"/>
        </w:rPr>
        <w:t xml:space="preserve"> komt overeen met de verdeling in de totale populatie</w:t>
      </w:r>
      <w:r>
        <w:rPr>
          <w:rFonts w:eastAsia="Verdana" w:cstheme="minorHAnsi"/>
          <w:color w:val="2C307E"/>
        </w:rPr>
        <w:t xml:space="preserve"> EV-rijders in Nederland</w:t>
      </w:r>
      <w:r w:rsidRPr="00481CA7">
        <w:rPr>
          <w:rFonts w:eastAsia="Verdana" w:cstheme="minorHAnsi"/>
          <w:color w:val="2C307E"/>
        </w:rPr>
        <w:t>. Ook de geografische spreiding, het aantal gereden kilometers en het soort auto dat gereden wordt komen overeen met de totale populatie.</w:t>
      </w:r>
      <w:r>
        <w:rPr>
          <w:rFonts w:eastAsia="Verdana" w:cstheme="minorHAnsi"/>
          <w:color w:val="2C307E"/>
        </w:rPr>
        <w:t xml:space="preserve"> </w:t>
      </w:r>
    </w:p>
    <w:p w14:paraId="1FB99DCF" w14:textId="77777777" w:rsidR="007E17F8" w:rsidRPr="008B5E1E" w:rsidRDefault="007E17F8" w:rsidP="007E17F8">
      <w:pPr>
        <w:spacing w:after="0" w:line="276" w:lineRule="auto"/>
        <w:jc w:val="both"/>
        <w:rPr>
          <w:color w:val="2C307E"/>
        </w:rPr>
      </w:pPr>
      <w:r w:rsidRPr="288BF690">
        <w:rPr>
          <w:color w:val="2C307E"/>
        </w:rPr>
        <w:t xml:space="preserve">De steekproef is in grote mate representatief voor de totale populatie EV-rijders. Op een aantal onderwerpen zijn bepaalde groepen oververtegenwoordigd: Mannen, leeftijdsklasse </w:t>
      </w:r>
      <w:r>
        <w:rPr>
          <w:color w:val="2C307E"/>
        </w:rPr>
        <w:t xml:space="preserve">ouder dan </w:t>
      </w:r>
      <w:r w:rsidRPr="288BF690">
        <w:rPr>
          <w:color w:val="2C307E"/>
        </w:rPr>
        <w:t>50 jaar, particuliere rijders, EV-rijders met een nieuwe auto en VER</w:t>
      </w:r>
      <w:r w:rsidRPr="06C29025">
        <w:rPr>
          <w:color w:val="2C307E"/>
        </w:rPr>
        <w:t>-</w:t>
      </w:r>
      <w:r w:rsidRPr="288BF690">
        <w:rPr>
          <w:color w:val="2C307E"/>
        </w:rPr>
        <w:t>leden. Het effect van de oververtegenwoordiging van deze groepen op de beantwoording van de vragen is klein. Waar d</w:t>
      </w:r>
      <w:r>
        <w:rPr>
          <w:color w:val="2C307E"/>
        </w:rPr>
        <w:t>it effect</w:t>
      </w:r>
      <w:r w:rsidRPr="288BF690">
        <w:rPr>
          <w:color w:val="2C307E"/>
        </w:rPr>
        <w:t xml:space="preserve"> relevant is, worden de uitkomsten voor de verschillende subcategorieën los gepresenteerd.</w:t>
      </w:r>
    </w:p>
    <w:p w14:paraId="2EE7E139" w14:textId="77777777" w:rsidR="00C00FBC" w:rsidRDefault="00C00FBC" w:rsidP="00A525BA">
      <w:pPr>
        <w:pStyle w:val="ROstandaard"/>
        <w:rPr>
          <w:rFonts w:asciiTheme="minorHAnsi" w:hAnsiTheme="minorHAnsi" w:cstheme="minorHAnsi"/>
          <w:b/>
          <w:bCs/>
          <w:sz w:val="22"/>
          <w:szCs w:val="22"/>
          <w:lang w:val="nl-NL"/>
        </w:rPr>
      </w:pPr>
    </w:p>
    <w:p w14:paraId="2465D750" w14:textId="77777777" w:rsidR="00D161C4" w:rsidRDefault="00D161C4" w:rsidP="00A525BA">
      <w:pPr>
        <w:pStyle w:val="ROstandaard"/>
        <w:rPr>
          <w:rFonts w:asciiTheme="minorHAnsi" w:hAnsiTheme="minorHAnsi" w:cstheme="minorHAnsi"/>
          <w:b/>
          <w:bCs/>
          <w:sz w:val="22"/>
          <w:szCs w:val="22"/>
          <w:lang w:val="nl-NL"/>
        </w:rPr>
      </w:pPr>
    </w:p>
    <w:p w14:paraId="4AD31454" w14:textId="77777777" w:rsidR="00D161C4" w:rsidRDefault="00D161C4" w:rsidP="00A525BA">
      <w:pPr>
        <w:pStyle w:val="ROstandaard"/>
        <w:rPr>
          <w:rFonts w:asciiTheme="minorHAnsi" w:hAnsiTheme="minorHAnsi" w:cstheme="minorHAnsi"/>
          <w:b/>
          <w:bCs/>
          <w:sz w:val="22"/>
          <w:szCs w:val="22"/>
          <w:lang w:val="nl-NL"/>
        </w:rPr>
      </w:pPr>
    </w:p>
    <w:p w14:paraId="3D204597" w14:textId="77777777" w:rsidR="00D161C4" w:rsidRDefault="00D161C4" w:rsidP="00A525BA">
      <w:pPr>
        <w:pStyle w:val="ROstandaard"/>
        <w:rPr>
          <w:rFonts w:asciiTheme="minorHAnsi" w:hAnsiTheme="minorHAnsi" w:cstheme="minorHAnsi"/>
          <w:b/>
          <w:bCs/>
          <w:sz w:val="22"/>
          <w:szCs w:val="22"/>
          <w:lang w:val="nl-NL"/>
        </w:rPr>
      </w:pPr>
    </w:p>
    <w:p w14:paraId="07F23764" w14:textId="77777777" w:rsidR="00D161C4" w:rsidRDefault="00D161C4" w:rsidP="00A525BA">
      <w:pPr>
        <w:pStyle w:val="ROstandaard"/>
        <w:rPr>
          <w:rFonts w:asciiTheme="minorHAnsi" w:hAnsiTheme="minorHAnsi" w:cstheme="minorHAnsi"/>
          <w:b/>
          <w:bCs/>
          <w:sz w:val="22"/>
          <w:szCs w:val="22"/>
          <w:lang w:val="nl-NL"/>
        </w:rPr>
      </w:pPr>
    </w:p>
    <w:p w14:paraId="29416F68" w14:textId="77777777" w:rsidR="00D161C4" w:rsidRDefault="00D161C4" w:rsidP="00A525BA">
      <w:pPr>
        <w:pStyle w:val="ROstandaard"/>
        <w:rPr>
          <w:rFonts w:asciiTheme="minorHAnsi" w:hAnsiTheme="minorHAnsi" w:cstheme="minorHAnsi"/>
          <w:b/>
          <w:bCs/>
          <w:sz w:val="22"/>
          <w:szCs w:val="22"/>
          <w:lang w:val="nl-NL"/>
        </w:rPr>
      </w:pPr>
    </w:p>
    <w:p w14:paraId="2DE7C63C" w14:textId="77777777" w:rsidR="00D161C4" w:rsidRDefault="00D161C4" w:rsidP="00A525BA">
      <w:pPr>
        <w:pStyle w:val="ROstandaard"/>
        <w:rPr>
          <w:rFonts w:asciiTheme="minorHAnsi" w:hAnsiTheme="minorHAnsi" w:cstheme="minorHAnsi"/>
          <w:b/>
          <w:bCs/>
          <w:sz w:val="22"/>
          <w:szCs w:val="22"/>
          <w:lang w:val="nl-NL"/>
        </w:rPr>
      </w:pPr>
    </w:p>
    <w:p w14:paraId="0DA343E1" w14:textId="77777777" w:rsidR="00D161C4" w:rsidRDefault="00D161C4" w:rsidP="00A525BA">
      <w:pPr>
        <w:pStyle w:val="ROstandaard"/>
        <w:rPr>
          <w:rFonts w:asciiTheme="minorHAnsi" w:hAnsiTheme="minorHAnsi" w:cstheme="minorHAnsi"/>
          <w:b/>
          <w:bCs/>
          <w:sz w:val="22"/>
          <w:szCs w:val="22"/>
          <w:lang w:val="nl-NL"/>
        </w:rPr>
      </w:pPr>
    </w:p>
    <w:p w14:paraId="1A777E46" w14:textId="77777777" w:rsidR="00D161C4" w:rsidRDefault="00D161C4" w:rsidP="00A525BA">
      <w:pPr>
        <w:pStyle w:val="ROstandaard"/>
        <w:rPr>
          <w:rFonts w:asciiTheme="minorHAnsi" w:hAnsiTheme="minorHAnsi" w:cstheme="minorHAnsi"/>
          <w:b/>
          <w:bCs/>
          <w:sz w:val="22"/>
          <w:szCs w:val="22"/>
          <w:lang w:val="nl-NL"/>
        </w:rPr>
      </w:pPr>
    </w:p>
    <w:p w14:paraId="68A79084" w14:textId="77777777" w:rsidR="00D161C4" w:rsidRDefault="00D161C4" w:rsidP="00A525BA">
      <w:pPr>
        <w:pStyle w:val="ROstandaard"/>
        <w:rPr>
          <w:rFonts w:asciiTheme="minorHAnsi" w:hAnsiTheme="minorHAnsi" w:cstheme="minorHAnsi"/>
          <w:b/>
          <w:bCs/>
          <w:sz w:val="22"/>
          <w:szCs w:val="22"/>
          <w:lang w:val="nl-NL"/>
        </w:rPr>
      </w:pPr>
    </w:p>
    <w:p w14:paraId="21FC25B1" w14:textId="77777777" w:rsidR="00D161C4" w:rsidRDefault="00D161C4" w:rsidP="00A525BA">
      <w:pPr>
        <w:pStyle w:val="ROstandaard"/>
        <w:rPr>
          <w:rFonts w:asciiTheme="minorHAnsi" w:hAnsiTheme="minorHAnsi" w:cstheme="minorHAnsi"/>
          <w:b/>
          <w:bCs/>
          <w:sz w:val="22"/>
          <w:szCs w:val="22"/>
          <w:lang w:val="nl-NL"/>
        </w:rPr>
      </w:pPr>
    </w:p>
    <w:p w14:paraId="10B80514" w14:textId="7F600711" w:rsidR="007E17F8" w:rsidRPr="000C2027" w:rsidRDefault="007E17F8" w:rsidP="00A525BA">
      <w:pPr>
        <w:pStyle w:val="ROstandaard"/>
        <w:rPr>
          <w:rFonts w:eastAsia="Verdana" w:cstheme="minorHAnsi"/>
          <w:b/>
        </w:rPr>
      </w:pPr>
      <w:r w:rsidRPr="00C00FBC">
        <w:rPr>
          <w:rFonts w:asciiTheme="minorHAnsi" w:hAnsiTheme="minorHAnsi" w:cstheme="minorHAnsi"/>
          <w:b/>
          <w:bCs/>
          <w:sz w:val="22"/>
          <w:szCs w:val="22"/>
          <w:lang w:val="nl-NL"/>
        </w:rPr>
        <w:t>De EV-rijder</w:t>
      </w:r>
    </w:p>
    <w:p w14:paraId="7EA77AAC" w14:textId="42596BF4" w:rsidR="007E17F8" w:rsidRPr="0067390E" w:rsidRDefault="007E17F8" w:rsidP="00C00FBC">
      <w:pPr>
        <w:pStyle w:val="Lijstalinea"/>
        <w:numPr>
          <w:ilvl w:val="0"/>
          <w:numId w:val="23"/>
        </w:numPr>
        <w:rPr>
          <w:rFonts w:eastAsia="Verdana" w:cstheme="minorHAnsi"/>
          <w:color w:val="2C307E"/>
        </w:rPr>
      </w:pPr>
      <w:r w:rsidRPr="0067390E">
        <w:rPr>
          <w:rFonts w:eastAsia="Verdana" w:cstheme="minorHAnsi"/>
          <w:color w:val="2C307E"/>
        </w:rPr>
        <w:t>De groep respondenten bevat steeds meer mensen die te classificeren zijn als early of late majority op de Rogers’ curve. 41% van de EV-rijders die in 2025 zijn gestart met elektrisch rijden vallen in de categorie (early + late) majority. De mening van deze ‘majority’ komt grotendeels overeen met de ervaring en verwachting van de gemiddelde EV-rijder.</w:t>
      </w:r>
    </w:p>
    <w:p w14:paraId="7A1A1157" w14:textId="77777777" w:rsidR="007E17F8" w:rsidRPr="0067390E" w:rsidRDefault="007E17F8" w:rsidP="0067390E">
      <w:pPr>
        <w:pStyle w:val="Lijstalinea"/>
        <w:numPr>
          <w:ilvl w:val="0"/>
          <w:numId w:val="23"/>
        </w:numPr>
        <w:rPr>
          <w:rFonts w:eastAsia="Verdana" w:cstheme="minorHAnsi"/>
          <w:color w:val="2C307E"/>
        </w:rPr>
      </w:pPr>
      <w:r w:rsidRPr="0067390E">
        <w:rPr>
          <w:rFonts w:eastAsia="Verdana" w:cstheme="minorHAnsi"/>
          <w:color w:val="2C307E"/>
        </w:rPr>
        <w:t>79% van de EV-rijders heeft zonnepanelen. Dit percentage is gelijk aan het Laadonderzoek 2024. Ter referentie: eind 2024 had ruim 35% van de Nederlandse huishoudens zonnepanelen.</w:t>
      </w:r>
    </w:p>
    <w:p w14:paraId="5518365B" w14:textId="77777777" w:rsidR="007E17F8" w:rsidRPr="0067390E" w:rsidRDefault="007E17F8" w:rsidP="0067390E">
      <w:pPr>
        <w:pStyle w:val="Lijstalinea"/>
        <w:numPr>
          <w:ilvl w:val="0"/>
          <w:numId w:val="23"/>
        </w:numPr>
        <w:rPr>
          <w:rFonts w:eastAsia="Verdana" w:cstheme="minorHAnsi"/>
          <w:color w:val="2C307E"/>
        </w:rPr>
      </w:pPr>
      <w:r w:rsidRPr="0067390E">
        <w:rPr>
          <w:rFonts w:eastAsia="Verdana" w:cstheme="minorHAnsi"/>
          <w:color w:val="2C307E"/>
        </w:rPr>
        <w:t>Van de thuisladers heeft zelfs 90% zonnepanelen. 70% van deze groep laadt zoveel mogelijk op tijden waarop zonne-energie beschikbaar is.</w:t>
      </w:r>
    </w:p>
    <w:p w14:paraId="52078D87" w14:textId="77777777" w:rsidR="0067390E" w:rsidRPr="0067390E" w:rsidRDefault="007E17F8">
      <w:pPr>
        <w:pStyle w:val="Lijstalinea"/>
        <w:numPr>
          <w:ilvl w:val="0"/>
          <w:numId w:val="23"/>
        </w:numPr>
      </w:pPr>
      <w:r w:rsidRPr="0067390E">
        <w:rPr>
          <w:rFonts w:eastAsia="Verdana" w:cstheme="minorHAnsi"/>
          <w:color w:val="2C307E"/>
        </w:rPr>
        <w:t xml:space="preserve">De meeste EV-rijders kunnen parkeren op eigen terrein. 67% heeft een woning met voldoende eigen grond om op eigen terrein te parkeren. Ter vergelijking; in Nederland heeft 27% van de huishoudens de mogelijkheid om op eigen terrein te parkeren. </w:t>
      </w:r>
    </w:p>
    <w:p w14:paraId="1F6EAEEF" w14:textId="4FE7E8D0" w:rsidR="0067390E" w:rsidRPr="000C2027" w:rsidRDefault="0067390E" w:rsidP="0067390E">
      <w:pPr>
        <w:pStyle w:val="ROstandaard"/>
        <w:rPr>
          <w:rFonts w:eastAsia="Verdana" w:cstheme="minorHAnsi"/>
          <w:b/>
        </w:rPr>
      </w:pPr>
      <w:r>
        <w:rPr>
          <w:rFonts w:asciiTheme="minorHAnsi" w:hAnsiTheme="minorHAnsi" w:cstheme="minorHAnsi"/>
          <w:b/>
          <w:bCs/>
          <w:sz w:val="22"/>
          <w:szCs w:val="22"/>
        </w:rPr>
        <w:t>Laden algemeen</w:t>
      </w:r>
    </w:p>
    <w:p w14:paraId="25918E52" w14:textId="556F1FC6" w:rsidR="007E17F8" w:rsidRPr="0067390E" w:rsidRDefault="007E17F8" w:rsidP="0067390E">
      <w:pPr>
        <w:pStyle w:val="Lijstalinea"/>
        <w:numPr>
          <w:ilvl w:val="0"/>
          <w:numId w:val="23"/>
        </w:numPr>
        <w:rPr>
          <w:rFonts w:eastAsia="Verdana" w:cstheme="minorHAnsi"/>
          <w:color w:val="2C307E"/>
        </w:rPr>
      </w:pPr>
      <w:r w:rsidRPr="0067390E">
        <w:rPr>
          <w:rFonts w:eastAsia="Verdana" w:cstheme="minorHAnsi"/>
          <w:color w:val="2C307E"/>
        </w:rPr>
        <w:t xml:space="preserve">Bijna de helft (48%) van de respondenten rijdt nooit meer dan de maximale actieradius van hun EV mogelijk maakt en hoeft dus niet onderweg bij te laden. </w:t>
      </w:r>
    </w:p>
    <w:p w14:paraId="5C0D9AAE" w14:textId="77777777" w:rsidR="007E17F8" w:rsidRPr="0067390E" w:rsidRDefault="007E17F8" w:rsidP="0067390E">
      <w:pPr>
        <w:pStyle w:val="Lijstalinea"/>
        <w:numPr>
          <w:ilvl w:val="0"/>
          <w:numId w:val="23"/>
        </w:numPr>
        <w:rPr>
          <w:rFonts w:eastAsia="Verdana" w:cstheme="minorHAnsi"/>
          <w:color w:val="2C307E"/>
        </w:rPr>
      </w:pPr>
      <w:r w:rsidRPr="0067390E">
        <w:rPr>
          <w:rFonts w:eastAsia="Verdana" w:cstheme="minorHAnsi"/>
          <w:color w:val="2C307E"/>
        </w:rPr>
        <w:t>Laadsessies spreiden zich meer uit over de dag, de spits wordt gemeden. In vergelijking met voorgaande jaren is er minder geladen in de spitsperiode 16:00-21:00u.</w:t>
      </w:r>
    </w:p>
    <w:p w14:paraId="10F3FC93" w14:textId="77777777" w:rsidR="007E17F8" w:rsidRPr="0067390E" w:rsidRDefault="007E17F8" w:rsidP="0067390E">
      <w:pPr>
        <w:pStyle w:val="Lijstalinea"/>
        <w:numPr>
          <w:ilvl w:val="0"/>
          <w:numId w:val="23"/>
        </w:numPr>
        <w:rPr>
          <w:rFonts w:eastAsia="Verdana" w:cstheme="minorHAnsi"/>
          <w:color w:val="2C307E"/>
        </w:rPr>
      </w:pPr>
      <w:r w:rsidRPr="0067390E">
        <w:rPr>
          <w:rFonts w:eastAsia="Verdana" w:cstheme="minorHAnsi"/>
          <w:color w:val="2C307E"/>
        </w:rPr>
        <w:t>De acceptatie van het eventueel uitschakelen van openbare laadpalen in de avond (16:00-21:00u) is iets gestegen. 30% geeft dit jaar aan dit heel vervelend/problematisch te vinden. Vorig jaar was dat 43%.</w:t>
      </w:r>
    </w:p>
    <w:p w14:paraId="7B2D5470" w14:textId="77777777" w:rsidR="007E17F8" w:rsidRPr="0067390E" w:rsidRDefault="007E17F8" w:rsidP="0067390E">
      <w:pPr>
        <w:pStyle w:val="Lijstalinea"/>
        <w:numPr>
          <w:ilvl w:val="0"/>
          <w:numId w:val="23"/>
        </w:numPr>
        <w:rPr>
          <w:rFonts w:eastAsia="Verdana" w:cstheme="minorHAnsi"/>
          <w:color w:val="2C307E"/>
        </w:rPr>
      </w:pPr>
      <w:r w:rsidRPr="0067390E">
        <w:rPr>
          <w:rFonts w:eastAsia="Verdana" w:cstheme="minorHAnsi"/>
          <w:color w:val="2C307E"/>
        </w:rPr>
        <w:t xml:space="preserve">Alle laadinfrastructuur in Nederland scoort een ruime voldoende of hoger. Het thuislaadpunt wordt net zoals vorige edities het best beoordeeld, met een 9,2. </w:t>
      </w:r>
    </w:p>
    <w:p w14:paraId="6756EB76" w14:textId="77777777" w:rsidR="00D161C4" w:rsidRPr="0089494B" w:rsidRDefault="00D161C4">
      <w:pPr>
        <w:rPr>
          <w:rFonts w:cstheme="minorHAnsi"/>
          <w:b/>
          <w:bCs/>
          <w:color w:val="2C307E"/>
        </w:rPr>
      </w:pPr>
      <w:r>
        <w:rPr>
          <w:rFonts w:cstheme="minorHAnsi"/>
          <w:b/>
          <w:bCs/>
        </w:rPr>
        <w:br w:type="page"/>
      </w:r>
    </w:p>
    <w:p w14:paraId="6ACDEFF0" w14:textId="62B8D1D6" w:rsidR="0067390E" w:rsidRPr="00252A32" w:rsidRDefault="0067390E" w:rsidP="0067390E">
      <w:pPr>
        <w:pStyle w:val="ROstandaard"/>
        <w:rPr>
          <w:rFonts w:eastAsia="Verdana" w:cstheme="minorHAnsi"/>
          <w:b/>
        </w:rPr>
      </w:pPr>
      <w:r>
        <w:rPr>
          <w:rFonts w:asciiTheme="minorHAnsi" w:hAnsiTheme="minorHAnsi" w:cstheme="minorHAnsi"/>
          <w:b/>
          <w:bCs/>
          <w:sz w:val="22"/>
          <w:szCs w:val="22"/>
        </w:rPr>
        <w:lastRenderedPageBreak/>
        <w:t>Laadmix</w:t>
      </w:r>
    </w:p>
    <w:p w14:paraId="385D2ED2" w14:textId="41EBF765" w:rsidR="007E17F8" w:rsidRPr="0067390E" w:rsidRDefault="007E17F8" w:rsidP="0067390E">
      <w:pPr>
        <w:pStyle w:val="Lijstalinea"/>
        <w:numPr>
          <w:ilvl w:val="0"/>
          <w:numId w:val="25"/>
        </w:numPr>
        <w:jc w:val="both"/>
        <w:rPr>
          <w:rFonts w:eastAsia="Verdana" w:cstheme="minorHAnsi"/>
          <w:color w:val="2C307E"/>
        </w:rPr>
      </w:pPr>
      <w:r w:rsidRPr="0067390E">
        <w:rPr>
          <w:rFonts w:eastAsia="Verdana" w:cstheme="minorHAnsi"/>
          <w:color w:val="2C307E"/>
        </w:rPr>
        <w:t xml:space="preserve">Het grootste deel van de kilometers wordt nog steeds thuis geladen (61%). Dit is vergelijkbaar met het Laadonderzoek 2024 (58%). </w:t>
      </w:r>
    </w:p>
    <w:p w14:paraId="69D9FA90" w14:textId="77777777" w:rsidR="007E17F8" w:rsidRPr="0067390E" w:rsidRDefault="007E17F8" w:rsidP="00A525BA">
      <w:pPr>
        <w:pStyle w:val="Lijstalinea"/>
        <w:numPr>
          <w:ilvl w:val="0"/>
          <w:numId w:val="6"/>
        </w:numPr>
        <w:jc w:val="both"/>
        <w:rPr>
          <w:rFonts w:eastAsia="Verdana" w:cstheme="minorHAnsi"/>
          <w:color w:val="2C307E"/>
        </w:rPr>
      </w:pPr>
      <w:r w:rsidRPr="0067390E">
        <w:rPr>
          <w:rFonts w:eastAsia="Verdana" w:cstheme="minorHAnsi"/>
          <w:color w:val="2C307E"/>
        </w:rPr>
        <w:t>EV-rijders met de mogelijkheid om thuis te laden, laden 81% van hun kilometers thuis, 5% aan de openbare laadpaal, 6% op werk en 7% aan de snellader.</w:t>
      </w:r>
    </w:p>
    <w:p w14:paraId="6A6E6311" w14:textId="77777777" w:rsidR="007E17F8" w:rsidRPr="0083591F" w:rsidRDefault="007E17F8" w:rsidP="00A525BA">
      <w:pPr>
        <w:pStyle w:val="Lijstalinea"/>
        <w:numPr>
          <w:ilvl w:val="0"/>
          <w:numId w:val="6"/>
        </w:numPr>
        <w:jc w:val="both"/>
        <w:rPr>
          <w:rFonts w:eastAsia="Verdana" w:cstheme="minorHAnsi"/>
          <w:color w:val="2C307E"/>
        </w:rPr>
      </w:pPr>
      <w:r w:rsidRPr="0083591F">
        <w:rPr>
          <w:rFonts w:eastAsia="Verdana" w:cstheme="minorHAnsi"/>
          <w:color w:val="2C307E"/>
        </w:rPr>
        <w:t>EV-rijders zonder mogelijkheid thuis te laden, laden 63% aan de openbare lader, 22% op werk en 15% aan de snellader</w:t>
      </w:r>
    </w:p>
    <w:p w14:paraId="27DB6D93" w14:textId="4D3DAC07" w:rsidR="007E17F8" w:rsidRPr="0083591F" w:rsidRDefault="007E17F8" w:rsidP="00A525BA">
      <w:pPr>
        <w:pStyle w:val="Lijstalinea"/>
        <w:numPr>
          <w:ilvl w:val="0"/>
          <w:numId w:val="6"/>
        </w:numPr>
        <w:jc w:val="both"/>
        <w:rPr>
          <w:rFonts w:eastAsia="Verdana" w:cstheme="minorHAnsi"/>
          <w:color w:val="2C307E"/>
        </w:rPr>
      </w:pPr>
      <w:r w:rsidRPr="0083591F">
        <w:rPr>
          <w:rFonts w:eastAsia="Verdana" w:cstheme="minorHAnsi"/>
          <w:color w:val="2C307E"/>
        </w:rPr>
        <w:t>De zakelijke leaserijder laadt minder vaak thuis (44%), vaker openbaar (25%) en vaker op het werk (21%), aan de snellader wordt 10% van de kilometers geladen</w:t>
      </w:r>
      <w:r w:rsidR="00665CD6">
        <w:rPr>
          <w:rFonts w:eastAsia="Verdana" w:cstheme="minorHAnsi"/>
          <w:color w:val="2C307E"/>
        </w:rPr>
        <w:t>.</w:t>
      </w:r>
    </w:p>
    <w:p w14:paraId="2807778C" w14:textId="77777777" w:rsidR="007E17F8" w:rsidRPr="0083591F" w:rsidRDefault="007E17F8" w:rsidP="00A525BA">
      <w:pPr>
        <w:pStyle w:val="Lijstalinea"/>
        <w:numPr>
          <w:ilvl w:val="0"/>
          <w:numId w:val="6"/>
        </w:numPr>
        <w:jc w:val="both"/>
        <w:rPr>
          <w:rFonts w:eastAsia="Verdana" w:cstheme="minorHAnsi"/>
          <w:color w:val="2C307E"/>
        </w:rPr>
      </w:pPr>
      <w:r w:rsidRPr="0083591F">
        <w:rPr>
          <w:rFonts w:eastAsia="Verdana" w:cstheme="minorHAnsi"/>
          <w:color w:val="2C307E"/>
        </w:rPr>
        <w:t>De EV-rijder die de auto privé heeft gekocht laadt vaker thuis (69%), minder vaak publiek (17%), minder op het werk (6%) en laad 8% van de kilometers aan de snellader.</w:t>
      </w:r>
    </w:p>
    <w:p w14:paraId="7672524B" w14:textId="6A9EE26C" w:rsidR="0067390E" w:rsidRPr="0083591F" w:rsidRDefault="0067390E" w:rsidP="0067390E">
      <w:pPr>
        <w:pStyle w:val="ROstandaard"/>
        <w:rPr>
          <w:rFonts w:asciiTheme="minorHAnsi" w:hAnsiTheme="minorHAnsi" w:cstheme="minorHAnsi"/>
          <w:b/>
          <w:bCs/>
          <w:sz w:val="22"/>
          <w:szCs w:val="22"/>
          <w:lang w:val="nl-NL"/>
        </w:rPr>
      </w:pPr>
      <w:r w:rsidRPr="0083591F">
        <w:rPr>
          <w:rFonts w:asciiTheme="minorHAnsi" w:hAnsiTheme="minorHAnsi" w:cstheme="minorHAnsi"/>
          <w:b/>
          <w:bCs/>
          <w:sz w:val="22"/>
          <w:szCs w:val="22"/>
          <w:lang w:val="nl-NL"/>
        </w:rPr>
        <w:t>Laden in het buitenland</w:t>
      </w:r>
    </w:p>
    <w:p w14:paraId="314E697E" w14:textId="5655BC63" w:rsidR="007E17F8" w:rsidRPr="0083591F" w:rsidRDefault="0067390E" w:rsidP="0067390E">
      <w:pPr>
        <w:pStyle w:val="Lijstalinea"/>
        <w:numPr>
          <w:ilvl w:val="0"/>
          <w:numId w:val="7"/>
        </w:numPr>
        <w:jc w:val="both"/>
        <w:rPr>
          <w:rFonts w:eastAsia="Verdana" w:cstheme="minorHAnsi"/>
          <w:color w:val="2C307E"/>
        </w:rPr>
      </w:pPr>
      <w:r w:rsidRPr="0083591F">
        <w:rPr>
          <w:rFonts w:eastAsia="Verdana" w:cstheme="minorHAnsi"/>
          <w:color w:val="2C307E"/>
        </w:rPr>
        <w:t>7</w:t>
      </w:r>
      <w:r w:rsidR="007E17F8" w:rsidRPr="0083591F">
        <w:rPr>
          <w:rFonts w:eastAsia="Verdana" w:cstheme="minorHAnsi"/>
          <w:color w:val="2C307E"/>
        </w:rPr>
        <w:t>8% gaat weleens naar het buitenland met de EV, dat is bijna 10% meer dan in het Laadonderzoek 2024.</w:t>
      </w:r>
    </w:p>
    <w:p w14:paraId="2831C783" w14:textId="77777777" w:rsidR="007E17F8" w:rsidRPr="0083591F" w:rsidRDefault="007E17F8" w:rsidP="00A525BA">
      <w:pPr>
        <w:pStyle w:val="Lijstalinea"/>
        <w:numPr>
          <w:ilvl w:val="0"/>
          <w:numId w:val="7"/>
        </w:numPr>
        <w:jc w:val="both"/>
        <w:rPr>
          <w:rFonts w:eastAsia="Verdana" w:cstheme="minorHAnsi"/>
          <w:color w:val="2C307E"/>
        </w:rPr>
      </w:pPr>
      <w:r w:rsidRPr="0083591F">
        <w:rPr>
          <w:rFonts w:eastAsia="Verdana" w:cstheme="minorHAnsi"/>
          <w:color w:val="2C307E"/>
        </w:rPr>
        <w:t>Het overgrote deel (69%) rijdt meer dan 500 km, wat neerkomt op meer dan twee keer bijladen onderweg.</w:t>
      </w:r>
    </w:p>
    <w:p w14:paraId="18BFC409" w14:textId="77777777" w:rsidR="007E17F8" w:rsidRPr="0083591F" w:rsidRDefault="007E17F8" w:rsidP="00A525BA">
      <w:pPr>
        <w:pStyle w:val="Lijstalinea"/>
        <w:numPr>
          <w:ilvl w:val="0"/>
          <w:numId w:val="7"/>
        </w:numPr>
        <w:jc w:val="both"/>
        <w:rPr>
          <w:rFonts w:eastAsia="Verdana" w:cstheme="minorHAnsi"/>
          <w:color w:val="2C307E"/>
        </w:rPr>
      </w:pPr>
      <w:r w:rsidRPr="0083591F">
        <w:rPr>
          <w:rFonts w:eastAsia="Verdana" w:cstheme="minorHAnsi"/>
          <w:color w:val="2C307E"/>
        </w:rPr>
        <w:t>40% ervaart weleens knelpunten bij laden in het buitenland, dat is gelijk aan het Laadonderzoek 2024.</w:t>
      </w:r>
    </w:p>
    <w:p w14:paraId="0FD03FC6" w14:textId="77777777" w:rsidR="007E17F8" w:rsidRPr="0083591F" w:rsidRDefault="007E17F8" w:rsidP="00A525BA">
      <w:pPr>
        <w:pStyle w:val="Lijstalinea"/>
        <w:numPr>
          <w:ilvl w:val="0"/>
          <w:numId w:val="7"/>
        </w:numPr>
        <w:jc w:val="both"/>
        <w:rPr>
          <w:rFonts w:eastAsia="Verdana" w:cstheme="minorHAnsi"/>
          <w:color w:val="2C307E"/>
        </w:rPr>
      </w:pPr>
      <w:r w:rsidRPr="0083591F">
        <w:rPr>
          <w:rFonts w:eastAsia="Verdana" w:cstheme="minorHAnsi"/>
          <w:color w:val="2C307E"/>
        </w:rPr>
        <w:t>Het meest voorkomende knelpunt is een defecte laadpaal, 24% maakt dit weleens mee.</w:t>
      </w:r>
    </w:p>
    <w:p w14:paraId="7B7C4DF4" w14:textId="3976595D" w:rsidR="0067390E" w:rsidRPr="0083591F" w:rsidRDefault="0067390E" w:rsidP="0067390E">
      <w:pPr>
        <w:pStyle w:val="ROstandaard"/>
        <w:rPr>
          <w:rFonts w:asciiTheme="minorHAnsi" w:eastAsia="Verdana" w:hAnsiTheme="minorHAnsi" w:cstheme="minorHAnsi"/>
          <w:b/>
          <w:sz w:val="22"/>
          <w:szCs w:val="22"/>
        </w:rPr>
      </w:pPr>
      <w:r w:rsidRPr="0083591F">
        <w:rPr>
          <w:rFonts w:asciiTheme="minorHAnsi" w:hAnsiTheme="minorHAnsi" w:cstheme="minorHAnsi"/>
          <w:b/>
          <w:bCs/>
          <w:sz w:val="22"/>
          <w:szCs w:val="22"/>
          <w:lang w:val="nl-NL"/>
        </w:rPr>
        <w:t>Rijden met een aanhanger</w:t>
      </w:r>
    </w:p>
    <w:p w14:paraId="70120542" w14:textId="27702CA5" w:rsidR="007E17F8" w:rsidRPr="0083591F" w:rsidRDefault="007E17F8" w:rsidP="0067390E">
      <w:pPr>
        <w:pStyle w:val="Lijstalinea"/>
        <w:numPr>
          <w:ilvl w:val="0"/>
          <w:numId w:val="7"/>
        </w:numPr>
        <w:jc w:val="both"/>
        <w:rPr>
          <w:rFonts w:eastAsia="Verdana" w:cstheme="minorHAnsi"/>
          <w:color w:val="2C307E"/>
        </w:rPr>
      </w:pPr>
      <w:r w:rsidRPr="0083591F">
        <w:rPr>
          <w:rFonts w:eastAsia="Verdana" w:cstheme="minorHAnsi"/>
          <w:color w:val="2C307E"/>
        </w:rPr>
        <w:t>40% van de EV-rijders rijdt weleens met een aanhanger, fietsdrager, of iets dergelijks achter de auto. Vaak is dat een fietsendrager. 20% rijdt weleens met een aanhanger of caravan.</w:t>
      </w:r>
    </w:p>
    <w:p w14:paraId="0228DFD7" w14:textId="29493DB5" w:rsidR="0067390E" w:rsidRPr="0083591F" w:rsidRDefault="0067390E" w:rsidP="0067390E">
      <w:pPr>
        <w:pStyle w:val="ROstandaard"/>
        <w:rPr>
          <w:rFonts w:asciiTheme="minorHAnsi" w:hAnsiTheme="minorHAnsi" w:cstheme="minorHAnsi"/>
          <w:b/>
          <w:sz w:val="22"/>
          <w:szCs w:val="22"/>
        </w:rPr>
      </w:pPr>
      <w:r w:rsidRPr="0083591F">
        <w:rPr>
          <w:rFonts w:asciiTheme="minorHAnsi" w:hAnsiTheme="minorHAnsi" w:cstheme="minorHAnsi"/>
          <w:b/>
          <w:bCs/>
          <w:sz w:val="22"/>
          <w:szCs w:val="22"/>
          <w:lang w:val="nl-NL"/>
        </w:rPr>
        <w:t>Betaalmethodes</w:t>
      </w:r>
    </w:p>
    <w:p w14:paraId="5C9B13E8" w14:textId="751FE669" w:rsidR="007E17F8" w:rsidRPr="0083591F" w:rsidRDefault="0067390E" w:rsidP="0067390E">
      <w:pPr>
        <w:pStyle w:val="Lijstalinea"/>
        <w:numPr>
          <w:ilvl w:val="0"/>
          <w:numId w:val="8"/>
        </w:numPr>
        <w:jc w:val="both"/>
        <w:rPr>
          <w:rFonts w:eastAsia="Verdana" w:cstheme="minorHAnsi"/>
          <w:color w:val="2C307E"/>
        </w:rPr>
      </w:pPr>
      <w:r w:rsidRPr="0083591F">
        <w:rPr>
          <w:rFonts w:eastAsia="Verdana" w:cstheme="minorHAnsi"/>
          <w:color w:val="2C307E"/>
        </w:rPr>
        <w:t xml:space="preserve">De </w:t>
      </w:r>
      <w:r w:rsidR="007E17F8" w:rsidRPr="0083591F">
        <w:rPr>
          <w:rFonts w:eastAsia="Verdana" w:cstheme="minorHAnsi"/>
          <w:color w:val="2C307E"/>
        </w:rPr>
        <w:t>EV-rijders zijn snel bereid over te stappen van laadpasaanbieder.</w:t>
      </w:r>
    </w:p>
    <w:p w14:paraId="4457A3FE" w14:textId="77777777" w:rsidR="007E17F8" w:rsidRPr="0083591F" w:rsidRDefault="007E17F8" w:rsidP="00A525BA">
      <w:pPr>
        <w:pStyle w:val="Lijstalinea"/>
        <w:numPr>
          <w:ilvl w:val="0"/>
          <w:numId w:val="8"/>
        </w:numPr>
        <w:jc w:val="both"/>
        <w:rPr>
          <w:rFonts w:eastAsia="Verdana" w:cstheme="minorHAnsi"/>
          <w:color w:val="2C307E"/>
        </w:rPr>
      </w:pPr>
      <w:r w:rsidRPr="0083591F">
        <w:rPr>
          <w:rFonts w:eastAsia="Verdana" w:cstheme="minorHAnsi"/>
          <w:color w:val="2C307E"/>
        </w:rPr>
        <w:t xml:space="preserve">Een verschil van 10% lagere tarieven is voor bijna de helft van de respondenten (46%) </w:t>
      </w:r>
      <w:r w:rsidRPr="0083591F">
        <w:rPr>
          <w:rFonts w:eastAsia="Verdana" w:cstheme="minorHAnsi"/>
          <w:color w:val="2C307E"/>
        </w:rPr>
        <w:t>al voldoende reden om een andere laadpas te gebruiken.</w:t>
      </w:r>
    </w:p>
    <w:p w14:paraId="713B12A6" w14:textId="77777777" w:rsidR="007E17F8" w:rsidRPr="0083591F" w:rsidRDefault="007E17F8" w:rsidP="00A525BA">
      <w:pPr>
        <w:pStyle w:val="Lijstalinea"/>
        <w:numPr>
          <w:ilvl w:val="0"/>
          <w:numId w:val="8"/>
        </w:numPr>
        <w:jc w:val="both"/>
        <w:rPr>
          <w:rFonts w:eastAsia="Verdana" w:cstheme="minorHAnsi"/>
          <w:color w:val="2C307E"/>
        </w:rPr>
      </w:pPr>
      <w:r w:rsidRPr="0083591F">
        <w:rPr>
          <w:rFonts w:eastAsia="Verdana" w:cstheme="minorHAnsi"/>
          <w:color w:val="2C307E"/>
        </w:rPr>
        <w:t>Van deze groep die aangeeft bereid te zijn over te stappen, heeft 59% dat ook daadwerkelijk wel eens gedaan.</w:t>
      </w:r>
    </w:p>
    <w:p w14:paraId="1F45AE8B" w14:textId="2A6A4DBF" w:rsidR="0067390E" w:rsidRPr="00E33A2E" w:rsidRDefault="0067390E" w:rsidP="0067390E">
      <w:pPr>
        <w:pStyle w:val="ROstandaard"/>
        <w:rPr>
          <w:rFonts w:asciiTheme="minorHAnsi" w:hAnsiTheme="minorHAnsi" w:cstheme="minorHAnsi"/>
          <w:b/>
          <w:sz w:val="22"/>
          <w:szCs w:val="22"/>
          <w:lang w:val="nl-NL"/>
        </w:rPr>
      </w:pPr>
      <w:r w:rsidRPr="0083591F">
        <w:rPr>
          <w:rFonts w:asciiTheme="minorHAnsi" w:hAnsiTheme="minorHAnsi" w:cstheme="minorHAnsi"/>
          <w:b/>
          <w:bCs/>
          <w:sz w:val="22"/>
          <w:szCs w:val="22"/>
          <w:lang w:val="nl-NL"/>
        </w:rPr>
        <w:t>Ad hoc laden</w:t>
      </w:r>
      <w:r w:rsidRPr="00E33A2E">
        <w:rPr>
          <w:rFonts w:asciiTheme="minorHAnsi" w:hAnsiTheme="minorHAnsi" w:cstheme="minorHAnsi"/>
          <w:b/>
          <w:sz w:val="22"/>
          <w:szCs w:val="22"/>
          <w:lang w:val="nl-NL"/>
        </w:rPr>
        <w:t xml:space="preserve"> (het direct afrekenen voor een laadsessie)</w:t>
      </w:r>
    </w:p>
    <w:p w14:paraId="0E14BAE0" w14:textId="6CFECDB3" w:rsidR="005E6959" w:rsidRPr="0083591F" w:rsidRDefault="007E17F8" w:rsidP="0067390E">
      <w:pPr>
        <w:pStyle w:val="Lijstalinea"/>
        <w:numPr>
          <w:ilvl w:val="0"/>
          <w:numId w:val="20"/>
        </w:numPr>
        <w:jc w:val="both"/>
        <w:rPr>
          <w:rFonts w:eastAsia="Verdana" w:cstheme="minorHAnsi"/>
          <w:color w:val="2C307E"/>
        </w:rPr>
      </w:pPr>
      <w:r w:rsidRPr="0083591F">
        <w:rPr>
          <w:rFonts w:eastAsia="Verdana" w:cstheme="minorHAnsi"/>
          <w:color w:val="2C307E"/>
        </w:rPr>
        <w:t xml:space="preserve">Ad hoc laden is bij ongeveer de helft van de EV-rijders een bekend principe, maar slechts 26% heeft dit zelf wel eens gedaan. </w:t>
      </w:r>
    </w:p>
    <w:p w14:paraId="129EAC67" w14:textId="77777777" w:rsidR="005E6959" w:rsidRPr="0083591F" w:rsidRDefault="007E17F8" w:rsidP="00A525BA">
      <w:pPr>
        <w:pStyle w:val="Lijstalinea"/>
        <w:numPr>
          <w:ilvl w:val="0"/>
          <w:numId w:val="20"/>
        </w:numPr>
        <w:jc w:val="both"/>
        <w:rPr>
          <w:rFonts w:eastAsia="Verdana" w:cstheme="minorHAnsi"/>
          <w:color w:val="2C307E"/>
        </w:rPr>
      </w:pPr>
      <w:r w:rsidRPr="0083591F">
        <w:rPr>
          <w:rFonts w:eastAsia="Verdana" w:cstheme="minorHAnsi"/>
          <w:color w:val="2C307E"/>
        </w:rPr>
        <w:t xml:space="preserve">43% van de EV-rijders die praktijkervaring heeft met ad hoc laden geeft aan vaker gebruik te willen maken van ad hoc laden. </w:t>
      </w:r>
    </w:p>
    <w:p w14:paraId="3A045D77" w14:textId="77777777" w:rsidR="005E6959" w:rsidRPr="0083591F" w:rsidRDefault="007E17F8" w:rsidP="00A525BA">
      <w:pPr>
        <w:pStyle w:val="Lijstalinea"/>
        <w:numPr>
          <w:ilvl w:val="0"/>
          <w:numId w:val="20"/>
        </w:numPr>
        <w:jc w:val="both"/>
        <w:rPr>
          <w:rFonts w:eastAsia="Verdana" w:cstheme="minorHAnsi"/>
          <w:color w:val="2C307E"/>
        </w:rPr>
      </w:pPr>
      <w:r w:rsidRPr="0083591F">
        <w:rPr>
          <w:rFonts w:eastAsia="Verdana" w:cstheme="minorHAnsi"/>
          <w:color w:val="2C307E"/>
        </w:rPr>
        <w:t xml:space="preserve">33% van de EV-rijders die nog nooit ad hoc heeft geladen geeft aan dit wel eens te willen gebruiken. Contactloos betalen (met pinpas of telefoon) heeft hierbij de voorkeur, maar de methode die momenteel het meest gebruikt wordt is via een QR-code. </w:t>
      </w:r>
    </w:p>
    <w:p w14:paraId="6DC6E465" w14:textId="133381B9" w:rsidR="007E17F8" w:rsidRPr="0083591F" w:rsidRDefault="007E17F8" w:rsidP="00A525BA">
      <w:pPr>
        <w:pStyle w:val="Lijstalinea"/>
        <w:numPr>
          <w:ilvl w:val="0"/>
          <w:numId w:val="20"/>
        </w:numPr>
        <w:jc w:val="both"/>
        <w:rPr>
          <w:rFonts w:eastAsia="Verdana" w:cstheme="minorHAnsi"/>
          <w:color w:val="2C307E"/>
        </w:rPr>
      </w:pPr>
      <w:r w:rsidRPr="0083591F">
        <w:rPr>
          <w:rFonts w:eastAsia="Verdana" w:cstheme="minorHAnsi"/>
          <w:color w:val="2C307E"/>
        </w:rPr>
        <w:t>Een lager tarief en duidelijkheid over de prijs motiveren EV-rijders om (vaker) ad hoc te laden.</w:t>
      </w:r>
    </w:p>
    <w:p w14:paraId="0CE0F2FE" w14:textId="6B72281B" w:rsidR="0067390E" w:rsidRPr="0083591F" w:rsidRDefault="0067390E" w:rsidP="0067390E">
      <w:pPr>
        <w:pStyle w:val="ROstandaard"/>
        <w:rPr>
          <w:rFonts w:asciiTheme="minorHAnsi" w:hAnsiTheme="minorHAnsi" w:cstheme="minorHAnsi"/>
          <w:b/>
          <w:sz w:val="22"/>
          <w:szCs w:val="22"/>
        </w:rPr>
      </w:pPr>
      <w:r w:rsidRPr="0083591F">
        <w:rPr>
          <w:rFonts w:asciiTheme="minorHAnsi" w:hAnsiTheme="minorHAnsi" w:cstheme="minorHAnsi"/>
          <w:b/>
          <w:bCs/>
          <w:sz w:val="22"/>
          <w:szCs w:val="22"/>
          <w:lang w:val="nl-NL"/>
        </w:rPr>
        <w:t>Prijstransparantie</w:t>
      </w:r>
    </w:p>
    <w:p w14:paraId="7A0D712C" w14:textId="0B4CF22B" w:rsidR="005E6959" w:rsidRPr="0083591F" w:rsidRDefault="007E17F8" w:rsidP="0067390E">
      <w:pPr>
        <w:pStyle w:val="Lijstalinea"/>
        <w:numPr>
          <w:ilvl w:val="0"/>
          <w:numId w:val="21"/>
        </w:numPr>
        <w:jc w:val="both"/>
        <w:rPr>
          <w:rFonts w:eastAsia="Verdana" w:cstheme="minorHAnsi"/>
          <w:color w:val="2C307E"/>
        </w:rPr>
      </w:pPr>
      <w:r w:rsidRPr="0083591F">
        <w:rPr>
          <w:rFonts w:eastAsia="Verdana" w:cstheme="minorHAnsi"/>
          <w:color w:val="2C307E"/>
        </w:rPr>
        <w:t>Prijstransparantie neemt toe, maar er is nog steeds een grote groep EV-rijders die niet weet wat een laadsessie kost.</w:t>
      </w:r>
    </w:p>
    <w:p w14:paraId="5AB325C2" w14:textId="77777777" w:rsidR="005E6959" w:rsidRPr="0083591F" w:rsidRDefault="007E17F8" w:rsidP="00A525BA">
      <w:pPr>
        <w:pStyle w:val="Lijstalinea"/>
        <w:numPr>
          <w:ilvl w:val="0"/>
          <w:numId w:val="21"/>
        </w:numPr>
        <w:jc w:val="both"/>
        <w:rPr>
          <w:rFonts w:eastAsia="Verdana" w:cstheme="minorHAnsi"/>
          <w:color w:val="2C307E"/>
        </w:rPr>
      </w:pPr>
      <w:r w:rsidRPr="0083591F">
        <w:rPr>
          <w:rFonts w:eastAsia="Verdana" w:cstheme="minorHAnsi"/>
          <w:color w:val="2C307E"/>
        </w:rPr>
        <w:t>28% van de EV-rijders weet meestal niet/nooit wat ze betalen aan de openbare laadpaal in de buurt van de woning. Als de EV-rijder zelf betaalt voor de laadkosten, dan weet maar 10% meestal niet/nooit wat ze betalen aan de openbare laadpaal in de buurt van de woning.</w:t>
      </w:r>
    </w:p>
    <w:p w14:paraId="14197729" w14:textId="40FA3AEB" w:rsidR="007E17F8" w:rsidRPr="0083591F" w:rsidRDefault="007E17F8" w:rsidP="00A525BA">
      <w:pPr>
        <w:pStyle w:val="Lijstalinea"/>
        <w:numPr>
          <w:ilvl w:val="0"/>
          <w:numId w:val="21"/>
        </w:numPr>
        <w:jc w:val="both"/>
        <w:rPr>
          <w:rFonts w:eastAsia="Verdana" w:cstheme="minorHAnsi"/>
          <w:color w:val="2C307E"/>
        </w:rPr>
      </w:pPr>
      <w:r w:rsidRPr="0083591F">
        <w:rPr>
          <w:rFonts w:eastAsia="Verdana" w:cstheme="minorHAnsi"/>
          <w:color w:val="2C307E"/>
        </w:rPr>
        <w:t>79% van de EV-rijders vindt het belangrijk om vooraf inzicht te hebben in het laadtarief van de openbare laadpaal. Als de EV-rijder zelf betaalt voor de laadkosten, dan vindt 89% het belangrijk vooraf inzicht te hebben in het laadtarief.</w:t>
      </w:r>
    </w:p>
    <w:p w14:paraId="1BB1A28E" w14:textId="58725A11" w:rsidR="0067390E" w:rsidRPr="0083591F" w:rsidRDefault="0067390E" w:rsidP="0067390E">
      <w:pPr>
        <w:pStyle w:val="ROstandaard"/>
        <w:rPr>
          <w:rFonts w:asciiTheme="minorHAnsi" w:hAnsiTheme="minorHAnsi" w:cstheme="minorHAnsi"/>
          <w:b/>
          <w:bCs/>
          <w:sz w:val="22"/>
          <w:szCs w:val="22"/>
          <w:lang w:val="nl-NL"/>
        </w:rPr>
      </w:pPr>
      <w:r w:rsidRPr="0083591F">
        <w:rPr>
          <w:rFonts w:asciiTheme="minorHAnsi" w:hAnsiTheme="minorHAnsi" w:cstheme="minorHAnsi"/>
          <w:b/>
          <w:bCs/>
          <w:sz w:val="22"/>
          <w:szCs w:val="22"/>
          <w:lang w:val="nl-NL"/>
        </w:rPr>
        <w:t>Thuis laden</w:t>
      </w:r>
    </w:p>
    <w:p w14:paraId="1E18CFF1" w14:textId="570E9023" w:rsidR="007E17F8" w:rsidRPr="0083591F" w:rsidRDefault="007E17F8" w:rsidP="0067390E">
      <w:pPr>
        <w:pStyle w:val="Lijstalinea"/>
        <w:numPr>
          <w:ilvl w:val="0"/>
          <w:numId w:val="10"/>
        </w:numPr>
        <w:jc w:val="both"/>
        <w:rPr>
          <w:rFonts w:eastAsia="Verdana" w:cstheme="minorHAnsi"/>
          <w:color w:val="2C307E"/>
        </w:rPr>
      </w:pPr>
      <w:r w:rsidRPr="0083591F">
        <w:rPr>
          <w:rFonts w:eastAsia="Verdana" w:cstheme="minorHAnsi"/>
          <w:color w:val="2C307E"/>
        </w:rPr>
        <w:t>6</w:t>
      </w:r>
      <w:r w:rsidR="00665CD6">
        <w:rPr>
          <w:rFonts w:eastAsia="Verdana" w:cstheme="minorHAnsi"/>
          <w:color w:val="2C307E"/>
        </w:rPr>
        <w:t>4</w:t>
      </w:r>
      <w:r w:rsidRPr="0083591F">
        <w:rPr>
          <w:rFonts w:eastAsia="Verdana" w:cstheme="minorHAnsi"/>
          <w:color w:val="2C307E"/>
        </w:rPr>
        <w:t xml:space="preserve">% van de EV-rijders laadt via de eigen stroomaansluiting en parkeert daarbij op eigen terrein, </w:t>
      </w:r>
      <w:r w:rsidR="00665CD6">
        <w:rPr>
          <w:rFonts w:eastAsia="Verdana" w:cstheme="minorHAnsi"/>
          <w:color w:val="2C307E"/>
        </w:rPr>
        <w:t>9</w:t>
      </w:r>
      <w:r w:rsidRPr="0083591F">
        <w:rPr>
          <w:rFonts w:eastAsia="Verdana" w:cstheme="minorHAnsi"/>
          <w:color w:val="2C307E"/>
        </w:rPr>
        <w:t xml:space="preserve">% laadt via de eigen aansluiting en parkeert daarbij in de openbare ruimte (de verlengd private </w:t>
      </w:r>
      <w:r w:rsidRPr="0083591F">
        <w:rPr>
          <w:rFonts w:eastAsia="Verdana" w:cstheme="minorHAnsi"/>
          <w:color w:val="2C307E"/>
        </w:rPr>
        <w:lastRenderedPageBreak/>
        <w:t xml:space="preserve">aansluiting: VPA) en 27% laadt niet via de eigen aansluiting. </w:t>
      </w:r>
    </w:p>
    <w:p w14:paraId="38EE05FA" w14:textId="77777777" w:rsidR="007E17F8" w:rsidRPr="0083591F" w:rsidRDefault="007E17F8" w:rsidP="00A525BA">
      <w:pPr>
        <w:pStyle w:val="Lijstalinea"/>
        <w:numPr>
          <w:ilvl w:val="0"/>
          <w:numId w:val="10"/>
        </w:numPr>
        <w:jc w:val="both"/>
        <w:rPr>
          <w:rFonts w:eastAsia="Verdana" w:cstheme="minorHAnsi"/>
          <w:color w:val="2C307E"/>
        </w:rPr>
      </w:pPr>
      <w:r w:rsidRPr="0083591F">
        <w:rPr>
          <w:rFonts w:eastAsia="Verdana" w:cstheme="minorHAnsi"/>
          <w:color w:val="2C307E"/>
        </w:rPr>
        <w:t>Laden via de eigen stroomaansluiting gebeurt nog regelmatig via het stopcontact (dus zonder laadpaal), 13% van de thuisladers laadt via het stopcontact.</w:t>
      </w:r>
    </w:p>
    <w:p w14:paraId="34C94B18" w14:textId="77777777" w:rsidR="00A525BA" w:rsidRDefault="007E17F8" w:rsidP="00A525BA">
      <w:pPr>
        <w:pStyle w:val="Lijstalinea"/>
        <w:numPr>
          <w:ilvl w:val="0"/>
          <w:numId w:val="10"/>
        </w:numPr>
        <w:jc w:val="both"/>
        <w:rPr>
          <w:rFonts w:eastAsia="Verdana" w:cstheme="minorHAnsi"/>
          <w:color w:val="2C307E"/>
        </w:rPr>
      </w:pPr>
      <w:r w:rsidRPr="0083591F">
        <w:rPr>
          <w:rFonts w:eastAsia="Verdana" w:cstheme="minorHAnsi"/>
          <w:color w:val="2C307E"/>
        </w:rPr>
        <w:t>70% van de thuisladers geeft aan dat het hebben van deze thuislaadmogelijkheid</w:t>
      </w:r>
      <w:r w:rsidRPr="0067390E">
        <w:rPr>
          <w:rFonts w:eastAsia="Verdana" w:cstheme="minorHAnsi"/>
          <w:color w:val="2C307E"/>
        </w:rPr>
        <w:t xml:space="preserve"> een grote rol speelde/van doorslaggevend belang was in hun keuze om elektrisch te gaan rijden.</w:t>
      </w:r>
    </w:p>
    <w:p w14:paraId="154E153B" w14:textId="6F913A4B" w:rsidR="00BE0F6D" w:rsidRPr="00BE0F6D" w:rsidRDefault="00BE0F6D" w:rsidP="00A525BA">
      <w:pPr>
        <w:pStyle w:val="Lijstalinea"/>
        <w:numPr>
          <w:ilvl w:val="0"/>
          <w:numId w:val="10"/>
        </w:numPr>
        <w:jc w:val="both"/>
        <w:rPr>
          <w:rFonts w:eastAsia="Verdana" w:cstheme="minorHAnsi"/>
          <w:bCs/>
          <w:color w:val="2C307E"/>
        </w:rPr>
      </w:pPr>
      <w:r w:rsidRPr="00BE0F6D">
        <w:rPr>
          <w:bCs/>
          <w:color w:val="2C307E"/>
        </w:rPr>
        <w:t>In de meeste gevallen verliep die installatie van een thuislaadpunt snel; bij 80% was de laadpaal binnen een maand geïnstalleerd.</w:t>
      </w:r>
    </w:p>
    <w:p w14:paraId="2F4940E4" w14:textId="1379235C" w:rsidR="0067390E" w:rsidRPr="00E33A2E" w:rsidRDefault="0067390E" w:rsidP="0067390E">
      <w:pPr>
        <w:pStyle w:val="ROstandaard"/>
        <w:rPr>
          <w:rFonts w:cstheme="minorHAnsi"/>
          <w:b/>
          <w:lang w:val="nl-NL"/>
        </w:rPr>
      </w:pPr>
      <w:bookmarkStart w:id="5" w:name="_Hlk207877725"/>
      <w:r w:rsidRPr="0067390E">
        <w:rPr>
          <w:rFonts w:asciiTheme="minorHAnsi" w:hAnsiTheme="minorHAnsi" w:cstheme="minorHAnsi"/>
          <w:b/>
          <w:bCs/>
          <w:sz w:val="22"/>
          <w:szCs w:val="22"/>
          <w:lang w:val="nl-NL"/>
        </w:rPr>
        <w:t>Laden via eigen aansluiting, zonder parkeergelegenheid op eigen terrein</w:t>
      </w:r>
    </w:p>
    <w:p w14:paraId="617DED02" w14:textId="57F9EB04" w:rsidR="007E17F8" w:rsidRPr="0067390E" w:rsidRDefault="007E17F8" w:rsidP="0067390E">
      <w:pPr>
        <w:pStyle w:val="Lijstalinea"/>
        <w:numPr>
          <w:ilvl w:val="0"/>
          <w:numId w:val="10"/>
        </w:numPr>
        <w:jc w:val="both"/>
        <w:rPr>
          <w:rFonts w:eastAsia="Verdana" w:cstheme="minorHAnsi"/>
          <w:color w:val="2C307E"/>
        </w:rPr>
      </w:pPr>
      <w:r w:rsidRPr="0067390E">
        <w:rPr>
          <w:rFonts w:eastAsia="Verdana" w:cstheme="minorHAnsi"/>
          <w:color w:val="2C307E"/>
        </w:rPr>
        <w:t>Een groot aandeel (33%) van de EV-rijders zonder parkeergelegenheid op eigen terrein laadt toch via de eigen aansluiting en parkeert in de openbare ruimte. Deze groep thuisladers vormt 12% van de totale groep thuisladers.</w:t>
      </w:r>
    </w:p>
    <w:p w14:paraId="36FA4902" w14:textId="77777777" w:rsidR="007E17F8" w:rsidRPr="0067390E" w:rsidRDefault="007E17F8" w:rsidP="0067390E">
      <w:pPr>
        <w:pStyle w:val="Lijstalinea"/>
        <w:numPr>
          <w:ilvl w:val="0"/>
          <w:numId w:val="10"/>
        </w:numPr>
        <w:jc w:val="both"/>
        <w:rPr>
          <w:rFonts w:eastAsia="Verdana" w:cstheme="minorHAnsi"/>
          <w:color w:val="2C307E"/>
        </w:rPr>
      </w:pPr>
      <w:r w:rsidRPr="0067390E">
        <w:rPr>
          <w:rFonts w:eastAsia="Verdana" w:cstheme="minorHAnsi"/>
          <w:color w:val="2C307E"/>
        </w:rPr>
        <w:t>Het gebruiken van eigen zonne-energie en de voordelen van een dynamisch energiecontract, in combinatie met het laden van de elektrische auto, lijkt een belangrijke aanleiding te zijn om via de eigen aansluiting in de openbare ruimte te laden.</w:t>
      </w:r>
    </w:p>
    <w:p w14:paraId="3ACF9F0E" w14:textId="30C32C20" w:rsidR="007E17F8" w:rsidRPr="0067390E" w:rsidRDefault="007E17F8" w:rsidP="0067390E">
      <w:pPr>
        <w:pStyle w:val="Lijstalinea"/>
        <w:numPr>
          <w:ilvl w:val="0"/>
          <w:numId w:val="10"/>
        </w:numPr>
        <w:jc w:val="both"/>
        <w:rPr>
          <w:rFonts w:eastAsia="Verdana" w:cstheme="minorHAnsi"/>
          <w:color w:val="2C307E"/>
        </w:rPr>
      </w:pPr>
      <w:r w:rsidRPr="0067390E">
        <w:rPr>
          <w:rFonts w:eastAsia="Verdana" w:cstheme="minorHAnsi"/>
          <w:color w:val="2C307E"/>
        </w:rPr>
        <w:t xml:space="preserve">De EV-rijder die via de eigen aansluiting laadt en in de openbare ruimte parkeert </w:t>
      </w:r>
      <w:r w:rsidR="00665CD6">
        <w:rPr>
          <w:rFonts w:eastAsia="Verdana" w:cstheme="minorHAnsi"/>
          <w:color w:val="2C307E"/>
        </w:rPr>
        <w:t>maakt vaak gebruik van</w:t>
      </w:r>
      <w:r w:rsidRPr="0067390E">
        <w:rPr>
          <w:rFonts w:eastAsia="Verdana" w:cstheme="minorHAnsi"/>
          <w:color w:val="2C307E"/>
        </w:rPr>
        <w:t xml:space="preserve"> dynamisch</w:t>
      </w:r>
      <w:r w:rsidR="00665CD6">
        <w:rPr>
          <w:rFonts w:eastAsia="Verdana" w:cstheme="minorHAnsi"/>
          <w:color w:val="2C307E"/>
        </w:rPr>
        <w:t>e</w:t>
      </w:r>
      <w:r w:rsidRPr="0067390E">
        <w:rPr>
          <w:rFonts w:eastAsia="Verdana" w:cstheme="minorHAnsi"/>
          <w:color w:val="2C307E"/>
        </w:rPr>
        <w:t xml:space="preserve"> </w:t>
      </w:r>
      <w:r w:rsidR="00665CD6">
        <w:rPr>
          <w:rFonts w:eastAsia="Verdana" w:cstheme="minorHAnsi"/>
          <w:color w:val="2C307E"/>
        </w:rPr>
        <w:t>tarieven</w:t>
      </w:r>
      <w:r w:rsidRPr="0067390E">
        <w:rPr>
          <w:rFonts w:eastAsia="Verdana" w:cstheme="minorHAnsi"/>
          <w:color w:val="2C307E"/>
        </w:rPr>
        <w:t xml:space="preserve"> (4</w:t>
      </w:r>
      <w:r w:rsidR="00665CD6">
        <w:rPr>
          <w:rFonts w:eastAsia="Verdana" w:cstheme="minorHAnsi"/>
          <w:color w:val="2C307E"/>
        </w:rPr>
        <w:t>1</w:t>
      </w:r>
      <w:r w:rsidRPr="0067390E">
        <w:rPr>
          <w:rFonts w:eastAsia="Verdana" w:cstheme="minorHAnsi"/>
          <w:color w:val="2C307E"/>
        </w:rPr>
        <w:t>%).</w:t>
      </w:r>
    </w:p>
    <w:p w14:paraId="4A15A0F2" w14:textId="77777777" w:rsidR="007E17F8" w:rsidRPr="0067390E" w:rsidRDefault="007E17F8" w:rsidP="0067390E">
      <w:pPr>
        <w:pStyle w:val="Lijstalinea"/>
        <w:numPr>
          <w:ilvl w:val="0"/>
          <w:numId w:val="10"/>
        </w:numPr>
        <w:jc w:val="both"/>
        <w:rPr>
          <w:rFonts w:eastAsia="Verdana" w:cstheme="minorHAnsi"/>
          <w:color w:val="2C307E"/>
        </w:rPr>
      </w:pPr>
      <w:r w:rsidRPr="0067390E">
        <w:rPr>
          <w:rFonts w:eastAsia="Verdana" w:cstheme="minorHAnsi"/>
          <w:color w:val="2C307E"/>
        </w:rPr>
        <w:t xml:space="preserve">91% van de VPA-laders heeft zonnepanelen en laadt de auto zoveel mogelijk op, op tijden waarop zonne-energie beschikbaar is. Ter vergelijking: een aanzienlijk kleiner aandeel (46%) van de EV-rijders zonder eigen oprit (dus afhankelijk van openbare laadinfrastructuur), heeft zonnepanelen. </w:t>
      </w:r>
    </w:p>
    <w:bookmarkEnd w:id="5"/>
    <w:p w14:paraId="396C78B8" w14:textId="2575AC78" w:rsidR="0067390E" w:rsidRPr="00524048" w:rsidRDefault="0067390E" w:rsidP="0067390E">
      <w:pPr>
        <w:pStyle w:val="ROstandaard"/>
        <w:rPr>
          <w:rFonts w:cstheme="minorHAnsi"/>
          <w:b/>
        </w:rPr>
      </w:pPr>
      <w:r>
        <w:rPr>
          <w:rFonts w:asciiTheme="minorHAnsi" w:hAnsiTheme="minorHAnsi" w:cstheme="minorHAnsi"/>
          <w:b/>
          <w:bCs/>
          <w:sz w:val="22"/>
          <w:szCs w:val="22"/>
          <w:lang w:val="nl-NL"/>
        </w:rPr>
        <w:t>Laden in een VvE</w:t>
      </w:r>
    </w:p>
    <w:p w14:paraId="47FF8B92" w14:textId="03F83E47" w:rsidR="007E17F8" w:rsidRPr="0067390E" w:rsidRDefault="007E17F8" w:rsidP="0067390E">
      <w:pPr>
        <w:pStyle w:val="Lijstalinea"/>
        <w:numPr>
          <w:ilvl w:val="0"/>
          <w:numId w:val="10"/>
        </w:numPr>
        <w:jc w:val="both"/>
        <w:rPr>
          <w:rFonts w:eastAsia="Verdana" w:cstheme="minorHAnsi"/>
          <w:color w:val="2C307E"/>
        </w:rPr>
      </w:pPr>
      <w:r w:rsidRPr="0067390E">
        <w:rPr>
          <w:rFonts w:eastAsia="Verdana" w:cstheme="minorHAnsi"/>
          <w:color w:val="2C307E"/>
        </w:rPr>
        <w:t xml:space="preserve">67% van EV-rijders met een gezamenlijke parkeergelegenheid (VvE of vergelijkbaar collectief) kan niet thuis laden. 19% van deze groep laadt via een eigen aansluiting op de gezamenlijke parkeergelegenheid, </w:t>
      </w:r>
      <w:r w:rsidRPr="0067390E">
        <w:rPr>
          <w:rFonts w:eastAsia="Verdana" w:cstheme="minorHAnsi"/>
          <w:color w:val="2C307E"/>
        </w:rPr>
        <w:t xml:space="preserve">12% laadt via de aansluiting van de VvE en 2% geeft aan anders ‘thuis’ te laden. </w:t>
      </w:r>
    </w:p>
    <w:p w14:paraId="319A3875" w14:textId="77777777" w:rsidR="007E17F8" w:rsidRPr="0067390E" w:rsidRDefault="007E17F8" w:rsidP="0067390E">
      <w:pPr>
        <w:pStyle w:val="Lijstalinea"/>
        <w:numPr>
          <w:ilvl w:val="0"/>
          <w:numId w:val="10"/>
        </w:numPr>
        <w:jc w:val="both"/>
        <w:rPr>
          <w:rFonts w:eastAsia="Verdana" w:cstheme="minorHAnsi"/>
          <w:color w:val="2C307E"/>
        </w:rPr>
      </w:pPr>
      <w:r w:rsidRPr="0067390E">
        <w:rPr>
          <w:rFonts w:eastAsia="Verdana" w:cstheme="minorHAnsi"/>
          <w:color w:val="2C307E"/>
        </w:rPr>
        <w:t>44% van de kilometers van de elektrische rijder met een gezamenlijke parkeergelegenheid wordt openbaar geladen. 26% van de kilometers wordt op de eigen aansluiting geladen, 13% op het werk en 17% bij de snellader.</w:t>
      </w:r>
      <w:bookmarkStart w:id="6" w:name="_Hlk207879272"/>
    </w:p>
    <w:p w14:paraId="0474A0DF" w14:textId="77777777" w:rsidR="007E17F8" w:rsidRPr="0067390E" w:rsidRDefault="007E17F8" w:rsidP="0067390E">
      <w:pPr>
        <w:pStyle w:val="Lijstalinea"/>
        <w:numPr>
          <w:ilvl w:val="0"/>
          <w:numId w:val="10"/>
        </w:numPr>
        <w:jc w:val="both"/>
        <w:rPr>
          <w:rFonts w:eastAsia="Verdana" w:cstheme="minorHAnsi"/>
          <w:color w:val="2C307E"/>
        </w:rPr>
      </w:pPr>
      <w:r w:rsidRPr="0067390E">
        <w:rPr>
          <w:rFonts w:eastAsia="Verdana" w:cstheme="minorHAnsi"/>
          <w:color w:val="2C307E"/>
        </w:rPr>
        <w:t>78% ervaart knelpunten of heeft knelpunten ervaren bij het aanvragen van een laadpunt in een VvE (of vergelijkbaar collectief).</w:t>
      </w:r>
      <w:bookmarkEnd w:id="6"/>
    </w:p>
    <w:p w14:paraId="7180C4CB" w14:textId="77777777" w:rsidR="00A525BA" w:rsidRPr="0067390E" w:rsidRDefault="007E17F8" w:rsidP="0067390E">
      <w:pPr>
        <w:pStyle w:val="Lijstalinea"/>
        <w:numPr>
          <w:ilvl w:val="0"/>
          <w:numId w:val="10"/>
        </w:numPr>
        <w:jc w:val="both"/>
        <w:rPr>
          <w:rFonts w:eastAsia="Verdana" w:cstheme="minorHAnsi"/>
          <w:color w:val="2C307E"/>
        </w:rPr>
      </w:pPr>
      <w:r w:rsidRPr="0067390E">
        <w:rPr>
          <w:rFonts w:eastAsia="Verdana" w:cstheme="minorHAnsi"/>
          <w:color w:val="2C307E"/>
        </w:rPr>
        <w:t>Zorgen rondom brandgevaar van elektrische auto’s komt het meest voor als ervaren knelpunt, bij 51% van de gevallen.</w:t>
      </w:r>
    </w:p>
    <w:p w14:paraId="54CCEDB6" w14:textId="70D43BCE" w:rsidR="0067390E" w:rsidRPr="00524048" w:rsidRDefault="0067390E" w:rsidP="0067390E">
      <w:pPr>
        <w:pStyle w:val="ROstandaard"/>
        <w:rPr>
          <w:rFonts w:cstheme="minorHAnsi"/>
          <w:b/>
        </w:rPr>
      </w:pPr>
      <w:r>
        <w:rPr>
          <w:rFonts w:asciiTheme="minorHAnsi" w:hAnsiTheme="minorHAnsi" w:cstheme="minorHAnsi"/>
          <w:b/>
          <w:bCs/>
          <w:sz w:val="22"/>
          <w:szCs w:val="22"/>
          <w:lang w:val="nl-NL"/>
        </w:rPr>
        <w:t>Openbaar laden</w:t>
      </w:r>
    </w:p>
    <w:p w14:paraId="23FBCF16" w14:textId="17CD773B" w:rsidR="007E17F8" w:rsidRPr="0067390E" w:rsidRDefault="007E17F8" w:rsidP="0067390E">
      <w:pPr>
        <w:pStyle w:val="Lijstalinea"/>
        <w:numPr>
          <w:ilvl w:val="0"/>
          <w:numId w:val="10"/>
        </w:numPr>
        <w:jc w:val="both"/>
        <w:rPr>
          <w:rFonts w:eastAsia="Verdana" w:cstheme="minorHAnsi"/>
          <w:color w:val="2C307E"/>
        </w:rPr>
      </w:pPr>
      <w:r w:rsidRPr="0067390E">
        <w:rPr>
          <w:rFonts w:eastAsia="Verdana" w:cstheme="minorHAnsi"/>
          <w:color w:val="2C307E"/>
        </w:rPr>
        <w:t xml:space="preserve">Het aantal openbare laadpalen op loopafstand is groot. In het Laadonderzoek 2024 gaf 93% aan een laadpaal te hebben binnen 5 minuten loopafstand, waar dat in dit onderzoek 95% is. </w:t>
      </w:r>
    </w:p>
    <w:p w14:paraId="0E443C5D" w14:textId="77777777" w:rsidR="007E17F8" w:rsidRPr="0067390E" w:rsidRDefault="007E17F8" w:rsidP="0067390E">
      <w:pPr>
        <w:pStyle w:val="Lijstalinea"/>
        <w:numPr>
          <w:ilvl w:val="0"/>
          <w:numId w:val="10"/>
        </w:numPr>
        <w:jc w:val="both"/>
        <w:rPr>
          <w:rFonts w:eastAsia="Verdana" w:cstheme="minorHAnsi"/>
          <w:color w:val="2C307E"/>
        </w:rPr>
      </w:pPr>
      <w:r w:rsidRPr="0067390E">
        <w:rPr>
          <w:rFonts w:eastAsia="Verdana" w:cstheme="minorHAnsi"/>
          <w:color w:val="2C307E"/>
        </w:rPr>
        <w:t>De beschikbaarheid van openbare laadpalen neemt toe. 59% van de EV-rijders geeft aan dat de laadpaal (altijd of meestal) beschikbaar is. In het Laadonderzoek 2024 was dat 55% en in het laadonderzoek 2023 49%.</w:t>
      </w:r>
    </w:p>
    <w:p w14:paraId="6ACC6631" w14:textId="77777777" w:rsidR="007E17F8" w:rsidRPr="0067390E" w:rsidRDefault="007E17F8" w:rsidP="0067390E">
      <w:pPr>
        <w:pStyle w:val="Lijstalinea"/>
        <w:numPr>
          <w:ilvl w:val="0"/>
          <w:numId w:val="10"/>
        </w:numPr>
        <w:jc w:val="both"/>
        <w:rPr>
          <w:rFonts w:eastAsia="Verdana" w:cstheme="minorHAnsi"/>
          <w:color w:val="2C307E"/>
        </w:rPr>
      </w:pPr>
      <w:r w:rsidRPr="0067390E">
        <w:rPr>
          <w:rFonts w:eastAsia="Verdana" w:cstheme="minorHAnsi"/>
          <w:color w:val="2C307E"/>
        </w:rPr>
        <w:t>45% van de EV-rijders ervaart nooit knelpunten bij de openbare laadpaal. In het Laadonderzoek 2024 ervaarde 40% van de EV-rijders nooit knelpunten. Ook dit aspect van openbaar laden is dus verbeterd.</w:t>
      </w:r>
    </w:p>
    <w:p w14:paraId="18C0B204" w14:textId="6E015ED8" w:rsidR="0067390E" w:rsidRPr="00DE5F3B" w:rsidRDefault="0067390E" w:rsidP="0067390E">
      <w:pPr>
        <w:pStyle w:val="ROstandaard"/>
        <w:rPr>
          <w:rFonts w:cstheme="minorHAnsi"/>
          <w:b/>
        </w:rPr>
      </w:pPr>
      <w:r>
        <w:rPr>
          <w:rFonts w:asciiTheme="minorHAnsi" w:hAnsiTheme="minorHAnsi" w:cstheme="minorHAnsi"/>
          <w:b/>
          <w:bCs/>
          <w:sz w:val="22"/>
          <w:szCs w:val="22"/>
          <w:lang w:val="nl-NL"/>
        </w:rPr>
        <w:t>Snelladen</w:t>
      </w:r>
    </w:p>
    <w:p w14:paraId="6C41B73E" w14:textId="334889D0" w:rsidR="007E17F8" w:rsidRPr="0067390E" w:rsidRDefault="007E17F8" w:rsidP="0067390E">
      <w:pPr>
        <w:pStyle w:val="Lijstalinea"/>
        <w:numPr>
          <w:ilvl w:val="0"/>
          <w:numId w:val="10"/>
        </w:numPr>
        <w:jc w:val="both"/>
        <w:rPr>
          <w:rFonts w:eastAsia="Verdana" w:cstheme="minorHAnsi"/>
          <w:color w:val="2C307E"/>
        </w:rPr>
      </w:pPr>
      <w:r w:rsidRPr="0067390E">
        <w:rPr>
          <w:rFonts w:eastAsia="Verdana" w:cstheme="minorHAnsi"/>
          <w:color w:val="2C307E"/>
        </w:rPr>
        <w:t>Laadsnelheid speelt een belangrijke rol in de waardering van een snellaadlocatie. De keuze voor een laadlocatie wordt echter nog steeds gemaakt op basis van nabijheid van de locatie.</w:t>
      </w:r>
    </w:p>
    <w:p w14:paraId="301FB7A4" w14:textId="77777777" w:rsidR="007E17F8" w:rsidRPr="0067390E" w:rsidRDefault="007E17F8" w:rsidP="0067390E">
      <w:pPr>
        <w:pStyle w:val="Lijstalinea"/>
        <w:numPr>
          <w:ilvl w:val="0"/>
          <w:numId w:val="10"/>
        </w:numPr>
        <w:jc w:val="both"/>
        <w:rPr>
          <w:rFonts w:eastAsia="Verdana" w:cstheme="minorHAnsi"/>
          <w:color w:val="2C307E"/>
        </w:rPr>
      </w:pPr>
      <w:r w:rsidRPr="0067390E">
        <w:rPr>
          <w:rFonts w:eastAsia="Verdana" w:cstheme="minorHAnsi"/>
          <w:color w:val="2C307E"/>
        </w:rPr>
        <w:t>75% van de EV-rijders ervaart nooit knelpunten bij de snellader. De waardering voor de snellader blijft daarmee sinds de start van het Nationaal Laadonderzoek toenemen.</w:t>
      </w:r>
    </w:p>
    <w:p w14:paraId="3FD43A57" w14:textId="79DA9646" w:rsidR="007E17F8" w:rsidRPr="0067390E" w:rsidRDefault="007E17F8" w:rsidP="00A525BA">
      <w:pPr>
        <w:pStyle w:val="Lijstalinea"/>
        <w:numPr>
          <w:ilvl w:val="0"/>
          <w:numId w:val="10"/>
        </w:numPr>
        <w:jc w:val="both"/>
        <w:rPr>
          <w:rFonts w:eastAsia="Verdana" w:cstheme="minorHAnsi"/>
          <w:color w:val="2C307E"/>
        </w:rPr>
      </w:pPr>
      <w:r w:rsidRPr="0067390E">
        <w:rPr>
          <w:rFonts w:eastAsia="Verdana" w:cstheme="minorHAnsi"/>
          <w:color w:val="2C307E"/>
        </w:rPr>
        <w:t xml:space="preserve">Een lagere laadsnelheid dan verwacht is het meest voorkomende knelpunt en komt in 39% van de sessies voor (als men dit </w:t>
      </w:r>
      <w:r w:rsidRPr="0067390E">
        <w:rPr>
          <w:rFonts w:eastAsia="Verdana" w:cstheme="minorHAnsi"/>
          <w:color w:val="2C307E"/>
        </w:rPr>
        <w:lastRenderedPageBreak/>
        <w:t>knelpunt weleens ervaart). De EV-rijder anticipeert hierop door de EV langer aan de lader te laten.</w:t>
      </w:r>
    </w:p>
    <w:p w14:paraId="6B007AB9" w14:textId="5CE1351B" w:rsidR="0067390E" w:rsidRPr="0067390E" w:rsidRDefault="0067390E" w:rsidP="0067390E">
      <w:pPr>
        <w:pStyle w:val="ROstandaard"/>
        <w:rPr>
          <w:rFonts w:asciiTheme="minorHAnsi" w:hAnsiTheme="minorHAnsi" w:cstheme="minorHAnsi"/>
          <w:b/>
          <w:bCs/>
          <w:sz w:val="22"/>
          <w:szCs w:val="22"/>
          <w:lang w:val="nl-NL"/>
        </w:rPr>
      </w:pPr>
      <w:r w:rsidRPr="0067390E">
        <w:rPr>
          <w:rFonts w:asciiTheme="minorHAnsi" w:hAnsiTheme="minorHAnsi" w:cstheme="minorHAnsi"/>
          <w:b/>
          <w:bCs/>
          <w:sz w:val="22"/>
          <w:szCs w:val="22"/>
          <w:lang w:val="nl-NL"/>
        </w:rPr>
        <w:t>Binnenstedelijke snelladers</w:t>
      </w:r>
    </w:p>
    <w:p w14:paraId="4BCEEC01" w14:textId="50562597" w:rsidR="007E17F8" w:rsidRPr="00C310FF" w:rsidRDefault="007E17F8" w:rsidP="0067390E">
      <w:pPr>
        <w:pStyle w:val="Lijstalinea"/>
        <w:numPr>
          <w:ilvl w:val="0"/>
          <w:numId w:val="15"/>
        </w:numPr>
        <w:tabs>
          <w:tab w:val="left" w:pos="3230"/>
        </w:tabs>
        <w:jc w:val="both"/>
        <w:rPr>
          <w:b/>
          <w:bCs/>
          <w:color w:val="2C307E"/>
        </w:rPr>
      </w:pPr>
      <w:r w:rsidRPr="0DD5FE5B">
        <w:rPr>
          <w:color w:val="2C307E"/>
        </w:rPr>
        <w:t>EV-rijders hebben (nog) weinig behoefte aan een snellaadvoorziening op een binnenstedelijke plek. Men heeft een beter alternatief in de thuislader of het openbare laadpunt in de buurt van de woning en/of komt niet vaak op dergelijke locaties.</w:t>
      </w:r>
    </w:p>
    <w:p w14:paraId="0F74F9E6" w14:textId="62B53343" w:rsidR="0067390E" w:rsidRPr="003C4867" w:rsidRDefault="0067390E" w:rsidP="0067390E">
      <w:pPr>
        <w:pStyle w:val="ROstandaard"/>
        <w:rPr>
          <w:rFonts w:cstheme="minorHAnsi"/>
          <w:b/>
        </w:rPr>
      </w:pPr>
      <w:r>
        <w:rPr>
          <w:rFonts w:asciiTheme="minorHAnsi" w:hAnsiTheme="minorHAnsi" w:cstheme="minorHAnsi"/>
          <w:b/>
          <w:bCs/>
          <w:sz w:val="22"/>
          <w:szCs w:val="22"/>
          <w:lang w:val="nl-NL"/>
        </w:rPr>
        <w:t>Laden op het werk</w:t>
      </w:r>
    </w:p>
    <w:p w14:paraId="39EE4F29" w14:textId="20F4ABB5" w:rsidR="007E17F8" w:rsidRPr="003C4867" w:rsidRDefault="007E17F8" w:rsidP="0067390E">
      <w:pPr>
        <w:pStyle w:val="Lijstalinea"/>
        <w:numPr>
          <w:ilvl w:val="0"/>
          <w:numId w:val="15"/>
        </w:numPr>
        <w:spacing w:after="0" w:line="276" w:lineRule="auto"/>
        <w:jc w:val="both"/>
        <w:rPr>
          <w:rFonts w:cstheme="minorHAnsi"/>
          <w:color w:val="2C307E"/>
        </w:rPr>
      </w:pPr>
      <w:r w:rsidRPr="003C4867">
        <w:rPr>
          <w:rFonts w:cstheme="minorHAnsi"/>
          <w:color w:val="2C307E"/>
        </w:rPr>
        <w:t xml:space="preserve">62% van de EV-rijders ervaart nooit knelpunten bij het laden op het werk. </w:t>
      </w:r>
      <w:r w:rsidR="00665CD6">
        <w:rPr>
          <w:rFonts w:cstheme="minorHAnsi"/>
          <w:color w:val="2C307E"/>
        </w:rPr>
        <w:t>Dat is een lichte toename vergeleken met</w:t>
      </w:r>
      <w:r>
        <w:rPr>
          <w:rFonts w:cstheme="minorHAnsi"/>
          <w:color w:val="2C307E"/>
        </w:rPr>
        <w:t xml:space="preserve"> de eerdere edities van dit Laadonderzoek.</w:t>
      </w:r>
    </w:p>
    <w:p w14:paraId="50DE1B1F" w14:textId="77777777" w:rsidR="0067390E" w:rsidRPr="0067390E" w:rsidRDefault="007E17F8" w:rsidP="0067390E">
      <w:pPr>
        <w:pStyle w:val="Lijstalinea"/>
        <w:numPr>
          <w:ilvl w:val="0"/>
          <w:numId w:val="10"/>
        </w:numPr>
        <w:jc w:val="both"/>
        <w:rPr>
          <w:rFonts w:eastAsia="Verdana" w:cstheme="minorHAnsi"/>
          <w:color w:val="2C307E"/>
        </w:rPr>
      </w:pPr>
      <w:r w:rsidRPr="0067390E">
        <w:rPr>
          <w:rFonts w:eastAsia="Verdana" w:cstheme="minorHAnsi"/>
          <w:color w:val="2C307E"/>
        </w:rPr>
        <w:t>Laadpalen op het werk zijn vaker beschikbaar in vergelijking met de eerdere edities van dit Laadonderzoek. 68% geeft aan dat de laadpalen meestal of altijd vrij zijn wanneer zij willen laden.</w:t>
      </w:r>
    </w:p>
    <w:p w14:paraId="1C97EDE9" w14:textId="759E3E20" w:rsidR="0067390E" w:rsidRPr="0067390E" w:rsidRDefault="0067390E" w:rsidP="0067390E">
      <w:pPr>
        <w:pStyle w:val="ROstandaard"/>
        <w:rPr>
          <w:rFonts w:asciiTheme="minorHAnsi" w:hAnsiTheme="minorHAnsi" w:cstheme="minorHAnsi"/>
          <w:b/>
          <w:bCs/>
          <w:sz w:val="22"/>
          <w:szCs w:val="22"/>
          <w:lang w:val="nl-NL"/>
        </w:rPr>
      </w:pPr>
      <w:r>
        <w:rPr>
          <w:rFonts w:asciiTheme="minorHAnsi" w:hAnsiTheme="minorHAnsi" w:cstheme="minorHAnsi"/>
          <w:b/>
          <w:bCs/>
          <w:sz w:val="22"/>
          <w:szCs w:val="22"/>
          <w:lang w:val="nl-NL"/>
        </w:rPr>
        <w:t xml:space="preserve">Slim laden </w:t>
      </w:r>
      <w:r w:rsidR="001845B7">
        <w:rPr>
          <w:rFonts w:asciiTheme="minorHAnsi" w:hAnsiTheme="minorHAnsi" w:cstheme="minorHAnsi"/>
          <w:b/>
          <w:bCs/>
          <w:sz w:val="22"/>
          <w:szCs w:val="22"/>
          <w:lang w:val="nl-NL"/>
        </w:rPr>
        <w:t>aan het thuislaadpunt</w:t>
      </w:r>
    </w:p>
    <w:p w14:paraId="02790CEC" w14:textId="2D9FB2BE" w:rsidR="007E17F8" w:rsidRPr="0067390E" w:rsidRDefault="007E17F8" w:rsidP="0067390E">
      <w:pPr>
        <w:pStyle w:val="Lijstalinea"/>
        <w:numPr>
          <w:ilvl w:val="0"/>
          <w:numId w:val="10"/>
        </w:numPr>
        <w:jc w:val="both"/>
        <w:rPr>
          <w:rFonts w:eastAsia="Verdana" w:cstheme="minorHAnsi"/>
          <w:color w:val="2C307E"/>
        </w:rPr>
      </w:pPr>
      <w:r w:rsidRPr="0067390E">
        <w:rPr>
          <w:rFonts w:eastAsia="Verdana" w:cstheme="minorHAnsi"/>
          <w:color w:val="2C307E"/>
        </w:rPr>
        <w:t>41% van de thuisladers laadt slim op basis van dynamische tarieven. Dat is een verdubbeling ten opzichte van het Laadonderzoek 2024. Daarnaast geeft 32% aan te willen laden op dynamische tarieven, maar dat nu nog niet te doen. 27% ziet het gebruik van dynamische tarieven op het thuislaadpunt niet zitten.</w:t>
      </w:r>
    </w:p>
    <w:p w14:paraId="78F16171" w14:textId="3ED27AB1" w:rsidR="007E17F8" w:rsidRPr="0067390E" w:rsidRDefault="0083591F" w:rsidP="0067390E">
      <w:pPr>
        <w:pStyle w:val="Lijstalinea"/>
        <w:numPr>
          <w:ilvl w:val="0"/>
          <w:numId w:val="10"/>
        </w:numPr>
        <w:jc w:val="both"/>
        <w:rPr>
          <w:rFonts w:eastAsia="Verdana" w:cstheme="minorHAnsi"/>
          <w:color w:val="2C307E"/>
        </w:rPr>
      </w:pPr>
      <w:r>
        <w:rPr>
          <w:rFonts w:eastAsia="Verdana" w:cstheme="minorHAnsi"/>
          <w:color w:val="2C307E"/>
        </w:rPr>
        <w:t>87</w:t>
      </w:r>
      <w:r w:rsidR="007E17F8" w:rsidRPr="0067390E">
        <w:rPr>
          <w:rFonts w:eastAsia="Verdana" w:cstheme="minorHAnsi"/>
          <w:color w:val="2C307E"/>
        </w:rPr>
        <w:t>% is (zeer) positief over het gebruik van dynamische stroomtarieven thuis.</w:t>
      </w:r>
    </w:p>
    <w:p w14:paraId="711F5070" w14:textId="295C2682" w:rsidR="007E17F8" w:rsidRPr="0067390E" w:rsidRDefault="00427789" w:rsidP="0067390E">
      <w:pPr>
        <w:pStyle w:val="Lijstalinea"/>
        <w:numPr>
          <w:ilvl w:val="0"/>
          <w:numId w:val="10"/>
        </w:numPr>
        <w:jc w:val="both"/>
        <w:rPr>
          <w:rFonts w:eastAsia="Verdana" w:cstheme="minorHAnsi"/>
          <w:color w:val="2C307E"/>
        </w:rPr>
      </w:pPr>
      <w:r>
        <w:rPr>
          <w:rFonts w:eastAsia="Verdana" w:cstheme="minorHAnsi"/>
          <w:color w:val="2C307E"/>
        </w:rPr>
        <w:t>26</w:t>
      </w:r>
      <w:r w:rsidR="007E17F8" w:rsidRPr="0067390E">
        <w:rPr>
          <w:rFonts w:eastAsia="Verdana" w:cstheme="minorHAnsi"/>
          <w:color w:val="2C307E"/>
        </w:rPr>
        <w:t xml:space="preserve">% van de EV-rijders past thuis slim laden thuis toe door op een specifiek moment de auto met de hand (dus niet automatisch) aan te sluiten aan de laadpaal. </w:t>
      </w:r>
    </w:p>
    <w:p w14:paraId="595DD61E" w14:textId="77777777" w:rsidR="007E17F8" w:rsidRPr="0067390E" w:rsidRDefault="007E17F8" w:rsidP="0067390E">
      <w:pPr>
        <w:pStyle w:val="Lijstalinea"/>
        <w:numPr>
          <w:ilvl w:val="0"/>
          <w:numId w:val="10"/>
        </w:numPr>
        <w:jc w:val="both"/>
        <w:rPr>
          <w:rFonts w:eastAsia="Verdana" w:cstheme="minorHAnsi"/>
          <w:color w:val="2C307E"/>
        </w:rPr>
      </w:pPr>
      <w:r w:rsidRPr="0067390E">
        <w:rPr>
          <w:rFonts w:eastAsia="Verdana" w:cstheme="minorHAnsi"/>
          <w:color w:val="2C307E"/>
        </w:rPr>
        <w:t>Van de EV-rijders die hun auto bewust handmatig aansluiten aan de laadpaal, beschikt 46% over een laadpaal met slimme functionaliteit zoals local load balancing en 25% beschikt over een paal welke aangesloten kan worden aan een Home Energy Management System (HEMS) of andere applicatie. Deze groep EV-rijders behoudt óf liever zelf de controle over de laadsessie, óf is niet op de hoogte van de technieken van de laadpaal.</w:t>
      </w:r>
    </w:p>
    <w:p w14:paraId="7FEC196E" w14:textId="77777777" w:rsidR="007E17F8" w:rsidRPr="0067390E" w:rsidRDefault="007E17F8" w:rsidP="0067390E">
      <w:pPr>
        <w:pStyle w:val="Lijstalinea"/>
        <w:numPr>
          <w:ilvl w:val="0"/>
          <w:numId w:val="10"/>
        </w:numPr>
        <w:jc w:val="both"/>
        <w:rPr>
          <w:rFonts w:eastAsia="Verdana" w:cstheme="minorHAnsi"/>
          <w:color w:val="2C307E"/>
        </w:rPr>
      </w:pPr>
      <w:r w:rsidRPr="0067390E">
        <w:rPr>
          <w:rFonts w:eastAsia="Verdana" w:cstheme="minorHAnsi"/>
          <w:color w:val="2C307E"/>
        </w:rPr>
        <w:t xml:space="preserve">80% van de EV-rijders met zonnepanelen en een thuislaadpaal zegt vaak/altijd bewust te laden op uren met veel zonnestroom. </w:t>
      </w:r>
    </w:p>
    <w:p w14:paraId="1F989DAE" w14:textId="0EBBE6B6" w:rsidR="007E17F8" w:rsidRPr="0067390E" w:rsidRDefault="007E17F8" w:rsidP="0067390E">
      <w:pPr>
        <w:pStyle w:val="Lijstalinea"/>
        <w:numPr>
          <w:ilvl w:val="0"/>
          <w:numId w:val="10"/>
        </w:numPr>
        <w:jc w:val="both"/>
        <w:rPr>
          <w:rFonts w:eastAsia="Verdana" w:cstheme="minorHAnsi"/>
          <w:color w:val="2C307E"/>
        </w:rPr>
      </w:pPr>
      <w:r w:rsidRPr="0067390E">
        <w:rPr>
          <w:rFonts w:eastAsia="Verdana" w:cstheme="minorHAnsi"/>
          <w:color w:val="2C307E"/>
        </w:rPr>
        <w:t xml:space="preserve">Er is veel enthousiasme voor het thuis toepassen van bidirectioneel laden; </w:t>
      </w:r>
      <w:r w:rsidR="001845B7">
        <w:rPr>
          <w:rFonts w:eastAsia="Verdana" w:cstheme="minorHAnsi"/>
          <w:color w:val="2C307E"/>
        </w:rPr>
        <w:t>50</w:t>
      </w:r>
      <w:r w:rsidRPr="0067390E">
        <w:rPr>
          <w:rFonts w:eastAsia="Verdana" w:cstheme="minorHAnsi"/>
          <w:color w:val="2C307E"/>
        </w:rPr>
        <w:t>% van de thuisladers wil dit gaan gebruiken.</w:t>
      </w:r>
    </w:p>
    <w:p w14:paraId="6298F059" w14:textId="520C75FA" w:rsidR="0067390E" w:rsidRPr="0083591F" w:rsidRDefault="0067390E" w:rsidP="0067390E">
      <w:pPr>
        <w:pStyle w:val="ROstandaard"/>
        <w:rPr>
          <w:rFonts w:asciiTheme="minorHAnsi" w:hAnsiTheme="minorHAnsi" w:cstheme="minorHAnsi"/>
          <w:b/>
          <w:bCs/>
          <w:sz w:val="22"/>
          <w:szCs w:val="22"/>
          <w:lang w:val="nl-NL"/>
        </w:rPr>
      </w:pPr>
      <w:r>
        <w:rPr>
          <w:rFonts w:asciiTheme="minorHAnsi" w:hAnsiTheme="minorHAnsi" w:cstheme="minorHAnsi"/>
          <w:b/>
          <w:bCs/>
          <w:sz w:val="22"/>
          <w:szCs w:val="22"/>
          <w:lang w:val="nl-NL"/>
        </w:rPr>
        <w:t xml:space="preserve">Slim laden </w:t>
      </w:r>
      <w:r w:rsidRPr="0083591F">
        <w:rPr>
          <w:rFonts w:asciiTheme="minorHAnsi" w:hAnsiTheme="minorHAnsi" w:cstheme="minorHAnsi"/>
          <w:b/>
          <w:bCs/>
          <w:sz w:val="22"/>
          <w:szCs w:val="22"/>
          <w:lang w:val="nl-NL"/>
        </w:rPr>
        <w:t>aan de openbare laadpaal</w:t>
      </w:r>
    </w:p>
    <w:p w14:paraId="58155C55" w14:textId="3F30B43A" w:rsidR="007E17F8" w:rsidRDefault="007E17F8" w:rsidP="0067390E">
      <w:pPr>
        <w:pStyle w:val="Lijstalinea"/>
        <w:numPr>
          <w:ilvl w:val="0"/>
          <w:numId w:val="17"/>
        </w:numPr>
        <w:jc w:val="both"/>
        <w:rPr>
          <w:color w:val="2C307E"/>
        </w:rPr>
      </w:pPr>
      <w:r w:rsidRPr="0DD5FE5B">
        <w:rPr>
          <w:color w:val="2C307E"/>
        </w:rPr>
        <w:t xml:space="preserve">Slim laden </w:t>
      </w:r>
      <w:r>
        <w:rPr>
          <w:color w:val="2C307E"/>
        </w:rPr>
        <w:t>aan</w:t>
      </w:r>
      <w:r w:rsidRPr="0DD5FE5B">
        <w:rPr>
          <w:color w:val="2C307E"/>
        </w:rPr>
        <w:t xml:space="preserve"> de openbare laadpaal wordt aanzienlijk minder toegepast dan slim laden</w:t>
      </w:r>
      <w:r>
        <w:rPr>
          <w:color w:val="2C307E"/>
        </w:rPr>
        <w:t xml:space="preserve"> aan</w:t>
      </w:r>
      <w:r w:rsidRPr="0DD5FE5B">
        <w:rPr>
          <w:color w:val="2C307E"/>
        </w:rPr>
        <w:t xml:space="preserve"> de thuislaadpaal. Hier kan meespelen dat de EV-rijder zelf geen actieve handeling hoeft uit te voeren en minder bewust is van eventueel slim laden op de openbare laadpaal.</w:t>
      </w:r>
    </w:p>
    <w:p w14:paraId="46840710" w14:textId="77777777" w:rsidR="007E17F8" w:rsidRPr="007E3656" w:rsidRDefault="007E17F8" w:rsidP="00A525BA">
      <w:pPr>
        <w:pStyle w:val="Lijstalinea"/>
        <w:numPr>
          <w:ilvl w:val="0"/>
          <w:numId w:val="17"/>
        </w:numPr>
        <w:jc w:val="both"/>
        <w:rPr>
          <w:rFonts w:cstheme="minorHAnsi"/>
          <w:color w:val="2C307E"/>
        </w:rPr>
      </w:pPr>
      <w:r>
        <w:rPr>
          <w:color w:val="2C307E"/>
        </w:rPr>
        <w:t>6</w:t>
      </w:r>
      <w:r w:rsidRPr="00937E92">
        <w:rPr>
          <w:color w:val="2C307E"/>
        </w:rPr>
        <w:t xml:space="preserve">% geeft aan slim te laden bij de openbare laadpaal op basis van dynamische tarieven, </w:t>
      </w:r>
      <w:r>
        <w:rPr>
          <w:color w:val="2C307E"/>
        </w:rPr>
        <w:t>25</w:t>
      </w:r>
      <w:r w:rsidRPr="00937E92">
        <w:rPr>
          <w:color w:val="2C307E"/>
        </w:rPr>
        <w:t>% zou dit willen gebruiken (maar gebruikt het nu nog niet)</w:t>
      </w:r>
    </w:p>
    <w:p w14:paraId="520FD704" w14:textId="77777777" w:rsidR="007E17F8" w:rsidRPr="00797D39" w:rsidRDefault="007E17F8" w:rsidP="00A525BA">
      <w:pPr>
        <w:pStyle w:val="Lijstalinea"/>
        <w:numPr>
          <w:ilvl w:val="0"/>
          <w:numId w:val="17"/>
        </w:numPr>
        <w:spacing w:line="276" w:lineRule="auto"/>
        <w:jc w:val="both"/>
        <w:rPr>
          <w:color w:val="2C307E"/>
        </w:rPr>
      </w:pPr>
      <w:r w:rsidRPr="0DD5FE5B">
        <w:rPr>
          <w:color w:val="2C307E"/>
        </w:rPr>
        <w:t xml:space="preserve">De EV-rijder heeft op de publieke laadpaal voorkeur voor </w:t>
      </w:r>
      <w:r>
        <w:rPr>
          <w:color w:val="2C307E"/>
        </w:rPr>
        <w:t xml:space="preserve">variabele </w:t>
      </w:r>
      <w:r w:rsidRPr="0DD5FE5B">
        <w:rPr>
          <w:color w:val="2C307E"/>
        </w:rPr>
        <w:t>laadtarieven boven</w:t>
      </w:r>
      <w:r>
        <w:rPr>
          <w:color w:val="2C307E"/>
        </w:rPr>
        <w:t xml:space="preserve"> variabele</w:t>
      </w:r>
      <w:r w:rsidRPr="0DD5FE5B">
        <w:rPr>
          <w:color w:val="2C307E"/>
        </w:rPr>
        <w:t xml:space="preserve"> laadsnelheid. 62% is positief over variabele tarieven bij gelijkblijvende laadsnelheid op momenten van drukte op het net, </w:t>
      </w:r>
      <w:r>
        <w:rPr>
          <w:color w:val="2C307E"/>
        </w:rPr>
        <w:t>terwijl</w:t>
      </w:r>
      <w:r w:rsidRPr="0DD5FE5B" w:rsidDel="00797D39">
        <w:rPr>
          <w:color w:val="2C307E"/>
        </w:rPr>
        <w:t xml:space="preserve"> </w:t>
      </w:r>
      <w:r w:rsidRPr="0DD5FE5B">
        <w:rPr>
          <w:color w:val="2C307E"/>
        </w:rPr>
        <w:t xml:space="preserve">30% positief </w:t>
      </w:r>
      <w:r>
        <w:rPr>
          <w:color w:val="2C307E"/>
        </w:rPr>
        <w:t xml:space="preserve">is </w:t>
      </w:r>
      <w:r w:rsidRPr="0DD5FE5B">
        <w:rPr>
          <w:color w:val="2C307E"/>
        </w:rPr>
        <w:t>over een variabele laadsnelheid bij gelijkblijvende tarieven.</w:t>
      </w:r>
    </w:p>
    <w:p w14:paraId="44B88500" w14:textId="77777777" w:rsidR="007E17F8" w:rsidRPr="00797D39" w:rsidRDefault="007E17F8" w:rsidP="00A525BA">
      <w:pPr>
        <w:pStyle w:val="Lijstalinea"/>
        <w:numPr>
          <w:ilvl w:val="0"/>
          <w:numId w:val="17"/>
        </w:numPr>
        <w:jc w:val="both"/>
        <w:rPr>
          <w:color w:val="2C307E"/>
        </w:rPr>
      </w:pPr>
      <w:r w:rsidRPr="0DD5FE5B">
        <w:rPr>
          <w:color w:val="2C307E"/>
        </w:rPr>
        <w:t xml:space="preserve">55% van de EV-rijders vindt het belangrijk om ervan op de hoogte te zijn wanneer hun voertuig slim wordt geladen. </w:t>
      </w:r>
    </w:p>
    <w:p w14:paraId="785DE3F6" w14:textId="61F14C25" w:rsidR="0067390E" w:rsidRPr="0083591F" w:rsidRDefault="0067390E" w:rsidP="0067390E">
      <w:pPr>
        <w:pStyle w:val="ROstandaard"/>
        <w:rPr>
          <w:rFonts w:asciiTheme="minorHAnsi" w:hAnsiTheme="minorHAnsi" w:cstheme="minorHAnsi"/>
          <w:b/>
          <w:bCs/>
          <w:sz w:val="22"/>
          <w:szCs w:val="22"/>
          <w:lang w:val="nl-NL"/>
        </w:rPr>
      </w:pPr>
      <w:r w:rsidRPr="0067390E">
        <w:rPr>
          <w:rFonts w:asciiTheme="minorHAnsi" w:hAnsiTheme="minorHAnsi" w:cstheme="minorHAnsi"/>
          <w:b/>
          <w:bCs/>
          <w:sz w:val="22"/>
          <w:szCs w:val="22"/>
          <w:lang w:val="nl-NL"/>
        </w:rPr>
        <w:t>Afmelden voor slim laden</w:t>
      </w:r>
      <w:r w:rsidRPr="0083591F">
        <w:rPr>
          <w:rFonts w:asciiTheme="minorHAnsi" w:hAnsiTheme="minorHAnsi" w:cstheme="minorHAnsi"/>
          <w:b/>
          <w:bCs/>
          <w:sz w:val="22"/>
          <w:szCs w:val="22"/>
          <w:lang w:val="nl-NL"/>
        </w:rPr>
        <w:t xml:space="preserve"> aan de openbare laadpaal (opt-out)</w:t>
      </w:r>
    </w:p>
    <w:p w14:paraId="0FCCC200" w14:textId="566BD535" w:rsidR="007E17F8" w:rsidRDefault="007E17F8" w:rsidP="0067390E">
      <w:pPr>
        <w:pStyle w:val="Geenafstand"/>
        <w:numPr>
          <w:ilvl w:val="0"/>
          <w:numId w:val="19"/>
        </w:numPr>
        <w:spacing w:line="276" w:lineRule="auto"/>
        <w:jc w:val="both"/>
        <w:rPr>
          <w:color w:val="2C307E"/>
        </w:rPr>
      </w:pPr>
      <w:r w:rsidRPr="0DD5FE5B">
        <w:rPr>
          <w:color w:val="2C307E"/>
        </w:rPr>
        <w:t>EV-rijders zijn niet bekend met de mogelijkheid om zich af te kunnen melden voor slim laden, 85% kent de opt-out mogelijkheid niet</w:t>
      </w:r>
      <w:r>
        <w:rPr>
          <w:color w:val="2C307E"/>
        </w:rPr>
        <w:t>.</w:t>
      </w:r>
    </w:p>
    <w:p w14:paraId="3D3B350B" w14:textId="77777777" w:rsidR="007E17F8" w:rsidRPr="00F55B8C" w:rsidRDefault="007E17F8" w:rsidP="00A525BA">
      <w:pPr>
        <w:pStyle w:val="Geenafstand"/>
        <w:numPr>
          <w:ilvl w:val="0"/>
          <w:numId w:val="19"/>
        </w:numPr>
        <w:spacing w:line="276" w:lineRule="auto"/>
        <w:jc w:val="both"/>
        <w:rPr>
          <w:color w:val="2C307E"/>
        </w:rPr>
      </w:pPr>
      <w:r w:rsidRPr="00797D39">
        <w:rPr>
          <w:color w:val="2C307E"/>
        </w:rPr>
        <w:t xml:space="preserve">77% van EV-rijders wil de mogelijkheid hebben om slim laden uit te zetten. </w:t>
      </w:r>
      <w:r w:rsidRPr="00802BC0">
        <w:rPr>
          <w:color w:val="2C307E"/>
        </w:rPr>
        <w:t xml:space="preserve">Dat is een stijging van 7 procentpunt ten opzichte van </w:t>
      </w:r>
      <w:r>
        <w:rPr>
          <w:color w:val="2C307E"/>
        </w:rPr>
        <w:t>het L</w:t>
      </w:r>
      <w:r w:rsidRPr="00F55B8C">
        <w:rPr>
          <w:color w:val="2C307E"/>
        </w:rPr>
        <w:t xml:space="preserve">aadonderzoek 2024. </w:t>
      </w:r>
    </w:p>
    <w:p w14:paraId="236EC5EF" w14:textId="77777777" w:rsidR="009B2CD4" w:rsidRPr="009B2CD4" w:rsidRDefault="007E17F8" w:rsidP="009B2CD4">
      <w:pPr>
        <w:pStyle w:val="Geenafstand"/>
        <w:numPr>
          <w:ilvl w:val="0"/>
          <w:numId w:val="19"/>
        </w:numPr>
        <w:spacing w:line="276" w:lineRule="auto"/>
        <w:jc w:val="both"/>
        <w:rPr>
          <w:rFonts w:ascii="Calibri" w:eastAsia="Calibri" w:hAnsi="Calibri" w:cs="Calibri"/>
          <w:color w:val="2C307E"/>
        </w:rPr>
      </w:pPr>
      <w:r w:rsidRPr="00F55B8C">
        <w:rPr>
          <w:color w:val="2C307E"/>
        </w:rPr>
        <w:t xml:space="preserve">Het overgrote deel (70%) geeft aan zelden/soms gebruik te denken te maken van de opt-out mogelijkheid. Daarmee geeft de EV-rijder enerzijds aan de optie te willen hebben zich af te melden, maar </w:t>
      </w:r>
      <w:r w:rsidRPr="00F55B8C">
        <w:rPr>
          <w:color w:val="2C307E"/>
        </w:rPr>
        <w:lastRenderedPageBreak/>
        <w:t xml:space="preserve">anderzijds hier niet grootschalig gebruik van te zullen maken. </w:t>
      </w:r>
    </w:p>
    <w:p w14:paraId="5F325912" w14:textId="77777777" w:rsidR="00CE1CE7" w:rsidRDefault="00CE1CE7" w:rsidP="00CE1CE7">
      <w:pPr>
        <w:pStyle w:val="Geenafstand"/>
        <w:spacing w:line="276" w:lineRule="auto"/>
        <w:ind w:left="360"/>
        <w:jc w:val="both"/>
      </w:pPr>
    </w:p>
    <w:p w14:paraId="18AD2DED" w14:textId="0AC7CDF4" w:rsidR="00CE1CE7" w:rsidRPr="00E33A2E" w:rsidRDefault="00CE1CE7" w:rsidP="00CE1CE7">
      <w:pPr>
        <w:pStyle w:val="ROstandaard"/>
        <w:rPr>
          <w:b/>
          <w:lang w:val="nl-NL"/>
        </w:rPr>
      </w:pPr>
      <w:r w:rsidRPr="00CE1CE7">
        <w:rPr>
          <w:rFonts w:asciiTheme="minorHAnsi" w:hAnsiTheme="minorHAnsi" w:cstheme="minorHAnsi"/>
          <w:b/>
          <w:bCs/>
          <w:sz w:val="22"/>
          <w:szCs w:val="22"/>
          <w:lang w:val="nl-NL"/>
        </w:rPr>
        <w:t>Vertrektijden doorgeven aan de openbare laadpaal</w:t>
      </w:r>
    </w:p>
    <w:p w14:paraId="75D1EC5E" w14:textId="48BF60D6" w:rsidR="007E17F8" w:rsidRDefault="007E17F8" w:rsidP="00CE1CE7">
      <w:pPr>
        <w:pStyle w:val="Geenafstand"/>
        <w:numPr>
          <w:ilvl w:val="0"/>
          <w:numId w:val="19"/>
        </w:numPr>
        <w:spacing w:line="276" w:lineRule="auto"/>
        <w:jc w:val="both"/>
        <w:rPr>
          <w:color w:val="2C307E"/>
        </w:rPr>
      </w:pPr>
      <w:r w:rsidRPr="0DD5FE5B">
        <w:rPr>
          <w:color w:val="2C307E"/>
        </w:rPr>
        <w:t xml:space="preserve">Wanneer de vertrektijd van de EV-rijder bekend is, kan de laadsessie optimaal worden ingepland om te profiteren van de voordelen van slim laden, met de zekerheid van een volgeladen batterij. </w:t>
      </w:r>
    </w:p>
    <w:p w14:paraId="1165D2A7" w14:textId="77777777" w:rsidR="007E17F8" w:rsidRPr="00B22DB9" w:rsidRDefault="007E17F8" w:rsidP="00A525BA">
      <w:pPr>
        <w:pStyle w:val="Geenafstand"/>
        <w:numPr>
          <w:ilvl w:val="0"/>
          <w:numId w:val="19"/>
        </w:numPr>
        <w:spacing w:line="276" w:lineRule="auto"/>
        <w:jc w:val="both"/>
        <w:rPr>
          <w:color w:val="2C307E"/>
        </w:rPr>
      </w:pPr>
      <w:r w:rsidRPr="0DD5FE5B">
        <w:rPr>
          <w:color w:val="2C307E"/>
        </w:rPr>
        <w:t>56% van de EV-rijders is bereid om via een app aan te geven wanneer ze vertrekken, als indicatie voor wanneer hun EV volgeladen moet zijn</w:t>
      </w:r>
      <w:r>
        <w:rPr>
          <w:color w:val="2C307E"/>
        </w:rPr>
        <w:t>.</w:t>
      </w:r>
    </w:p>
    <w:p w14:paraId="60AB15CF" w14:textId="05110E5C" w:rsidR="0067390E" w:rsidRDefault="007E17F8" w:rsidP="0067390E">
      <w:pPr>
        <w:pStyle w:val="Lijstalinea"/>
        <w:numPr>
          <w:ilvl w:val="0"/>
          <w:numId w:val="17"/>
        </w:numPr>
        <w:jc w:val="both"/>
        <w:rPr>
          <w:color w:val="2C307E"/>
        </w:rPr>
      </w:pPr>
      <w:r w:rsidRPr="0DD5FE5B">
        <w:rPr>
          <w:color w:val="2C307E"/>
        </w:rPr>
        <w:t xml:space="preserve">Korting op het laadtarief stimuleert om vertrektijden vaker door te geven. Als er korting per geladen kWh wordt gegeven, van 5 of 10 </w:t>
      </w:r>
      <w:r>
        <w:rPr>
          <w:color w:val="2C307E"/>
        </w:rPr>
        <w:t>euro</w:t>
      </w:r>
      <w:r w:rsidRPr="0DD5FE5B">
        <w:rPr>
          <w:color w:val="2C307E"/>
        </w:rPr>
        <w:t>cent, stijgt de bereidheid van EV-rijders om hun vertrektijden door te geven naar 63%</w:t>
      </w:r>
      <w:r w:rsidR="001845B7">
        <w:rPr>
          <w:color w:val="2C307E"/>
        </w:rPr>
        <w:t xml:space="preserve"> respectievelijk 66%</w:t>
      </w:r>
      <w:r w:rsidRPr="0DD5FE5B">
        <w:rPr>
          <w:color w:val="2C307E"/>
        </w:rPr>
        <w:t>.</w:t>
      </w:r>
    </w:p>
    <w:p w14:paraId="6D65512E" w14:textId="5DCEA21F" w:rsidR="0067390E" w:rsidRDefault="0067390E" w:rsidP="0067390E">
      <w:pPr>
        <w:pStyle w:val="ROstandaard"/>
        <w:rPr>
          <w:b/>
        </w:rPr>
      </w:pPr>
      <w:r>
        <w:rPr>
          <w:rFonts w:asciiTheme="minorHAnsi" w:hAnsiTheme="minorHAnsi" w:cstheme="minorHAnsi"/>
          <w:b/>
          <w:bCs/>
          <w:sz w:val="22"/>
          <w:szCs w:val="22"/>
          <w:lang w:val="nl-NL"/>
        </w:rPr>
        <w:t>Bidirectioneel laden</w:t>
      </w:r>
    </w:p>
    <w:p w14:paraId="5226EDDA" w14:textId="11CF9616" w:rsidR="007E17F8" w:rsidRPr="00167ADC" w:rsidRDefault="007E17F8" w:rsidP="0067390E">
      <w:pPr>
        <w:pStyle w:val="Lijstalinea"/>
        <w:numPr>
          <w:ilvl w:val="0"/>
          <w:numId w:val="17"/>
        </w:numPr>
        <w:jc w:val="both"/>
        <w:rPr>
          <w:color w:val="2C307E"/>
        </w:rPr>
      </w:pPr>
      <w:r w:rsidRPr="00167ADC">
        <w:rPr>
          <w:color w:val="2C307E"/>
        </w:rPr>
        <w:t>75% geeft aan dat de auto aan de openbare laadpaal gebruikt mag worden om overbelasting op het stroomnet te voorkomen</w:t>
      </w:r>
      <w:r>
        <w:rPr>
          <w:color w:val="2C307E"/>
        </w:rPr>
        <w:t>, door stroom tijdelijk op te slaan en later terug te leveren aan het net</w:t>
      </w:r>
      <w:r w:rsidRPr="00167ADC">
        <w:rPr>
          <w:color w:val="2C307E"/>
        </w:rPr>
        <w:t>.</w:t>
      </w:r>
      <w:r>
        <w:rPr>
          <w:color w:val="2C307E"/>
        </w:rPr>
        <w:t xml:space="preserve"> </w:t>
      </w:r>
      <w:r w:rsidRPr="00167ADC">
        <w:rPr>
          <w:color w:val="2C307E"/>
        </w:rPr>
        <w:t>De meerderheid</w:t>
      </w:r>
      <w:r>
        <w:rPr>
          <w:color w:val="2C307E"/>
        </w:rPr>
        <w:t xml:space="preserve"> </w:t>
      </w:r>
      <w:r w:rsidRPr="00167ADC">
        <w:rPr>
          <w:color w:val="2C307E"/>
        </w:rPr>
        <w:t xml:space="preserve">(56%) wil </w:t>
      </w:r>
      <w:r>
        <w:rPr>
          <w:color w:val="2C307E"/>
        </w:rPr>
        <w:t xml:space="preserve">in ruil voor deze dienst wel een </w:t>
      </w:r>
      <w:r w:rsidRPr="00167ADC">
        <w:rPr>
          <w:color w:val="2C307E"/>
        </w:rPr>
        <w:t>financiële compensatie en een garantie dat ze voldoende capaciteit behouden.</w:t>
      </w:r>
    </w:p>
    <w:p w14:paraId="606E6FF0" w14:textId="32670DAC" w:rsidR="003B2D4D" w:rsidRPr="007E17F8" w:rsidRDefault="007E17F8" w:rsidP="0067390E">
      <w:pPr>
        <w:pStyle w:val="Lijstalinea"/>
        <w:numPr>
          <w:ilvl w:val="0"/>
          <w:numId w:val="17"/>
        </w:numPr>
        <w:jc w:val="both"/>
        <w:rPr>
          <w:color w:val="2C307E"/>
        </w:rPr>
      </w:pPr>
      <w:r w:rsidRPr="0DD5FE5B">
        <w:rPr>
          <w:color w:val="2C307E"/>
        </w:rPr>
        <w:t>82% van de EV-rijders voorziet knelpunten bij het toepassen van bidirectioneel laden. Onzekerheid over de impact van bidirectioneel laden op de batterijcapaciteit wordt gezien als het meest kritische knelpunt. 45% van de EV-rijders geeft aan dit als knelpunt te zien.</w:t>
      </w:r>
    </w:p>
    <w:p w14:paraId="442781EA" w14:textId="77777777" w:rsidR="007E17F8" w:rsidRDefault="007E17F8">
      <w:pPr>
        <w:rPr>
          <w:rFonts w:asciiTheme="majorHAnsi" w:eastAsiaTheme="majorEastAsia" w:hAnsiTheme="majorHAnsi" w:cstheme="majorBidi"/>
          <w:color w:val="2F5496" w:themeColor="accent1" w:themeShade="BF"/>
          <w:sz w:val="32"/>
          <w:szCs w:val="32"/>
        </w:rPr>
      </w:pPr>
      <w:bookmarkStart w:id="7" w:name="_Toc143700611"/>
      <w:r>
        <w:br w:type="page"/>
      </w:r>
    </w:p>
    <w:p w14:paraId="4D58A437" w14:textId="10E88AF5" w:rsidR="00EF7D12" w:rsidRPr="00325C98" w:rsidRDefault="00EF7D12" w:rsidP="00964DC3">
      <w:pPr>
        <w:pStyle w:val="Kop1"/>
        <w:numPr>
          <w:ilvl w:val="0"/>
          <w:numId w:val="22"/>
        </w:numPr>
        <w:jc w:val="both"/>
      </w:pPr>
      <w:bookmarkStart w:id="8" w:name="_Toc209710035"/>
      <w:r w:rsidRPr="00325C98">
        <w:lastRenderedPageBreak/>
        <w:t>Inleiding</w:t>
      </w:r>
      <w:bookmarkEnd w:id="7"/>
      <w:bookmarkEnd w:id="8"/>
    </w:p>
    <w:p w14:paraId="1D173001" w14:textId="694864ED" w:rsidR="00EF7D12" w:rsidRPr="00325C98" w:rsidRDefault="00EF7D12" w:rsidP="00070889">
      <w:pPr>
        <w:spacing w:after="0" w:line="276" w:lineRule="auto"/>
        <w:jc w:val="both"/>
        <w:rPr>
          <w:rFonts w:cstheme="minorHAnsi"/>
          <w:color w:val="2C307E"/>
        </w:rPr>
      </w:pPr>
      <w:r w:rsidRPr="00325C98">
        <w:rPr>
          <w:rFonts w:cstheme="minorHAnsi"/>
          <w:color w:val="2C307E"/>
        </w:rPr>
        <w:t xml:space="preserve">Het Nationaal Laadonderzoek is een jaarlijkse, grootschalige enquête onder EV-rijders naar het laden van elektrische auto’s, laadgedrag, </w:t>
      </w:r>
      <w:r w:rsidR="000B7707">
        <w:rPr>
          <w:rFonts w:cstheme="minorHAnsi"/>
          <w:color w:val="2C307E"/>
        </w:rPr>
        <w:t xml:space="preserve">de adoptie van slim laden, en </w:t>
      </w:r>
      <w:r w:rsidRPr="00325C98">
        <w:rPr>
          <w:rFonts w:cstheme="minorHAnsi"/>
          <w:color w:val="2C307E"/>
        </w:rPr>
        <w:t xml:space="preserve">knelpunten bij het laden. Dit onderzoek vormt samen met het </w:t>
      </w:r>
      <w:hyperlink r:id="rId17" w:history="1">
        <w:r w:rsidRPr="00325C98">
          <w:rPr>
            <w:rStyle w:val="Hyperlink"/>
            <w:rFonts w:cstheme="minorHAnsi"/>
            <w:color w:val="0563C1"/>
          </w:rPr>
          <w:t>Nationaal EV en berijdersonderzoek</w:t>
        </w:r>
      </w:hyperlink>
      <w:r w:rsidRPr="00325C98">
        <w:rPr>
          <w:rFonts w:cstheme="minorHAnsi"/>
          <w:color w:val="0563C1"/>
        </w:rPr>
        <w:t xml:space="preserve"> </w:t>
      </w:r>
      <w:r w:rsidRPr="00325C98">
        <w:rPr>
          <w:rFonts w:cstheme="minorHAnsi"/>
          <w:color w:val="2C307E"/>
        </w:rPr>
        <w:t xml:space="preserve">een tweeluik, waarmee inzicht wordt geboden in de ervaringen van de EV-rijder. Dit onderzoek legt de focus op de laadervaring, terwijl het Nationaal EV en berijdersonderzoek zich volledig toespitst op het voertuig en zijn gebruiker. Beide onderzoeken worden jaarlijks uitgevoerd om trends en ontwikkelingen in de gaten te houden, nieuwe uitdagingen te signaleren en de effecten van veranderingen te kunnen evalueren. Dit is de </w:t>
      </w:r>
      <w:r w:rsidR="00660F4E">
        <w:rPr>
          <w:rFonts w:cstheme="minorHAnsi"/>
          <w:color w:val="2C307E"/>
        </w:rPr>
        <w:t>zesde</w:t>
      </w:r>
      <w:r w:rsidRPr="00325C98">
        <w:rPr>
          <w:rFonts w:cstheme="minorHAnsi"/>
          <w:color w:val="2C307E"/>
        </w:rPr>
        <w:t xml:space="preserve"> editie van het Nationaal Laadonderzoek. De resultaten van de eer</w:t>
      </w:r>
      <w:r w:rsidR="00486A9E">
        <w:rPr>
          <w:rFonts w:cstheme="minorHAnsi"/>
          <w:color w:val="2C307E"/>
        </w:rPr>
        <w:t>der</w:t>
      </w:r>
      <w:r w:rsidRPr="00325C98">
        <w:rPr>
          <w:rFonts w:cstheme="minorHAnsi"/>
          <w:color w:val="2C307E"/>
        </w:rPr>
        <w:t xml:space="preserve">e edities zijn </w:t>
      </w:r>
      <w:hyperlink r:id="rId18" w:history="1">
        <w:r w:rsidRPr="00325C98">
          <w:rPr>
            <w:rStyle w:val="Hyperlink"/>
            <w:rFonts w:cstheme="minorHAnsi"/>
            <w:color w:val="0563C1"/>
          </w:rPr>
          <w:t>hier</w:t>
        </w:r>
      </w:hyperlink>
      <w:r w:rsidRPr="00325C98">
        <w:rPr>
          <w:rFonts w:cstheme="minorHAnsi"/>
          <w:color w:val="2C307E"/>
        </w:rPr>
        <w:t xml:space="preserve"> te vinden.</w:t>
      </w:r>
    </w:p>
    <w:p w14:paraId="1D9953A8" w14:textId="77777777" w:rsidR="00EF7D12" w:rsidRPr="00325C98" w:rsidRDefault="00EF7D12" w:rsidP="00070889">
      <w:pPr>
        <w:spacing w:after="0" w:line="276" w:lineRule="auto"/>
        <w:jc w:val="both"/>
        <w:rPr>
          <w:rFonts w:cstheme="minorHAnsi"/>
          <w:color w:val="2C307E"/>
        </w:rPr>
      </w:pPr>
    </w:p>
    <w:p w14:paraId="1E2B1DD7" w14:textId="77777777" w:rsidR="00EF7D12" w:rsidRPr="00325C98" w:rsidRDefault="00EF7D12" w:rsidP="00070889">
      <w:pPr>
        <w:spacing w:after="0" w:line="276" w:lineRule="auto"/>
        <w:jc w:val="both"/>
        <w:rPr>
          <w:rFonts w:cstheme="minorHAnsi"/>
          <w:b/>
          <w:bCs/>
          <w:color w:val="2C307E"/>
        </w:rPr>
      </w:pPr>
      <w:r w:rsidRPr="00325C98">
        <w:rPr>
          <w:rFonts w:cstheme="minorHAnsi"/>
          <w:b/>
          <w:bCs/>
          <w:color w:val="2C307E"/>
        </w:rPr>
        <w:t>Aanleiding en doel van het onderzoek</w:t>
      </w:r>
    </w:p>
    <w:p w14:paraId="7724715B" w14:textId="36360E05" w:rsidR="00EF7D12" w:rsidRPr="00325C98" w:rsidRDefault="00EF7D12" w:rsidP="00070889">
      <w:pPr>
        <w:spacing w:after="0" w:line="276" w:lineRule="auto"/>
        <w:jc w:val="both"/>
        <w:rPr>
          <w:rFonts w:cstheme="minorHAnsi"/>
          <w:color w:val="2C307E"/>
        </w:rPr>
      </w:pPr>
      <w:r w:rsidRPr="00325C98">
        <w:rPr>
          <w:rFonts w:cstheme="minorHAnsi"/>
          <w:color w:val="2C307E"/>
        </w:rPr>
        <w:t xml:space="preserve">Nu elektrisch rijden steeds gangbaarder wordt, ontwikkelen de doelgroep en de bijbehorende behoeften zich razendsnel. De EV-rijder speelt binnen deze ontwikkeling een centrale rol en het is belangrijk dat de stem van de gebruiker gehoord wordt. Voor professionals en beleidsmakers in de wereld van de duurzame mobiliteit is het belangrijk te weten wie de EV-rijder is, waar zijn of haar behoeftes liggen, wat goed gaat en ook waar verbeteringen mogelijk zijn. Met dit onderzoek willen we een breed inzicht krijgen in hoe EV-rijders hun elektrische auto’s laden, hoe ze dit ervaren en welke knelpunten ze daarbij tegenkomen in binnen- en buitenland. Met de informatie die verkregen is van EV-rijders zelf, kan richting worden gegeven aan mogelijke oplossingen en beleid. Daarnaast biedt het onderzoek inzicht in de kennis van, ervaring met en mening van EV-rijders over (slim) laden. </w:t>
      </w:r>
    </w:p>
    <w:p w14:paraId="4C1DAF5D" w14:textId="77777777" w:rsidR="00EF7D12" w:rsidRPr="00325C98" w:rsidRDefault="00EF7D12" w:rsidP="00070889">
      <w:pPr>
        <w:spacing w:after="0" w:line="276" w:lineRule="auto"/>
        <w:jc w:val="both"/>
        <w:rPr>
          <w:rFonts w:cstheme="minorHAnsi"/>
          <w:color w:val="2C307E"/>
        </w:rPr>
      </w:pPr>
    </w:p>
    <w:p w14:paraId="5A550296" w14:textId="77777777" w:rsidR="00660F4E" w:rsidRDefault="00660F4E" w:rsidP="00070889">
      <w:pPr>
        <w:spacing w:after="0" w:line="276" w:lineRule="auto"/>
        <w:jc w:val="both"/>
        <w:rPr>
          <w:rFonts w:cstheme="minorHAnsi"/>
          <w:b/>
          <w:bCs/>
          <w:color w:val="2C307E"/>
        </w:rPr>
      </w:pPr>
    </w:p>
    <w:p w14:paraId="66097D3C" w14:textId="77777777" w:rsidR="00660F4E" w:rsidRDefault="00660F4E" w:rsidP="00070889">
      <w:pPr>
        <w:spacing w:after="0" w:line="276" w:lineRule="auto"/>
        <w:jc w:val="both"/>
        <w:rPr>
          <w:rFonts w:cstheme="minorHAnsi"/>
          <w:b/>
          <w:bCs/>
          <w:color w:val="2C307E"/>
        </w:rPr>
      </w:pPr>
    </w:p>
    <w:p w14:paraId="13A328E8" w14:textId="77777777" w:rsidR="00660F4E" w:rsidRDefault="00660F4E" w:rsidP="00070889">
      <w:pPr>
        <w:spacing w:after="0" w:line="276" w:lineRule="auto"/>
        <w:jc w:val="both"/>
        <w:rPr>
          <w:rFonts w:cstheme="minorHAnsi"/>
          <w:b/>
          <w:bCs/>
          <w:color w:val="2C307E"/>
        </w:rPr>
      </w:pPr>
    </w:p>
    <w:p w14:paraId="29DD4DA4" w14:textId="15164D60" w:rsidR="00EF7D12" w:rsidRPr="00325C98" w:rsidRDefault="00EF7D12" w:rsidP="00070889">
      <w:pPr>
        <w:spacing w:after="0" w:line="276" w:lineRule="auto"/>
        <w:jc w:val="both"/>
        <w:rPr>
          <w:rFonts w:cstheme="minorHAnsi"/>
          <w:b/>
          <w:bCs/>
          <w:color w:val="2C307E"/>
        </w:rPr>
      </w:pPr>
      <w:r w:rsidRPr="00325C98">
        <w:rPr>
          <w:rFonts w:cstheme="minorHAnsi"/>
          <w:b/>
          <w:bCs/>
          <w:color w:val="2C307E"/>
        </w:rPr>
        <w:t xml:space="preserve">Beoordeling en beleving per NAL-regio </w:t>
      </w:r>
    </w:p>
    <w:p w14:paraId="29F851AA" w14:textId="77777777" w:rsidR="00EF7D12" w:rsidRPr="00325C98" w:rsidRDefault="00EF7D12" w:rsidP="00070889">
      <w:pPr>
        <w:spacing w:after="0" w:line="276" w:lineRule="auto"/>
        <w:jc w:val="both"/>
        <w:rPr>
          <w:rFonts w:cstheme="minorHAnsi"/>
          <w:color w:val="2C307E"/>
        </w:rPr>
      </w:pPr>
      <w:r w:rsidRPr="00325C98">
        <w:rPr>
          <w:rFonts w:cstheme="minorHAnsi"/>
          <w:color w:val="2C307E"/>
        </w:rPr>
        <w:t xml:space="preserve">De Nationale Agenda Laadinfrastructuur (NAL) is opgesteld om het toenemend aantal elektrische voertuigen van stroom te kunnen voorzien. De NAL is een meerjarige beleidsagenda met ambities en acties, die ervoor moeten zorgen dat we straks altijd en overal makkelijk en slim kunnen laden. Een groot aantal van de afspraken en acties wordt lokaal en regionaal uitgevoerd. Om dit te faciliteren zijn er zes zogenaamde NAL-regio’s in het leven geroepen, die hun onderliggende gemeenten ondersteunen en begeleiden bij het realiseren van een dekkend en toekomstbestendig laadnetwerk. </w:t>
      </w:r>
    </w:p>
    <w:p w14:paraId="3D221941" w14:textId="77777777" w:rsidR="00660F4E" w:rsidRDefault="00660F4E" w:rsidP="00070889">
      <w:pPr>
        <w:spacing w:after="0" w:line="276" w:lineRule="auto"/>
        <w:jc w:val="both"/>
        <w:rPr>
          <w:rFonts w:cstheme="minorHAnsi"/>
          <w:color w:val="2C307E"/>
        </w:rPr>
      </w:pPr>
    </w:p>
    <w:p w14:paraId="5C1E622C" w14:textId="6D0AD3E7" w:rsidR="00EF7D12" w:rsidRPr="00325C98" w:rsidRDefault="00EF7D12" w:rsidP="00070889">
      <w:pPr>
        <w:spacing w:after="0" w:line="276" w:lineRule="auto"/>
        <w:jc w:val="both"/>
        <w:rPr>
          <w:rFonts w:cstheme="minorHAnsi"/>
          <w:color w:val="2C307E"/>
        </w:rPr>
      </w:pPr>
      <w:r w:rsidRPr="00325C98">
        <w:rPr>
          <w:rFonts w:cstheme="minorHAnsi"/>
          <w:color w:val="2C307E"/>
        </w:rPr>
        <w:t xml:space="preserve">Voor een aantal indicatoren is informatie per NAL-regio </w:t>
      </w:r>
      <w:r w:rsidR="00660F4E">
        <w:rPr>
          <w:rFonts w:cstheme="minorHAnsi"/>
          <w:color w:val="2C307E"/>
        </w:rPr>
        <w:t>gepresenteerd</w:t>
      </w:r>
      <w:r w:rsidRPr="00325C98">
        <w:rPr>
          <w:rFonts w:cstheme="minorHAnsi"/>
          <w:color w:val="2C307E"/>
        </w:rPr>
        <w:t xml:space="preserve">, </w:t>
      </w:r>
      <w:r w:rsidR="00660F4E">
        <w:rPr>
          <w:rFonts w:cstheme="minorHAnsi"/>
          <w:color w:val="2C307E"/>
        </w:rPr>
        <w:t>onder andere</w:t>
      </w:r>
      <w:r w:rsidRPr="00325C98">
        <w:rPr>
          <w:rFonts w:cstheme="minorHAnsi"/>
          <w:color w:val="2C307E"/>
        </w:rPr>
        <w:t xml:space="preserve">: de laadmix, onderweg bijladen per maand, rapportcijfers en </w:t>
      </w:r>
      <w:r w:rsidR="00070889" w:rsidRPr="00325C98">
        <w:rPr>
          <w:rFonts w:cstheme="minorHAnsi"/>
          <w:color w:val="2C307E"/>
        </w:rPr>
        <w:t>inzichten in slim laden</w:t>
      </w:r>
      <w:r w:rsidRPr="00325C98">
        <w:rPr>
          <w:rFonts w:cstheme="minorHAnsi"/>
          <w:color w:val="2C307E"/>
        </w:rPr>
        <w:t>.</w:t>
      </w:r>
    </w:p>
    <w:p w14:paraId="342BEFD8" w14:textId="77777777" w:rsidR="00EF7D12" w:rsidRPr="006A5148" w:rsidRDefault="00EF7D12" w:rsidP="00EF7D12">
      <w:pPr>
        <w:spacing w:after="0" w:line="240" w:lineRule="auto"/>
        <w:jc w:val="both"/>
        <w:rPr>
          <w:rFonts w:cstheme="minorHAnsi"/>
          <w:color w:val="2C307E"/>
          <w:highlight w:val="yellow"/>
        </w:rPr>
      </w:pPr>
      <w:r w:rsidRPr="00325C98">
        <w:rPr>
          <w:noProof/>
        </w:rPr>
        <w:drawing>
          <wp:inline distT="0" distB="0" distL="0" distR="0" wp14:anchorId="2B9B621B" wp14:editId="20185C8E">
            <wp:extent cx="2711344" cy="3467819"/>
            <wp:effectExtent l="0" t="0" r="0" b="0"/>
            <wp:docPr id="264" name="Afbeelding 264" descr="P208#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Afbeelding 264" descr="P208#yIS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734571" cy="3497526"/>
                    </a:xfrm>
                    <a:prstGeom prst="rect">
                      <a:avLst/>
                    </a:prstGeom>
                  </pic:spPr>
                </pic:pic>
              </a:graphicData>
            </a:graphic>
          </wp:inline>
        </w:drawing>
      </w:r>
    </w:p>
    <w:p w14:paraId="646F0DE9" w14:textId="77777777" w:rsidR="00EF7D12" w:rsidRPr="006A5148" w:rsidRDefault="00EF7D12" w:rsidP="00B826F0">
      <w:pPr>
        <w:jc w:val="both"/>
        <w:rPr>
          <w:rFonts w:cstheme="minorHAnsi"/>
          <w:b/>
          <w:bCs/>
          <w:color w:val="2C307E"/>
          <w:highlight w:val="yellow"/>
        </w:rPr>
      </w:pPr>
      <w:r w:rsidRPr="006A5148">
        <w:rPr>
          <w:rFonts w:cstheme="minorHAnsi"/>
          <w:b/>
          <w:bCs/>
          <w:color w:val="2C307E"/>
          <w:highlight w:val="yellow"/>
        </w:rPr>
        <w:br w:type="page"/>
      </w:r>
    </w:p>
    <w:p w14:paraId="13757D7D" w14:textId="77777777" w:rsidR="00EF7D12" w:rsidRPr="00D4068F" w:rsidRDefault="00EF7D12" w:rsidP="00070889">
      <w:pPr>
        <w:spacing w:after="0" w:line="276" w:lineRule="auto"/>
        <w:jc w:val="both"/>
        <w:rPr>
          <w:rFonts w:cstheme="minorHAnsi"/>
          <w:b/>
          <w:bCs/>
          <w:color w:val="2C307E"/>
        </w:rPr>
      </w:pPr>
      <w:r w:rsidRPr="00D4068F">
        <w:rPr>
          <w:rFonts w:cstheme="minorHAnsi"/>
          <w:b/>
          <w:bCs/>
          <w:color w:val="2C307E"/>
        </w:rPr>
        <w:lastRenderedPageBreak/>
        <w:t>Initiatiefnemers</w:t>
      </w:r>
    </w:p>
    <w:p w14:paraId="1D5BCFB9" w14:textId="77777777" w:rsidR="00EF7D12" w:rsidRPr="00D4068F" w:rsidRDefault="00EF7D12" w:rsidP="00070889">
      <w:pPr>
        <w:spacing w:after="0" w:line="276" w:lineRule="auto"/>
        <w:jc w:val="both"/>
        <w:rPr>
          <w:rFonts w:cstheme="minorHAnsi"/>
          <w:color w:val="2C307E"/>
        </w:rPr>
      </w:pPr>
      <w:r w:rsidRPr="00D4068F">
        <w:rPr>
          <w:rFonts w:cstheme="minorHAnsi"/>
          <w:color w:val="2C307E"/>
        </w:rPr>
        <w:t>De initiatiefnemers van het Nationaal Laadonderzoek zijn ElaadNL, Rijksdienst voor Ondernemend Nederland (RVO) en de Vereniging Elektrische Rijders (VER). De Rijksuniversiteit Groningen is partner van het onderzoek.</w:t>
      </w:r>
    </w:p>
    <w:p w14:paraId="663C9F3B" w14:textId="77777777" w:rsidR="00EF7D12" w:rsidRPr="00D4068F" w:rsidRDefault="00EF7D12" w:rsidP="00070889">
      <w:pPr>
        <w:spacing w:after="0" w:line="276" w:lineRule="auto"/>
        <w:jc w:val="both"/>
        <w:rPr>
          <w:rFonts w:cstheme="minorHAnsi"/>
          <w:color w:val="2C307E"/>
        </w:rPr>
      </w:pPr>
    </w:p>
    <w:p w14:paraId="3EB58F06" w14:textId="1FBCB228" w:rsidR="00EF7D12" w:rsidRPr="00D4068F" w:rsidRDefault="00EF7D12" w:rsidP="00070889">
      <w:pPr>
        <w:spacing w:after="0" w:line="276" w:lineRule="auto"/>
        <w:jc w:val="both"/>
        <w:rPr>
          <w:rFonts w:cstheme="minorHAnsi"/>
          <w:color w:val="2C307E"/>
        </w:rPr>
      </w:pPr>
      <w:r w:rsidRPr="00D4068F">
        <w:rPr>
          <w:rFonts w:cstheme="minorHAnsi"/>
          <w:color w:val="2C307E"/>
          <w:u w:val="single"/>
        </w:rPr>
        <w:t xml:space="preserve">ElaadNL </w:t>
      </w:r>
      <w:r w:rsidRPr="00D4068F">
        <w:rPr>
          <w:rFonts w:cstheme="minorHAnsi"/>
          <w:color w:val="2C307E"/>
        </w:rPr>
        <w:t>(</w:t>
      </w:r>
      <w:hyperlink r:id="rId20" w:history="1">
        <w:r w:rsidRPr="00D4068F">
          <w:rPr>
            <w:rStyle w:val="Hyperlink"/>
            <w:rFonts w:cstheme="minorHAnsi"/>
            <w:color w:val="2C307E"/>
          </w:rPr>
          <w:t>www.elaad.nl</w:t>
        </w:r>
      </w:hyperlink>
      <w:r w:rsidRPr="00D4068F">
        <w:rPr>
          <w:rFonts w:cstheme="minorHAnsi"/>
          <w:color w:val="2C307E"/>
        </w:rPr>
        <w:t>)</w:t>
      </w:r>
    </w:p>
    <w:p w14:paraId="563CA4EE" w14:textId="77777777" w:rsidR="00EF7D12" w:rsidRPr="00D4068F" w:rsidRDefault="00EF7D12" w:rsidP="00070889">
      <w:pPr>
        <w:spacing w:after="0" w:line="276" w:lineRule="auto"/>
        <w:jc w:val="both"/>
        <w:rPr>
          <w:rFonts w:cstheme="minorHAnsi"/>
          <w:color w:val="2C307E"/>
        </w:rPr>
      </w:pPr>
      <w:r w:rsidRPr="00D4068F">
        <w:rPr>
          <w:rFonts w:cstheme="minorHAnsi"/>
          <w:color w:val="2C307E"/>
        </w:rPr>
        <w:t>Kennis- en innovatiecentrum ElaadNL onderzoekt en test het slim en duurzaam opladen van elektrische voertuigen. ElaadNL is een initiatief van de gezamenlijke Nederlandse Netbeheerders. Door hun onderlinge betrokkenheid bij ElaadNL bereiden de netbeheerders zich voor op een toekomst met elektrisch rijden en duurzaam opladen.</w:t>
      </w:r>
    </w:p>
    <w:p w14:paraId="6F9030CD" w14:textId="77777777" w:rsidR="00EF7D12" w:rsidRPr="00D4068F" w:rsidRDefault="00EF7D12" w:rsidP="00070889">
      <w:pPr>
        <w:spacing w:after="0" w:line="276" w:lineRule="auto"/>
        <w:jc w:val="both"/>
        <w:rPr>
          <w:rFonts w:cstheme="minorHAnsi"/>
          <w:color w:val="2C307E"/>
        </w:rPr>
      </w:pPr>
    </w:p>
    <w:p w14:paraId="09AD095C" w14:textId="77777777" w:rsidR="00EF7D12" w:rsidRPr="00D4068F" w:rsidRDefault="00EF7D12" w:rsidP="00070889">
      <w:pPr>
        <w:spacing w:after="0" w:line="276" w:lineRule="auto"/>
        <w:jc w:val="both"/>
        <w:rPr>
          <w:rFonts w:cstheme="minorHAnsi"/>
          <w:color w:val="2C307E"/>
        </w:rPr>
      </w:pPr>
      <w:r w:rsidRPr="00D4068F">
        <w:rPr>
          <w:rFonts w:cstheme="minorHAnsi"/>
          <w:color w:val="2C307E"/>
          <w:u w:val="single"/>
        </w:rPr>
        <w:t>RVO</w:t>
      </w:r>
      <w:r w:rsidRPr="00D4068F">
        <w:rPr>
          <w:rFonts w:cstheme="minorHAnsi"/>
          <w:color w:val="2C307E"/>
        </w:rPr>
        <w:t xml:space="preserve"> (</w:t>
      </w:r>
      <w:hyperlink r:id="rId21">
        <w:r w:rsidRPr="00D4068F">
          <w:rPr>
            <w:rStyle w:val="Hyperlink"/>
            <w:rFonts w:cstheme="minorHAnsi"/>
            <w:color w:val="2C307E"/>
          </w:rPr>
          <w:t>www.rvo.nl/elektrischrijden</w:t>
        </w:r>
      </w:hyperlink>
      <w:r w:rsidRPr="00D4068F">
        <w:rPr>
          <w:rFonts w:cstheme="minorHAnsi"/>
          <w:color w:val="2C307E"/>
        </w:rPr>
        <w:t>)</w:t>
      </w:r>
    </w:p>
    <w:p w14:paraId="4E4CBCA7" w14:textId="1494E47D" w:rsidR="00EF7D12" w:rsidRPr="00D4068F" w:rsidRDefault="00EF7D12" w:rsidP="00070889">
      <w:pPr>
        <w:spacing w:after="0" w:line="276" w:lineRule="auto"/>
        <w:jc w:val="both"/>
        <w:rPr>
          <w:rFonts w:cstheme="minorHAnsi"/>
          <w:color w:val="2C307E"/>
        </w:rPr>
      </w:pPr>
      <w:r w:rsidRPr="00D4068F">
        <w:rPr>
          <w:rFonts w:cstheme="minorHAnsi"/>
          <w:color w:val="2C307E"/>
        </w:rPr>
        <w:t>De Rijksdienst Voor Ondernemend Nederland helpt ondernemende Nederlanders en beleidsmedewerkers vooruit op het gebied van duurzaamheid, internationaal zakendoen, agrarisch ondernemen en innovatie. Samen met haar partners werkt RVO aan het verduurzamen van mobiliteit. RVO stimuleert de overstap naar elektrisch rijden door financiële ondersteuning, het opzetten van samenwerkingsverbanden en kennisdeling.</w:t>
      </w:r>
    </w:p>
    <w:p w14:paraId="70EE2F47" w14:textId="77777777" w:rsidR="00EF7D12" w:rsidRPr="00D4068F" w:rsidRDefault="00EF7D12" w:rsidP="00070889">
      <w:pPr>
        <w:spacing w:after="0" w:line="276" w:lineRule="auto"/>
        <w:jc w:val="both"/>
        <w:rPr>
          <w:rFonts w:cstheme="minorHAnsi"/>
          <w:color w:val="2C307E"/>
        </w:rPr>
      </w:pPr>
    </w:p>
    <w:p w14:paraId="7C98A41C" w14:textId="77777777" w:rsidR="00EF7D12" w:rsidRPr="00D4068F" w:rsidRDefault="00EF7D12" w:rsidP="00070889">
      <w:pPr>
        <w:spacing w:after="0" w:line="276" w:lineRule="auto"/>
        <w:jc w:val="both"/>
        <w:rPr>
          <w:rFonts w:cstheme="minorHAnsi"/>
          <w:color w:val="2C307E"/>
        </w:rPr>
      </w:pPr>
      <w:r w:rsidRPr="00D4068F">
        <w:rPr>
          <w:rFonts w:cstheme="minorHAnsi"/>
          <w:color w:val="2C307E"/>
          <w:u w:val="single"/>
        </w:rPr>
        <w:t>VER</w:t>
      </w:r>
      <w:r w:rsidRPr="00D4068F">
        <w:rPr>
          <w:rFonts w:cstheme="minorHAnsi"/>
          <w:color w:val="2C307E"/>
        </w:rPr>
        <w:t xml:space="preserve"> (</w:t>
      </w:r>
      <w:hyperlink r:id="rId22" w:history="1">
        <w:r w:rsidRPr="00D4068F">
          <w:rPr>
            <w:rStyle w:val="Hyperlink"/>
            <w:rFonts w:cstheme="minorHAnsi"/>
            <w:color w:val="2C307E"/>
          </w:rPr>
          <w:t>www.evrijders.nl</w:t>
        </w:r>
      </w:hyperlink>
      <w:r w:rsidRPr="00D4068F">
        <w:rPr>
          <w:rFonts w:cstheme="minorHAnsi"/>
          <w:color w:val="2C307E"/>
        </w:rPr>
        <w:t>)</w:t>
      </w:r>
    </w:p>
    <w:p w14:paraId="06DCC6FA" w14:textId="77777777" w:rsidR="00EF7D12" w:rsidRPr="00D4068F" w:rsidRDefault="00EF7D12" w:rsidP="00070889">
      <w:pPr>
        <w:spacing w:after="0" w:line="276" w:lineRule="auto"/>
        <w:jc w:val="both"/>
        <w:rPr>
          <w:rFonts w:cstheme="minorHAnsi"/>
          <w:color w:val="2C307E"/>
        </w:rPr>
      </w:pPr>
      <w:r w:rsidRPr="00D4068F">
        <w:rPr>
          <w:rFonts w:cstheme="minorHAnsi"/>
          <w:color w:val="2C307E"/>
        </w:rPr>
        <w:t xml:space="preserve">De Vereniging Elektrische Rijders is sinds 2015 dé stem van de EV-rijder in Nederland. De vereniging heeft als missie om elektrisch rijden te versnellen, bijvoorbeeld door EV-diensten en faciliteiten toegankelijker te maken voor een breed publiek. De VER ziet de EV als een elementair onderdeel van de transitie naar een volledig duurzaam mobiliteitssysteem. Een transitie die hard nodig is om Nederland klimaatbestendig te maken en leefbaar te houden. De VER biedt uitgebreide informatie over elektrisch rijden, vormt een platform voor evenementen, bijeenkomsten en (online) ontmoetingen voor leden en behartigt de </w:t>
      </w:r>
      <w:r w:rsidRPr="00D4068F">
        <w:rPr>
          <w:rFonts w:cstheme="minorHAnsi"/>
          <w:color w:val="2C307E"/>
        </w:rPr>
        <w:t>belangen van EV-rijders richting politici en beleidsmakers op internationaal, nationaal, regionaal en lokaal niveau.</w:t>
      </w:r>
    </w:p>
    <w:p w14:paraId="5ECA2196" w14:textId="77777777" w:rsidR="00EF7D12" w:rsidRPr="00D4068F" w:rsidRDefault="00EF7D12" w:rsidP="00070889">
      <w:pPr>
        <w:spacing w:after="0" w:line="276" w:lineRule="auto"/>
        <w:jc w:val="both"/>
        <w:rPr>
          <w:rFonts w:cstheme="minorHAnsi"/>
          <w:color w:val="2C307E"/>
        </w:rPr>
      </w:pPr>
    </w:p>
    <w:p w14:paraId="7D4106FC" w14:textId="1B6FA8E2" w:rsidR="00EF7D12" w:rsidRPr="00D4068F" w:rsidRDefault="00EF7D12" w:rsidP="00070889">
      <w:pPr>
        <w:spacing w:after="0" w:line="276" w:lineRule="auto"/>
        <w:jc w:val="both"/>
        <w:rPr>
          <w:rFonts w:cstheme="minorHAnsi"/>
          <w:color w:val="2C307E"/>
          <w:u w:val="single"/>
        </w:rPr>
      </w:pPr>
      <w:r w:rsidRPr="00D4068F">
        <w:rPr>
          <w:rFonts w:cstheme="minorHAnsi"/>
          <w:color w:val="2C307E"/>
          <w:u w:val="single"/>
        </w:rPr>
        <w:t>RUG</w:t>
      </w:r>
      <w:r w:rsidRPr="00D4068F">
        <w:rPr>
          <w:rFonts w:cstheme="minorHAnsi"/>
          <w:color w:val="2C307E"/>
        </w:rPr>
        <w:t xml:space="preserve"> (</w:t>
      </w:r>
      <w:hyperlink r:id="rId23" w:history="1">
        <w:r w:rsidRPr="00D4068F">
          <w:rPr>
            <w:rStyle w:val="Hyperlink"/>
            <w:rFonts w:cstheme="minorHAnsi"/>
            <w:color w:val="2C307E"/>
          </w:rPr>
          <w:t>www.rug.nl</w:t>
        </w:r>
      </w:hyperlink>
      <w:r w:rsidRPr="00D4068F">
        <w:rPr>
          <w:rFonts w:cstheme="minorHAnsi"/>
          <w:color w:val="2C307E"/>
        </w:rPr>
        <w:t xml:space="preserve">) en </w:t>
      </w:r>
      <w:r w:rsidRPr="00D4068F">
        <w:rPr>
          <w:rFonts w:cstheme="minorHAnsi"/>
          <w:color w:val="2C307E"/>
          <w:u w:val="single"/>
        </w:rPr>
        <w:t>Ministerie van Infrastructuur en Waterstaat</w:t>
      </w:r>
    </w:p>
    <w:p w14:paraId="42B5EE3A" w14:textId="77777777" w:rsidR="00EF7D12" w:rsidRPr="00D4068F" w:rsidRDefault="00EF7D12" w:rsidP="00070889">
      <w:pPr>
        <w:spacing w:after="0" w:line="276" w:lineRule="auto"/>
        <w:jc w:val="both"/>
        <w:rPr>
          <w:rFonts w:cstheme="minorHAnsi"/>
          <w:color w:val="2C307E"/>
        </w:rPr>
      </w:pPr>
      <w:r w:rsidRPr="00D4068F">
        <w:rPr>
          <w:rFonts w:cstheme="minorHAnsi"/>
          <w:color w:val="2C307E"/>
        </w:rPr>
        <w:t>De Rijksuniversiteit Groningen is partner in dit onderzoek en heeft onder andere meegewerkt aan de opzet en analyse van de enquête. Ook het Ministerie van Infrastructuur en Waterstaat (I&amp;W) steunt dit onderzoek.</w:t>
      </w:r>
    </w:p>
    <w:p w14:paraId="58810A80" w14:textId="77777777" w:rsidR="00EF7D12" w:rsidRPr="00D4068F" w:rsidRDefault="00EF7D12" w:rsidP="00070889">
      <w:pPr>
        <w:spacing w:after="0" w:line="276" w:lineRule="auto"/>
        <w:jc w:val="both"/>
        <w:rPr>
          <w:rFonts w:cstheme="minorHAnsi"/>
          <w:color w:val="2C307E"/>
        </w:rPr>
      </w:pPr>
    </w:p>
    <w:p w14:paraId="5B9836EA" w14:textId="2CD6CA3E" w:rsidR="00D82EEE" w:rsidRPr="00D4068F" w:rsidRDefault="00D82EEE" w:rsidP="00D82EEE">
      <w:pPr>
        <w:spacing w:after="0" w:line="276" w:lineRule="auto"/>
        <w:jc w:val="both"/>
        <w:rPr>
          <w:rFonts w:cstheme="minorHAnsi"/>
          <w:color w:val="2C307E"/>
          <w:u w:val="single"/>
          <w:lang w:val="en-US"/>
        </w:rPr>
      </w:pPr>
      <w:r w:rsidRPr="00D4068F">
        <w:rPr>
          <w:rFonts w:cstheme="minorHAnsi"/>
          <w:color w:val="2C307E"/>
          <w:u w:val="single"/>
          <w:lang w:val="en-US"/>
        </w:rPr>
        <w:t>NAL</w:t>
      </w:r>
      <w:r w:rsidR="00A218C7" w:rsidRPr="00D4068F">
        <w:rPr>
          <w:rFonts w:cstheme="minorHAnsi"/>
          <w:color w:val="2C307E"/>
          <w:u w:val="single"/>
          <w:lang w:val="en-US"/>
        </w:rPr>
        <w:t xml:space="preserve"> </w:t>
      </w:r>
      <w:r w:rsidR="00A218C7" w:rsidRPr="00D4068F">
        <w:rPr>
          <w:rFonts w:cstheme="minorHAnsi"/>
          <w:color w:val="2C307E"/>
          <w:lang w:val="en-US"/>
        </w:rPr>
        <w:t>(</w:t>
      </w:r>
      <w:hyperlink r:id="rId24" w:history="1">
        <w:r w:rsidR="00A218C7" w:rsidRPr="00D4068F">
          <w:rPr>
            <w:rStyle w:val="Hyperlink"/>
            <w:rFonts w:cstheme="minorHAnsi"/>
            <w:lang w:val="en-US"/>
          </w:rPr>
          <w:t>https://www.agendalaadinfrastructuur.nl/</w:t>
        </w:r>
      </w:hyperlink>
      <w:r w:rsidR="00A218C7" w:rsidRPr="00D4068F">
        <w:rPr>
          <w:rFonts w:cstheme="minorHAnsi"/>
          <w:color w:val="2C307E"/>
          <w:lang w:val="en-US"/>
        </w:rPr>
        <w:t>)</w:t>
      </w:r>
    </w:p>
    <w:p w14:paraId="797F8506" w14:textId="4819C483" w:rsidR="00D82EEE" w:rsidRPr="00D4068F" w:rsidRDefault="00D82EEE" w:rsidP="00D82EEE">
      <w:pPr>
        <w:spacing w:after="0" w:line="276" w:lineRule="auto"/>
        <w:jc w:val="both"/>
        <w:rPr>
          <w:rFonts w:cstheme="minorHAnsi"/>
          <w:color w:val="2C307E"/>
        </w:rPr>
      </w:pPr>
      <w:r w:rsidRPr="00D4068F">
        <w:rPr>
          <w:rFonts w:cstheme="minorHAnsi"/>
          <w:color w:val="2C307E"/>
        </w:rPr>
        <w:t xml:space="preserve">De Nationale Agenda Laadinfrastructuur (NAL) zorgt ervoor dat de ontwikkeling van laadinfrastructuur in Nederland aansluit bij de uitrol van alle soorten elektrisch vervoer. </w:t>
      </w:r>
      <w:r w:rsidR="00DD0A16">
        <w:rPr>
          <w:rFonts w:cstheme="minorHAnsi"/>
          <w:color w:val="2C307E"/>
        </w:rPr>
        <w:t>Het doel: a</w:t>
      </w:r>
      <w:r w:rsidRPr="00D4068F">
        <w:rPr>
          <w:rFonts w:cstheme="minorHAnsi"/>
          <w:color w:val="2C307E"/>
        </w:rPr>
        <w:t>lle elektrische rijders kunnen altijd, overal, veilig en slim hun voertuig laden. Niet alleen op de eigen oprit, maar ook in de openbare ruimte, op bedrijventerreinen en bij tankstations. Zonder file op het elektriciteitsnet.</w:t>
      </w:r>
    </w:p>
    <w:p w14:paraId="32D41839" w14:textId="77777777" w:rsidR="00D82EEE" w:rsidRPr="00D4068F" w:rsidRDefault="00D82EEE" w:rsidP="00070889">
      <w:pPr>
        <w:spacing w:after="0" w:line="276" w:lineRule="auto"/>
        <w:jc w:val="both"/>
        <w:rPr>
          <w:rFonts w:cstheme="minorHAnsi"/>
          <w:color w:val="2C307E"/>
        </w:rPr>
      </w:pPr>
    </w:p>
    <w:p w14:paraId="697CABC3" w14:textId="77777777" w:rsidR="00EF7D12" w:rsidRPr="00D4068F" w:rsidRDefault="00EF7D12" w:rsidP="00070889">
      <w:pPr>
        <w:spacing w:after="0" w:line="276" w:lineRule="auto"/>
        <w:jc w:val="both"/>
        <w:rPr>
          <w:rFonts w:cstheme="minorHAnsi"/>
          <w:b/>
          <w:bCs/>
          <w:color w:val="2C307E"/>
        </w:rPr>
      </w:pPr>
      <w:r w:rsidRPr="00D4068F">
        <w:rPr>
          <w:rFonts w:cstheme="minorHAnsi"/>
          <w:b/>
          <w:bCs/>
          <w:color w:val="2C307E"/>
        </w:rPr>
        <w:t>Bedankt!</w:t>
      </w:r>
    </w:p>
    <w:p w14:paraId="1C50DD23" w14:textId="2FDFF6FB" w:rsidR="00CD7F16" w:rsidRPr="006A5148" w:rsidRDefault="00EF7D12" w:rsidP="00070889">
      <w:pPr>
        <w:spacing w:line="276" w:lineRule="auto"/>
        <w:jc w:val="both"/>
        <w:rPr>
          <w:rFonts w:asciiTheme="majorHAnsi" w:eastAsiaTheme="majorEastAsia" w:hAnsiTheme="majorHAnsi" w:cstheme="majorBidi"/>
          <w:color w:val="2F5496" w:themeColor="accent1" w:themeShade="BF"/>
          <w:sz w:val="32"/>
          <w:szCs w:val="32"/>
          <w:highlight w:val="yellow"/>
        </w:rPr>
      </w:pPr>
      <w:r w:rsidRPr="00D4068F">
        <w:rPr>
          <w:rFonts w:cstheme="minorHAnsi"/>
          <w:color w:val="2C307E"/>
        </w:rPr>
        <w:t>Voordat we de inhoud in duiken</w:t>
      </w:r>
      <w:r w:rsidR="00660F4E">
        <w:rPr>
          <w:rFonts w:cstheme="minorHAnsi"/>
          <w:color w:val="2C307E"/>
        </w:rPr>
        <w:t>,</w:t>
      </w:r>
      <w:r w:rsidRPr="00D4068F">
        <w:rPr>
          <w:rFonts w:cstheme="minorHAnsi"/>
          <w:color w:val="2C307E"/>
        </w:rPr>
        <w:t xml:space="preserve"> willen we tot slot alle respondenten bedanken: dit onderzoek was alleen mogelijk dankzij hun betrokkenheid en medewerking. We nemen alle reeds ontvangen verbeterpunten mee bij de ontwikkeling van de volgende editie. Eventueel aanvullende feedback op het onderzoek of dit rapport is welkom en kan verzonden worden naar </w:t>
      </w:r>
      <w:hyperlink r:id="rId25" w:history="1">
        <w:r w:rsidRPr="00D4068F">
          <w:rPr>
            <w:rStyle w:val="Hyperlink"/>
            <w:rFonts w:cstheme="minorHAnsi"/>
            <w:color w:val="2C307E"/>
          </w:rPr>
          <w:t>info@evrijders.nl</w:t>
        </w:r>
      </w:hyperlink>
      <w:r w:rsidRPr="00D4068F">
        <w:rPr>
          <w:rFonts w:cstheme="minorHAnsi"/>
          <w:color w:val="2C307E"/>
        </w:rPr>
        <w:t>. We doen ook volgend jaar een beroep op de EV-rijder!</w:t>
      </w:r>
      <w:r w:rsidR="00CD7F16" w:rsidRPr="006A5148">
        <w:rPr>
          <w:highlight w:val="yellow"/>
        </w:rPr>
        <w:br w:type="page"/>
      </w:r>
    </w:p>
    <w:p w14:paraId="64ADB4E9" w14:textId="1D107B24" w:rsidR="0094579C" w:rsidRPr="00933ED4" w:rsidRDefault="0094579C" w:rsidP="00964DC3">
      <w:pPr>
        <w:pStyle w:val="Kop1"/>
        <w:numPr>
          <w:ilvl w:val="0"/>
          <w:numId w:val="22"/>
        </w:numPr>
      </w:pPr>
      <w:bookmarkStart w:id="9" w:name="_Toc209710036"/>
      <w:r w:rsidRPr="00933ED4">
        <w:lastRenderedPageBreak/>
        <w:t>Onderzoeksopzet</w:t>
      </w:r>
      <w:bookmarkEnd w:id="2"/>
      <w:bookmarkEnd w:id="9"/>
    </w:p>
    <w:p w14:paraId="296A8820" w14:textId="77777777" w:rsidR="0094579C" w:rsidRPr="00933ED4" w:rsidRDefault="0094579C" w:rsidP="00070889">
      <w:pPr>
        <w:spacing w:after="0" w:line="276" w:lineRule="auto"/>
        <w:jc w:val="both"/>
        <w:rPr>
          <w:rFonts w:cstheme="minorHAnsi"/>
          <w:b/>
          <w:bCs/>
          <w:color w:val="2C307E"/>
        </w:rPr>
      </w:pPr>
      <w:r w:rsidRPr="00933ED4">
        <w:rPr>
          <w:rFonts w:cstheme="minorHAnsi"/>
          <w:b/>
          <w:bCs/>
          <w:color w:val="2C307E"/>
        </w:rPr>
        <w:t>Ontwikkeling enquête en analyse</w:t>
      </w:r>
    </w:p>
    <w:p w14:paraId="76F4FABB" w14:textId="42E7B3B4" w:rsidR="0094579C" w:rsidRPr="00933ED4" w:rsidRDefault="0094579C" w:rsidP="00070889">
      <w:pPr>
        <w:spacing w:after="0" w:line="276" w:lineRule="auto"/>
        <w:jc w:val="both"/>
        <w:rPr>
          <w:color w:val="2C307E"/>
        </w:rPr>
      </w:pPr>
      <w:r w:rsidRPr="00933ED4">
        <w:rPr>
          <w:color w:val="2C307E"/>
        </w:rPr>
        <w:t>De enquête kwam tot stand door actieve inbreng van de experts van ElaadNL, RVO en</w:t>
      </w:r>
      <w:r w:rsidR="00E66BCF">
        <w:rPr>
          <w:color w:val="2C307E"/>
        </w:rPr>
        <w:t xml:space="preserve"> de </w:t>
      </w:r>
      <w:r w:rsidRPr="00933ED4">
        <w:rPr>
          <w:color w:val="2C307E"/>
        </w:rPr>
        <w:t>VER. De RUG zette haar expertise in met betrekking tot de verzameling van data</w:t>
      </w:r>
      <w:r w:rsidR="00ED0858" w:rsidRPr="00933ED4">
        <w:rPr>
          <w:color w:val="2C307E"/>
        </w:rPr>
        <w:t xml:space="preserve">. </w:t>
      </w:r>
      <w:r w:rsidRPr="00933ED4">
        <w:rPr>
          <w:color w:val="2C307E"/>
        </w:rPr>
        <w:t xml:space="preserve">Tevens bewaakte zij dat het onderzoek methodologisch verantwoord werd uitgevoerd. </w:t>
      </w:r>
      <w:r w:rsidRPr="00660F4E">
        <w:rPr>
          <w:color w:val="2C307E"/>
        </w:rPr>
        <w:t xml:space="preserve">De enquête kon worden ingevuld van </w:t>
      </w:r>
      <w:r w:rsidR="003653D4" w:rsidRPr="00660F4E">
        <w:rPr>
          <w:color w:val="2C307E"/>
        </w:rPr>
        <w:t>10 juni</w:t>
      </w:r>
      <w:r w:rsidRPr="00660F4E">
        <w:rPr>
          <w:color w:val="2C307E"/>
        </w:rPr>
        <w:t xml:space="preserve"> 202</w:t>
      </w:r>
      <w:r w:rsidR="003653D4" w:rsidRPr="00660F4E">
        <w:rPr>
          <w:color w:val="2C307E"/>
        </w:rPr>
        <w:t>5</w:t>
      </w:r>
      <w:r w:rsidRPr="00660F4E">
        <w:rPr>
          <w:color w:val="2C307E"/>
        </w:rPr>
        <w:t xml:space="preserve"> tot 1</w:t>
      </w:r>
      <w:r w:rsidR="003653D4" w:rsidRPr="00660F4E">
        <w:rPr>
          <w:color w:val="2C307E"/>
        </w:rPr>
        <w:t>4</w:t>
      </w:r>
      <w:r w:rsidRPr="00660F4E">
        <w:rPr>
          <w:color w:val="2C307E"/>
        </w:rPr>
        <w:t xml:space="preserve"> ju</w:t>
      </w:r>
      <w:r w:rsidR="003653D4" w:rsidRPr="00660F4E">
        <w:rPr>
          <w:color w:val="2C307E"/>
        </w:rPr>
        <w:t>l</w:t>
      </w:r>
      <w:r w:rsidRPr="00660F4E">
        <w:rPr>
          <w:color w:val="2C307E"/>
        </w:rPr>
        <w:t>i 202</w:t>
      </w:r>
      <w:r w:rsidR="003653D4" w:rsidRPr="00660F4E">
        <w:rPr>
          <w:color w:val="2C307E"/>
        </w:rPr>
        <w:t>5</w:t>
      </w:r>
      <w:r w:rsidRPr="00660F4E">
        <w:rPr>
          <w:color w:val="2C307E"/>
        </w:rPr>
        <w:t xml:space="preserve">. In de enquête is gevraagd naar informatie over de periode </w:t>
      </w:r>
      <w:r w:rsidR="00933ED4" w:rsidRPr="00660F4E">
        <w:rPr>
          <w:color w:val="2C307E"/>
        </w:rPr>
        <w:t>juni 2024</w:t>
      </w:r>
      <w:r w:rsidRPr="00660F4E">
        <w:rPr>
          <w:color w:val="2C307E"/>
        </w:rPr>
        <w:t xml:space="preserve"> tot en met </w:t>
      </w:r>
      <w:r w:rsidR="00933ED4" w:rsidRPr="00660F4E">
        <w:rPr>
          <w:color w:val="2C307E"/>
        </w:rPr>
        <w:t>mei</w:t>
      </w:r>
      <w:r w:rsidRPr="00660F4E">
        <w:rPr>
          <w:color w:val="2C307E"/>
        </w:rPr>
        <w:t xml:space="preserve"> 202</w:t>
      </w:r>
      <w:r w:rsidR="00660F4E" w:rsidRPr="00660F4E">
        <w:rPr>
          <w:color w:val="2C307E"/>
        </w:rPr>
        <w:t>5</w:t>
      </w:r>
      <w:r w:rsidRPr="00660F4E">
        <w:rPr>
          <w:color w:val="2C307E"/>
        </w:rPr>
        <w:t>.</w:t>
      </w:r>
    </w:p>
    <w:p w14:paraId="2F43C03C" w14:textId="77777777" w:rsidR="0094579C" w:rsidRPr="00933ED4" w:rsidRDefault="0094579C" w:rsidP="00070889">
      <w:pPr>
        <w:spacing w:after="0" w:line="276" w:lineRule="auto"/>
        <w:jc w:val="both"/>
        <w:rPr>
          <w:rFonts w:cstheme="minorHAnsi"/>
          <w:color w:val="2C307E"/>
        </w:rPr>
      </w:pPr>
    </w:p>
    <w:p w14:paraId="553291A4" w14:textId="77777777" w:rsidR="0094579C" w:rsidRPr="00933ED4" w:rsidRDefault="0094579C" w:rsidP="00070889">
      <w:pPr>
        <w:spacing w:after="0" w:line="276" w:lineRule="auto"/>
        <w:jc w:val="both"/>
        <w:rPr>
          <w:rFonts w:cstheme="minorHAnsi"/>
          <w:b/>
          <w:bCs/>
          <w:color w:val="2C307E"/>
        </w:rPr>
      </w:pPr>
      <w:r w:rsidRPr="00933ED4">
        <w:rPr>
          <w:rFonts w:cstheme="minorHAnsi"/>
          <w:b/>
          <w:bCs/>
          <w:color w:val="2C307E"/>
        </w:rPr>
        <w:t>Privacy</w:t>
      </w:r>
    </w:p>
    <w:p w14:paraId="100A243C" w14:textId="77777777" w:rsidR="0094579C" w:rsidRPr="00933ED4" w:rsidRDefault="0094579C" w:rsidP="00070889">
      <w:pPr>
        <w:spacing w:after="0" w:line="276" w:lineRule="auto"/>
        <w:jc w:val="both"/>
        <w:rPr>
          <w:rFonts w:cstheme="minorHAnsi"/>
          <w:color w:val="2C307E"/>
        </w:rPr>
      </w:pPr>
      <w:r w:rsidRPr="00933ED4">
        <w:rPr>
          <w:rFonts w:cstheme="minorHAnsi"/>
          <w:color w:val="2C307E"/>
        </w:rPr>
        <w:t>De respondenten zijn vooraf geïnformeerd over de privacy-procedures en akkoord gegaan met deelname aan het onderzoek. De privacyverklaring is getoetst door de ethische commissie van de RUG.</w:t>
      </w:r>
    </w:p>
    <w:p w14:paraId="701CDB99" w14:textId="77777777" w:rsidR="0094579C" w:rsidRPr="00933ED4" w:rsidRDefault="0094579C" w:rsidP="00070889">
      <w:pPr>
        <w:spacing w:after="0" w:line="276" w:lineRule="auto"/>
        <w:jc w:val="both"/>
        <w:rPr>
          <w:rFonts w:cstheme="minorHAnsi"/>
          <w:color w:val="2C307E"/>
        </w:rPr>
      </w:pPr>
    </w:p>
    <w:p w14:paraId="31F0A76B" w14:textId="719E238D" w:rsidR="0094579C" w:rsidRPr="00933ED4" w:rsidRDefault="00660F4E" w:rsidP="00070889">
      <w:pPr>
        <w:spacing w:after="0" w:line="276" w:lineRule="auto"/>
        <w:jc w:val="both"/>
        <w:rPr>
          <w:rFonts w:cstheme="minorHAnsi"/>
          <w:b/>
          <w:bCs/>
          <w:color w:val="2C307E"/>
        </w:rPr>
      </w:pPr>
      <w:r>
        <w:rPr>
          <w:rFonts w:cstheme="minorHAnsi"/>
          <w:b/>
          <w:bCs/>
          <w:color w:val="2C307E"/>
        </w:rPr>
        <w:t>Alleen batterij-elektrische auto’s</w:t>
      </w:r>
    </w:p>
    <w:p w14:paraId="13DBEEFC" w14:textId="4DE5C5A0" w:rsidR="00660F4E" w:rsidRDefault="0094579C" w:rsidP="0077776C">
      <w:pPr>
        <w:spacing w:after="0" w:line="276" w:lineRule="auto"/>
        <w:jc w:val="both"/>
        <w:rPr>
          <w:rFonts w:cstheme="minorHAnsi"/>
          <w:color w:val="2C307E"/>
        </w:rPr>
      </w:pPr>
      <w:r w:rsidRPr="00933ED4">
        <w:rPr>
          <w:rFonts w:cstheme="minorHAnsi"/>
          <w:color w:val="2C307E"/>
        </w:rPr>
        <w:t xml:space="preserve">Het aantal respondenten dat in een waterstofauto rijdt is te laag om een representatieve analyse over te laten zien. </w:t>
      </w:r>
      <w:r w:rsidR="00DD0A16">
        <w:rPr>
          <w:rFonts w:cstheme="minorHAnsi"/>
          <w:color w:val="2C307E"/>
        </w:rPr>
        <w:t>Plug-in hybride rijders laten een ander laadpatroon</w:t>
      </w:r>
      <w:r w:rsidR="00AF4DB5">
        <w:rPr>
          <w:rFonts w:cstheme="minorHAnsi"/>
          <w:color w:val="2C307E"/>
        </w:rPr>
        <w:t xml:space="preserve"> en laadbehoefte</w:t>
      </w:r>
      <w:r w:rsidR="00DD0A16">
        <w:rPr>
          <w:rFonts w:cstheme="minorHAnsi"/>
          <w:color w:val="2C307E"/>
        </w:rPr>
        <w:t xml:space="preserve"> zien.</w:t>
      </w:r>
      <w:r w:rsidRPr="00933ED4">
        <w:rPr>
          <w:rFonts w:cstheme="minorHAnsi"/>
          <w:color w:val="2C307E"/>
        </w:rPr>
        <w:t xml:space="preserve"> </w:t>
      </w:r>
      <w:r w:rsidR="00DD0A16">
        <w:rPr>
          <w:rFonts w:cstheme="minorHAnsi"/>
          <w:color w:val="2C307E"/>
        </w:rPr>
        <w:t xml:space="preserve">Om een goed en duidelijk onderzoek te kunnen presenteren, is </w:t>
      </w:r>
      <w:r w:rsidRPr="00933ED4">
        <w:rPr>
          <w:rFonts w:cstheme="minorHAnsi"/>
          <w:color w:val="2C307E"/>
        </w:rPr>
        <w:t>gekozen alleen nog de ervaringen met batterij-elektrische auto</w:t>
      </w:r>
      <w:r w:rsidR="00ED0858" w:rsidRPr="00933ED4">
        <w:rPr>
          <w:rFonts w:cstheme="minorHAnsi"/>
          <w:color w:val="2C307E"/>
        </w:rPr>
        <w:t>’</w:t>
      </w:r>
      <w:r w:rsidRPr="00933ED4">
        <w:rPr>
          <w:rFonts w:cstheme="minorHAnsi"/>
          <w:color w:val="2C307E"/>
        </w:rPr>
        <w:t>s</w:t>
      </w:r>
      <w:r w:rsidR="00ED0858" w:rsidRPr="00933ED4">
        <w:rPr>
          <w:rFonts w:cstheme="minorHAnsi"/>
          <w:color w:val="2C307E"/>
        </w:rPr>
        <w:t xml:space="preserve"> en </w:t>
      </w:r>
      <w:r w:rsidR="00AF4DB5">
        <w:rPr>
          <w:rFonts w:cstheme="minorHAnsi"/>
          <w:color w:val="2C307E"/>
        </w:rPr>
        <w:t xml:space="preserve">batterij-elektrische </w:t>
      </w:r>
      <w:r w:rsidR="00ED0858" w:rsidRPr="00933ED4">
        <w:rPr>
          <w:rFonts w:cstheme="minorHAnsi"/>
          <w:color w:val="2C307E"/>
        </w:rPr>
        <w:t>motoren</w:t>
      </w:r>
      <w:r w:rsidRPr="00933ED4">
        <w:rPr>
          <w:rFonts w:cstheme="minorHAnsi"/>
          <w:color w:val="2C307E"/>
        </w:rPr>
        <w:t xml:space="preserve"> te onderzoeken</w:t>
      </w:r>
      <w:r w:rsidRPr="00933ED4" w:rsidDel="00DF6D20">
        <w:rPr>
          <w:rFonts w:cstheme="minorHAnsi"/>
          <w:color w:val="2C307E"/>
        </w:rPr>
        <w:t>.</w:t>
      </w:r>
    </w:p>
    <w:p w14:paraId="05145277" w14:textId="77777777" w:rsidR="00660F4E" w:rsidRDefault="00660F4E" w:rsidP="0077776C">
      <w:pPr>
        <w:spacing w:after="0" w:line="276" w:lineRule="auto"/>
        <w:jc w:val="both"/>
        <w:rPr>
          <w:rFonts w:cstheme="minorHAnsi"/>
          <w:color w:val="2C307E"/>
        </w:rPr>
      </w:pPr>
    </w:p>
    <w:p w14:paraId="3001C2F7" w14:textId="776BFEA1" w:rsidR="006B7764" w:rsidRPr="00660F4E" w:rsidRDefault="006B7764" w:rsidP="0077776C">
      <w:pPr>
        <w:spacing w:after="0" w:line="276" w:lineRule="auto"/>
        <w:jc w:val="both"/>
        <w:rPr>
          <w:rFonts w:cstheme="minorHAnsi"/>
          <w:color w:val="2C307E"/>
        </w:rPr>
      </w:pPr>
      <w:r>
        <w:rPr>
          <w:rFonts w:cstheme="minorHAnsi"/>
          <w:b/>
          <w:bCs/>
          <w:color w:val="2C307E"/>
        </w:rPr>
        <w:t>Voorbereiding</w:t>
      </w:r>
    </w:p>
    <w:p w14:paraId="4E85F39B" w14:textId="5431C72C" w:rsidR="006B7764" w:rsidRDefault="006B7764" w:rsidP="0077776C">
      <w:pPr>
        <w:spacing w:after="0" w:line="276" w:lineRule="auto"/>
        <w:jc w:val="both"/>
        <w:rPr>
          <w:rFonts w:cstheme="minorHAnsi"/>
          <w:color w:val="2C307E"/>
        </w:rPr>
      </w:pPr>
      <w:r>
        <w:rPr>
          <w:rFonts w:cstheme="minorHAnsi"/>
          <w:color w:val="2C307E"/>
        </w:rPr>
        <w:t xml:space="preserve">Het onderzoek is uitgezet via </w:t>
      </w:r>
      <w:r w:rsidR="00816889">
        <w:rPr>
          <w:rFonts w:cstheme="minorHAnsi"/>
          <w:color w:val="2C307E"/>
        </w:rPr>
        <w:t>de communicatiekanalen van het onderzoeksteam en NAL-partners.</w:t>
      </w:r>
      <w:r w:rsidR="00553A92">
        <w:rPr>
          <w:rFonts w:cstheme="minorHAnsi"/>
          <w:color w:val="2C307E"/>
        </w:rPr>
        <w:t xml:space="preserve"> De achterban van de VER is gemobiliseerd, we</w:t>
      </w:r>
      <w:r w:rsidR="00816889">
        <w:rPr>
          <w:rFonts w:cstheme="minorHAnsi"/>
          <w:color w:val="2C307E"/>
        </w:rPr>
        <w:t xml:space="preserve"> schr</w:t>
      </w:r>
      <w:r w:rsidR="00E33D8B">
        <w:rPr>
          <w:rFonts w:cstheme="minorHAnsi"/>
          <w:color w:val="2C307E"/>
        </w:rPr>
        <w:t>e</w:t>
      </w:r>
      <w:r w:rsidR="00816889">
        <w:rPr>
          <w:rFonts w:cstheme="minorHAnsi"/>
          <w:color w:val="2C307E"/>
        </w:rPr>
        <w:t xml:space="preserve">ven deelnemers van eerdere laadonderzoeken aan </w:t>
      </w:r>
      <w:r w:rsidR="00553A92">
        <w:rPr>
          <w:rFonts w:cstheme="minorHAnsi"/>
          <w:color w:val="2C307E"/>
        </w:rPr>
        <w:t xml:space="preserve">en </w:t>
      </w:r>
      <w:r w:rsidR="008757AB">
        <w:rPr>
          <w:rFonts w:cstheme="minorHAnsi"/>
          <w:color w:val="2C307E"/>
        </w:rPr>
        <w:t>via social</w:t>
      </w:r>
      <w:r w:rsidR="008B5E1E">
        <w:rPr>
          <w:rFonts w:cstheme="minorHAnsi"/>
          <w:color w:val="2C307E"/>
        </w:rPr>
        <w:t>e</w:t>
      </w:r>
      <w:r w:rsidR="008757AB">
        <w:rPr>
          <w:rFonts w:cstheme="minorHAnsi"/>
          <w:color w:val="2C307E"/>
        </w:rPr>
        <w:t xml:space="preserve"> media heeft een campagne gelopen. </w:t>
      </w:r>
      <w:r w:rsidR="001C5EF7">
        <w:rPr>
          <w:rFonts w:cstheme="minorHAnsi"/>
          <w:color w:val="2C307E"/>
        </w:rPr>
        <w:t>I</w:t>
      </w:r>
      <w:r w:rsidR="008757AB">
        <w:rPr>
          <w:rFonts w:cstheme="minorHAnsi"/>
          <w:color w:val="2C307E"/>
        </w:rPr>
        <w:t>n de social</w:t>
      </w:r>
      <w:r w:rsidR="008B5E1E">
        <w:rPr>
          <w:rFonts w:cstheme="minorHAnsi"/>
          <w:color w:val="2C307E"/>
        </w:rPr>
        <w:t>e</w:t>
      </w:r>
      <w:r w:rsidR="008757AB">
        <w:rPr>
          <w:rFonts w:cstheme="minorHAnsi"/>
          <w:color w:val="2C307E"/>
        </w:rPr>
        <w:t xml:space="preserve"> media campagne hebben we getracht deelnemers in alle leeftijden te </w:t>
      </w:r>
      <w:r w:rsidR="00660F4E">
        <w:rPr>
          <w:rFonts w:cstheme="minorHAnsi"/>
          <w:color w:val="2C307E"/>
        </w:rPr>
        <w:t>betrekke</w:t>
      </w:r>
      <w:r w:rsidR="00A86D3C">
        <w:rPr>
          <w:rFonts w:cstheme="minorHAnsi"/>
          <w:color w:val="2C307E"/>
        </w:rPr>
        <w:t>n.</w:t>
      </w:r>
    </w:p>
    <w:p w14:paraId="359120B8" w14:textId="77777777" w:rsidR="00A86D3C" w:rsidRDefault="00A86D3C" w:rsidP="0077776C">
      <w:pPr>
        <w:spacing w:after="0" w:line="276" w:lineRule="auto"/>
        <w:jc w:val="both"/>
        <w:rPr>
          <w:rFonts w:cstheme="minorHAnsi"/>
          <w:color w:val="2C307E"/>
        </w:rPr>
      </w:pPr>
    </w:p>
    <w:p w14:paraId="0753139E" w14:textId="77777777" w:rsidR="00660F4E" w:rsidRDefault="00660F4E" w:rsidP="0077776C">
      <w:pPr>
        <w:spacing w:after="0" w:line="276" w:lineRule="auto"/>
        <w:jc w:val="both"/>
        <w:rPr>
          <w:rFonts w:cstheme="minorHAnsi"/>
          <w:b/>
          <w:bCs/>
          <w:color w:val="2C307E"/>
        </w:rPr>
      </w:pPr>
    </w:p>
    <w:p w14:paraId="205928E0" w14:textId="77777777" w:rsidR="00660F4E" w:rsidRDefault="00660F4E" w:rsidP="0077776C">
      <w:pPr>
        <w:spacing w:after="0" w:line="276" w:lineRule="auto"/>
        <w:jc w:val="both"/>
        <w:rPr>
          <w:rFonts w:cstheme="minorHAnsi"/>
          <w:b/>
          <w:bCs/>
          <w:color w:val="2C307E"/>
        </w:rPr>
      </w:pPr>
    </w:p>
    <w:p w14:paraId="5B82FE11" w14:textId="77777777" w:rsidR="00DD0A16" w:rsidRDefault="00DD0A16" w:rsidP="0077776C">
      <w:pPr>
        <w:spacing w:after="0" w:line="276" w:lineRule="auto"/>
        <w:jc w:val="both"/>
        <w:rPr>
          <w:rFonts w:cstheme="minorHAnsi"/>
          <w:b/>
          <w:bCs/>
          <w:color w:val="2C307E"/>
        </w:rPr>
      </w:pPr>
    </w:p>
    <w:p w14:paraId="4A09488C" w14:textId="77777777" w:rsidR="00DD0A16" w:rsidRDefault="00DD0A16" w:rsidP="0077776C">
      <w:pPr>
        <w:spacing w:after="0" w:line="276" w:lineRule="auto"/>
        <w:jc w:val="both"/>
        <w:rPr>
          <w:rFonts w:cstheme="minorHAnsi"/>
          <w:b/>
          <w:bCs/>
          <w:color w:val="2C307E"/>
        </w:rPr>
      </w:pPr>
    </w:p>
    <w:p w14:paraId="41084923" w14:textId="4B59AB31" w:rsidR="00FD1D63" w:rsidRPr="006A5148" w:rsidRDefault="0091350C" w:rsidP="0077776C">
      <w:pPr>
        <w:spacing w:after="0" w:line="276" w:lineRule="auto"/>
        <w:jc w:val="both"/>
        <w:rPr>
          <w:rFonts w:cstheme="minorHAnsi"/>
          <w:b/>
          <w:bCs/>
          <w:color w:val="2C307E"/>
          <w:highlight w:val="yellow"/>
        </w:rPr>
      </w:pPr>
      <w:r>
        <w:rPr>
          <w:rFonts w:cstheme="minorHAnsi"/>
          <w:b/>
          <w:bCs/>
          <w:color w:val="2C307E"/>
        </w:rPr>
        <w:t>Deelnemers</w:t>
      </w:r>
    </w:p>
    <w:p w14:paraId="7D33FABA" w14:textId="75A588C1" w:rsidR="00044A2C" w:rsidRDefault="00F96DE8" w:rsidP="0077776C">
      <w:pPr>
        <w:spacing w:after="0" w:line="276" w:lineRule="auto"/>
        <w:jc w:val="both"/>
        <w:rPr>
          <w:rFonts w:cstheme="minorHAnsi"/>
          <w:color w:val="2C307E"/>
        </w:rPr>
      </w:pPr>
      <w:r>
        <w:rPr>
          <w:rFonts w:cstheme="minorHAnsi"/>
          <w:color w:val="2C307E"/>
        </w:rPr>
        <w:t xml:space="preserve">4.516 deelnemers zijn gestart met </w:t>
      </w:r>
      <w:r w:rsidR="00E33D8B">
        <w:rPr>
          <w:rFonts w:cstheme="minorHAnsi"/>
          <w:color w:val="2C307E"/>
        </w:rPr>
        <w:t xml:space="preserve">de eerste vraag van het onderzoek. </w:t>
      </w:r>
      <w:r w:rsidR="00517A7E">
        <w:rPr>
          <w:rFonts w:cstheme="minorHAnsi"/>
          <w:color w:val="2C307E"/>
        </w:rPr>
        <w:t>De gemiddelde invultijd</w:t>
      </w:r>
      <w:r w:rsidR="00E33D8B">
        <w:rPr>
          <w:rFonts w:cstheme="minorHAnsi"/>
          <w:color w:val="2C307E"/>
        </w:rPr>
        <w:t xml:space="preserve"> van de vragenlijst</w:t>
      </w:r>
      <w:r w:rsidR="00517A7E">
        <w:rPr>
          <w:rFonts w:cstheme="minorHAnsi"/>
          <w:color w:val="2C307E"/>
        </w:rPr>
        <w:t xml:space="preserve"> bedroeg 13,5 minuten</w:t>
      </w:r>
      <w:r w:rsidR="001C5EF7">
        <w:rPr>
          <w:rFonts w:cstheme="minorHAnsi"/>
          <w:color w:val="2C307E"/>
        </w:rPr>
        <w:t>.</w:t>
      </w:r>
    </w:p>
    <w:p w14:paraId="701E78BC" w14:textId="647AED04" w:rsidR="00517A7E" w:rsidRDefault="00E66BCF" w:rsidP="0077776C">
      <w:pPr>
        <w:spacing w:after="0" w:line="276" w:lineRule="auto"/>
        <w:jc w:val="both"/>
        <w:rPr>
          <w:rFonts w:cstheme="minorHAnsi"/>
          <w:color w:val="2C307E"/>
        </w:rPr>
      </w:pPr>
      <w:r>
        <w:rPr>
          <w:rFonts w:cstheme="minorHAnsi"/>
          <w:color w:val="2C307E"/>
        </w:rPr>
        <w:t>75%</w:t>
      </w:r>
      <w:r w:rsidR="00517A7E">
        <w:rPr>
          <w:rFonts w:cstheme="minorHAnsi"/>
          <w:color w:val="2C307E"/>
        </w:rPr>
        <w:t xml:space="preserve"> van de respondenten die aan het onderzoek zijn </w:t>
      </w:r>
      <w:r w:rsidR="00E33D8B">
        <w:rPr>
          <w:rFonts w:cstheme="minorHAnsi"/>
          <w:color w:val="2C307E"/>
        </w:rPr>
        <w:t>begonnen,</w:t>
      </w:r>
      <w:r w:rsidR="00517A7E">
        <w:rPr>
          <w:rFonts w:cstheme="minorHAnsi"/>
          <w:color w:val="2C307E"/>
        </w:rPr>
        <w:t xml:space="preserve"> hebben </w:t>
      </w:r>
      <w:r w:rsidR="00E33A2E">
        <w:rPr>
          <w:rFonts w:cstheme="minorHAnsi"/>
          <w:color w:val="2C307E"/>
        </w:rPr>
        <w:t xml:space="preserve">nagenoeg </w:t>
      </w:r>
      <w:r w:rsidR="004B53F4">
        <w:rPr>
          <w:rFonts w:cstheme="minorHAnsi"/>
          <w:color w:val="2C307E"/>
        </w:rPr>
        <w:t>het hele onderzoek doorlopen</w:t>
      </w:r>
      <w:r>
        <w:rPr>
          <w:rFonts w:cstheme="minorHAnsi"/>
          <w:color w:val="2C307E"/>
        </w:rPr>
        <w:t>.</w:t>
      </w:r>
    </w:p>
    <w:p w14:paraId="261A39F9" w14:textId="77777777" w:rsidR="00660F4E" w:rsidRDefault="00660F4E" w:rsidP="0077776C">
      <w:pPr>
        <w:spacing w:after="0" w:line="276" w:lineRule="auto"/>
        <w:jc w:val="both"/>
        <w:rPr>
          <w:rFonts w:cstheme="minorHAnsi"/>
          <w:color w:val="2C307E"/>
        </w:rPr>
      </w:pPr>
    </w:p>
    <w:p w14:paraId="14D1A199" w14:textId="18C2193A" w:rsidR="00660F4E" w:rsidRPr="00660F4E" w:rsidRDefault="00660F4E" w:rsidP="0077776C">
      <w:pPr>
        <w:spacing w:after="0" w:line="276" w:lineRule="auto"/>
        <w:jc w:val="both"/>
        <w:rPr>
          <w:rFonts w:cstheme="minorHAnsi"/>
          <w:b/>
          <w:bCs/>
          <w:color w:val="2C307E"/>
        </w:rPr>
      </w:pPr>
      <w:r>
        <w:rPr>
          <w:rFonts w:cstheme="minorHAnsi"/>
          <w:b/>
          <w:bCs/>
          <w:color w:val="2C307E"/>
        </w:rPr>
        <w:t>Verschillende inhoudelijk blokken</w:t>
      </w:r>
    </w:p>
    <w:p w14:paraId="5C36A082" w14:textId="76E81546" w:rsidR="00265D0A" w:rsidRDefault="00265D0A" w:rsidP="0077776C">
      <w:pPr>
        <w:spacing w:after="0" w:line="276" w:lineRule="auto"/>
        <w:jc w:val="both"/>
        <w:rPr>
          <w:rFonts w:cstheme="minorHAnsi"/>
          <w:color w:val="2C307E"/>
        </w:rPr>
      </w:pPr>
      <w:r>
        <w:rPr>
          <w:rFonts w:cstheme="minorHAnsi"/>
          <w:color w:val="2C307E"/>
        </w:rPr>
        <w:t>Deze editie van het laadonderzoek hebben we met blokken gewerkt en heeft n</w:t>
      </w:r>
      <w:r w:rsidR="00660F4E">
        <w:rPr>
          <w:rFonts w:cstheme="minorHAnsi"/>
          <w:color w:val="2C307E"/>
        </w:rPr>
        <w:t>i</w:t>
      </w:r>
      <w:r>
        <w:rPr>
          <w:rFonts w:cstheme="minorHAnsi"/>
          <w:color w:val="2C307E"/>
        </w:rPr>
        <w:t xml:space="preserve">et iedere respondent alle vragen gekregen. Dat resulteert in een kortere </w:t>
      </w:r>
      <w:r w:rsidR="0091350C">
        <w:rPr>
          <w:rFonts w:cstheme="minorHAnsi"/>
          <w:color w:val="2C307E"/>
        </w:rPr>
        <w:t>gemiddelde invultijd en meer respondenten</w:t>
      </w:r>
      <w:r w:rsidR="00486A9E">
        <w:rPr>
          <w:rFonts w:cstheme="minorHAnsi"/>
          <w:color w:val="2C307E"/>
        </w:rPr>
        <w:t xml:space="preserve"> </w:t>
      </w:r>
      <w:r w:rsidR="0091350C">
        <w:rPr>
          <w:rFonts w:cstheme="minorHAnsi"/>
          <w:color w:val="2C307E"/>
        </w:rPr>
        <w:t>die het onderzoek tot het einde hebben volbracht</w:t>
      </w:r>
      <w:r w:rsidR="009E1330">
        <w:rPr>
          <w:rFonts w:cstheme="minorHAnsi"/>
          <w:color w:val="2C307E"/>
        </w:rPr>
        <w:t xml:space="preserve"> (3.068 tegen 2.851 in het onderzoek van 2024)</w:t>
      </w:r>
      <w:r w:rsidR="00486A9E">
        <w:rPr>
          <w:rFonts w:cstheme="minorHAnsi"/>
          <w:color w:val="2C307E"/>
        </w:rPr>
        <w:t>.</w:t>
      </w:r>
    </w:p>
    <w:p w14:paraId="1ED7F545" w14:textId="77777777" w:rsidR="00EA03AE" w:rsidRDefault="00EA03AE" w:rsidP="0077776C">
      <w:pPr>
        <w:spacing w:after="0" w:line="276" w:lineRule="auto"/>
        <w:jc w:val="both"/>
        <w:rPr>
          <w:rFonts w:cstheme="minorHAnsi"/>
          <w:color w:val="2C307E"/>
        </w:rPr>
      </w:pPr>
    </w:p>
    <w:p w14:paraId="54635784" w14:textId="77777777" w:rsidR="00EA03AE" w:rsidRDefault="00EA03AE" w:rsidP="0077776C">
      <w:pPr>
        <w:spacing w:after="0" w:line="276" w:lineRule="auto"/>
        <w:jc w:val="both"/>
        <w:rPr>
          <w:rFonts w:cstheme="minorHAnsi"/>
          <w:color w:val="2C307E"/>
        </w:rPr>
      </w:pPr>
    </w:p>
    <w:p w14:paraId="270B22A7" w14:textId="77777777" w:rsidR="00660F4E" w:rsidRDefault="00660F4E" w:rsidP="0077776C">
      <w:pPr>
        <w:spacing w:after="0" w:line="276" w:lineRule="auto"/>
        <w:jc w:val="both"/>
        <w:rPr>
          <w:rFonts w:cstheme="minorHAnsi"/>
          <w:color w:val="2C307E"/>
        </w:rPr>
      </w:pPr>
    </w:p>
    <w:p w14:paraId="3C1D566F" w14:textId="67A5DA4E" w:rsidR="00660F4E" w:rsidRDefault="00660F4E" w:rsidP="0077776C">
      <w:pPr>
        <w:spacing w:after="0" w:line="276" w:lineRule="auto"/>
        <w:jc w:val="both"/>
        <w:rPr>
          <w:rFonts w:cstheme="minorHAnsi"/>
          <w:b/>
          <w:bCs/>
          <w:color w:val="2C307E"/>
        </w:rPr>
      </w:pPr>
    </w:p>
    <w:p w14:paraId="68C1AFF7" w14:textId="77777777" w:rsidR="00660F4E" w:rsidRDefault="00660F4E" w:rsidP="0077776C">
      <w:pPr>
        <w:spacing w:after="0" w:line="276" w:lineRule="auto"/>
        <w:jc w:val="both"/>
        <w:rPr>
          <w:rFonts w:cstheme="minorHAnsi"/>
          <w:b/>
          <w:bCs/>
          <w:color w:val="2C307E"/>
        </w:rPr>
      </w:pPr>
    </w:p>
    <w:p w14:paraId="370AAC65" w14:textId="77777777" w:rsidR="00660F4E" w:rsidRDefault="00660F4E">
      <w:pPr>
        <w:rPr>
          <w:rFonts w:cstheme="minorHAnsi"/>
          <w:b/>
          <w:bCs/>
          <w:color w:val="2C307E"/>
        </w:rPr>
      </w:pPr>
      <w:r>
        <w:rPr>
          <w:rFonts w:cstheme="minorHAnsi"/>
          <w:b/>
          <w:bCs/>
          <w:color w:val="2C307E"/>
        </w:rPr>
        <w:br w:type="page"/>
      </w:r>
    </w:p>
    <w:p w14:paraId="6C6705AC" w14:textId="6988900A" w:rsidR="00236B69" w:rsidRPr="00547A46" w:rsidRDefault="0020051F" w:rsidP="0077776C">
      <w:pPr>
        <w:spacing w:after="0" w:line="276" w:lineRule="auto"/>
        <w:jc w:val="both"/>
        <w:rPr>
          <w:rFonts w:asciiTheme="majorHAnsi" w:eastAsiaTheme="majorEastAsia" w:hAnsiTheme="majorHAnsi" w:cstheme="majorBidi"/>
          <w:color w:val="2F5496" w:themeColor="accent1" w:themeShade="BF"/>
          <w:sz w:val="32"/>
          <w:szCs w:val="32"/>
        </w:rPr>
      </w:pPr>
      <w:r w:rsidRPr="00547A46">
        <w:rPr>
          <w:rFonts w:asciiTheme="majorHAnsi" w:eastAsiaTheme="majorEastAsia" w:hAnsiTheme="majorHAnsi" w:cstheme="majorBidi"/>
          <w:color w:val="2F5496" w:themeColor="accent1" w:themeShade="BF"/>
          <w:sz w:val="32"/>
          <w:szCs w:val="32"/>
        </w:rPr>
        <w:lastRenderedPageBreak/>
        <w:t>Representativiteit</w:t>
      </w:r>
    </w:p>
    <w:p w14:paraId="479686C7" w14:textId="5375E723" w:rsidR="00660F4E" w:rsidRDefault="00660F4E" w:rsidP="00660F4E">
      <w:pPr>
        <w:spacing w:after="0" w:line="276" w:lineRule="auto"/>
        <w:jc w:val="both"/>
        <w:rPr>
          <w:rFonts w:cstheme="minorHAnsi"/>
          <w:color w:val="2C307E"/>
        </w:rPr>
      </w:pPr>
      <w:r w:rsidRPr="00FD1D63">
        <w:rPr>
          <w:rFonts w:cstheme="minorHAnsi"/>
          <w:color w:val="2C307E"/>
        </w:rPr>
        <w:t xml:space="preserve">Met representativiteit bedoelen we de mate waarin de respondenten uit </w:t>
      </w:r>
      <w:r>
        <w:rPr>
          <w:rFonts w:cstheme="minorHAnsi"/>
          <w:color w:val="2C307E"/>
        </w:rPr>
        <w:t>de</w:t>
      </w:r>
      <w:r w:rsidR="00626ECA">
        <w:rPr>
          <w:rFonts w:cstheme="minorHAnsi"/>
          <w:color w:val="2C307E"/>
        </w:rPr>
        <w:t>ze</w:t>
      </w:r>
      <w:r w:rsidRPr="00FD1D63">
        <w:rPr>
          <w:rFonts w:cstheme="minorHAnsi"/>
          <w:color w:val="2C307E"/>
        </w:rPr>
        <w:t xml:space="preserve"> steekproef een goede afspiegeling vormen van de</w:t>
      </w:r>
      <w:r>
        <w:rPr>
          <w:rFonts w:cstheme="minorHAnsi"/>
          <w:color w:val="2C307E"/>
        </w:rPr>
        <w:t xml:space="preserve"> totale</w:t>
      </w:r>
      <w:r w:rsidRPr="00FD1D63">
        <w:rPr>
          <w:rFonts w:cstheme="minorHAnsi"/>
          <w:color w:val="2C307E"/>
        </w:rPr>
        <w:t xml:space="preserve"> populatie</w:t>
      </w:r>
      <w:r w:rsidR="00626ECA">
        <w:rPr>
          <w:rFonts w:cstheme="minorHAnsi"/>
          <w:color w:val="2C307E"/>
        </w:rPr>
        <w:t xml:space="preserve"> EV-rijders</w:t>
      </w:r>
      <w:r w:rsidR="00E862FD">
        <w:rPr>
          <w:rFonts w:cstheme="minorHAnsi"/>
          <w:color w:val="2C307E"/>
        </w:rPr>
        <w:t xml:space="preserve"> in Nederland</w:t>
      </w:r>
      <w:r w:rsidR="00626ECA">
        <w:rPr>
          <w:rFonts w:cstheme="minorHAnsi"/>
          <w:color w:val="2C307E"/>
        </w:rPr>
        <w:t>.</w:t>
      </w:r>
    </w:p>
    <w:p w14:paraId="27780C3D" w14:textId="77777777" w:rsidR="00660F4E" w:rsidRDefault="00660F4E" w:rsidP="0077776C">
      <w:pPr>
        <w:spacing w:after="0" w:line="276" w:lineRule="auto"/>
        <w:jc w:val="both"/>
        <w:rPr>
          <w:rFonts w:cstheme="minorHAnsi"/>
          <w:b/>
          <w:bCs/>
          <w:color w:val="2C307E"/>
        </w:rPr>
      </w:pPr>
    </w:p>
    <w:p w14:paraId="37BB2091" w14:textId="14AB8B44" w:rsidR="001F5058" w:rsidRPr="0084158B" w:rsidRDefault="00E862FD" w:rsidP="0077776C">
      <w:pPr>
        <w:spacing w:after="0" w:line="276" w:lineRule="auto"/>
        <w:jc w:val="both"/>
        <w:rPr>
          <w:rFonts w:cstheme="minorHAnsi"/>
          <w:color w:val="2C307E"/>
        </w:rPr>
      </w:pPr>
      <w:r>
        <w:rPr>
          <w:rFonts w:cstheme="minorHAnsi"/>
          <w:color w:val="2C307E"/>
        </w:rPr>
        <w:t xml:space="preserve">We hebben de steekproef </w:t>
      </w:r>
      <w:r w:rsidR="0084158B">
        <w:rPr>
          <w:rFonts w:cstheme="minorHAnsi"/>
          <w:color w:val="2C307E"/>
        </w:rPr>
        <w:t>vergeleken met de totale populatie van elektrische rijders</w:t>
      </w:r>
      <w:r>
        <w:rPr>
          <w:rFonts w:cstheme="minorHAnsi"/>
          <w:color w:val="2C307E"/>
        </w:rPr>
        <w:t xml:space="preserve"> in Nederland op een aantal punten. </w:t>
      </w:r>
    </w:p>
    <w:p w14:paraId="4DEC0E56" w14:textId="77777777" w:rsidR="00547A46" w:rsidRDefault="00547A46" w:rsidP="00547A46">
      <w:pPr>
        <w:spacing w:after="0" w:line="276" w:lineRule="auto"/>
        <w:jc w:val="both"/>
        <w:rPr>
          <w:rFonts w:cstheme="minorHAnsi"/>
          <w:color w:val="2C307E"/>
          <w:u w:val="single"/>
        </w:rPr>
      </w:pPr>
    </w:p>
    <w:p w14:paraId="59614FDE" w14:textId="66657590" w:rsidR="00013A78" w:rsidRPr="00547A46" w:rsidRDefault="00547A46" w:rsidP="00547A46">
      <w:pPr>
        <w:spacing w:after="0" w:line="276" w:lineRule="auto"/>
        <w:jc w:val="both"/>
        <w:rPr>
          <w:rFonts w:cstheme="minorHAnsi"/>
          <w:b/>
          <w:bCs/>
          <w:color w:val="2C307E"/>
        </w:rPr>
      </w:pPr>
      <w:r>
        <w:rPr>
          <w:rFonts w:cstheme="minorHAnsi"/>
          <w:b/>
          <w:bCs/>
          <w:color w:val="2C307E"/>
        </w:rPr>
        <w:t>Ervaring</w:t>
      </w:r>
    </w:p>
    <w:p w14:paraId="7D2A5D9E" w14:textId="2DCB2F82" w:rsidR="0077776C" w:rsidRDefault="00285448" w:rsidP="000C0D36">
      <w:pPr>
        <w:spacing w:after="0" w:line="276" w:lineRule="auto"/>
        <w:jc w:val="both"/>
        <w:rPr>
          <w:rFonts w:cstheme="minorHAnsi"/>
          <w:color w:val="2C307E"/>
        </w:rPr>
      </w:pPr>
      <w:r>
        <w:rPr>
          <w:rFonts w:cstheme="minorHAnsi"/>
          <w:color w:val="2C307E"/>
        </w:rPr>
        <w:t>D</w:t>
      </w:r>
      <w:r w:rsidR="00A86D3C" w:rsidRPr="00285448">
        <w:rPr>
          <w:rFonts w:cstheme="minorHAnsi"/>
          <w:color w:val="2C307E"/>
        </w:rPr>
        <w:t xml:space="preserve">e </w:t>
      </w:r>
      <w:r w:rsidR="00547A46">
        <w:rPr>
          <w:rFonts w:cstheme="minorHAnsi"/>
          <w:color w:val="2C307E"/>
        </w:rPr>
        <w:t xml:space="preserve">verdeling van ervaren en </w:t>
      </w:r>
      <w:r w:rsidR="00E33D8B">
        <w:rPr>
          <w:rFonts w:cstheme="minorHAnsi"/>
          <w:color w:val="2C307E"/>
        </w:rPr>
        <w:t>meer recente EV-rijders</w:t>
      </w:r>
      <w:r w:rsidR="00547A46">
        <w:rPr>
          <w:rFonts w:cstheme="minorHAnsi"/>
          <w:color w:val="2C307E"/>
        </w:rPr>
        <w:t xml:space="preserve"> </w:t>
      </w:r>
      <w:r w:rsidR="0077776C" w:rsidRPr="00285448">
        <w:rPr>
          <w:rFonts w:cstheme="minorHAnsi"/>
          <w:color w:val="2C307E"/>
        </w:rPr>
        <w:t xml:space="preserve">komt goed overeen met de groei van </w:t>
      </w:r>
      <w:r w:rsidR="00547A46">
        <w:rPr>
          <w:rFonts w:cstheme="minorHAnsi"/>
          <w:color w:val="2C307E"/>
        </w:rPr>
        <w:t>het elektrisch wagenpark in die</w:t>
      </w:r>
      <w:r w:rsidR="0077776C" w:rsidRPr="00285448">
        <w:rPr>
          <w:rFonts w:cstheme="minorHAnsi"/>
          <w:color w:val="2C307E"/>
        </w:rPr>
        <w:t xml:space="preserve"> jaren</w:t>
      </w:r>
      <w:r>
        <w:rPr>
          <w:rFonts w:cstheme="minorHAnsi"/>
          <w:color w:val="2C307E"/>
        </w:rPr>
        <w:t>.</w:t>
      </w:r>
    </w:p>
    <w:p w14:paraId="3036B3EA" w14:textId="119AE8F3" w:rsidR="003C2301" w:rsidRDefault="003C2301" w:rsidP="00547A46">
      <w:pPr>
        <w:spacing w:after="0" w:line="276" w:lineRule="auto"/>
        <w:jc w:val="both"/>
        <w:rPr>
          <w:rStyle w:val="Verwijzingopmerking"/>
        </w:rPr>
      </w:pPr>
      <w:r>
        <w:rPr>
          <w:noProof/>
        </w:rPr>
        <w:drawing>
          <wp:inline distT="0" distB="0" distL="0" distR="0" wp14:anchorId="7EE77988" wp14:editId="72D693E2">
            <wp:extent cx="2655570" cy="3352800"/>
            <wp:effectExtent l="0" t="0" r="0" b="0"/>
            <wp:docPr id="1019873051" name="Grafiek 1">
              <a:extLst xmlns:a="http://schemas.openxmlformats.org/drawingml/2006/main">
                <a:ext uri="{FF2B5EF4-FFF2-40B4-BE49-F238E27FC236}">
                  <a16:creationId xmlns:a16="http://schemas.microsoft.com/office/drawing/2014/main" id="{2BD3D153-5903-8CFD-3F58-411E30FD40F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303A50E9" w14:textId="17018421" w:rsidR="00D11F8D" w:rsidRPr="00547A46" w:rsidRDefault="00547A46" w:rsidP="00547A46">
      <w:pPr>
        <w:spacing w:after="0" w:line="276" w:lineRule="auto"/>
        <w:jc w:val="both"/>
        <w:rPr>
          <w:rFonts w:cstheme="minorHAnsi"/>
          <w:b/>
          <w:bCs/>
          <w:color w:val="2C307E"/>
        </w:rPr>
      </w:pPr>
      <w:r>
        <w:rPr>
          <w:rFonts w:cstheme="minorHAnsi"/>
          <w:b/>
          <w:bCs/>
          <w:color w:val="2C307E"/>
        </w:rPr>
        <w:t>Gender</w:t>
      </w:r>
    </w:p>
    <w:p w14:paraId="483ED2E9" w14:textId="74800065" w:rsidR="00D11F8D" w:rsidRDefault="00E33D8B" w:rsidP="00D11F8D">
      <w:pPr>
        <w:spacing w:after="0" w:line="276" w:lineRule="auto"/>
        <w:jc w:val="both"/>
        <w:rPr>
          <w:rFonts w:cstheme="minorHAnsi"/>
          <w:color w:val="2C307E"/>
        </w:rPr>
      </w:pPr>
      <w:r>
        <w:rPr>
          <w:rFonts w:cstheme="minorHAnsi"/>
          <w:color w:val="2C307E"/>
        </w:rPr>
        <w:t xml:space="preserve">In dit </w:t>
      </w:r>
      <w:r w:rsidR="00CD6660">
        <w:rPr>
          <w:rFonts w:cstheme="minorHAnsi"/>
          <w:color w:val="2C307E"/>
        </w:rPr>
        <w:t>laad</w:t>
      </w:r>
      <w:r>
        <w:rPr>
          <w:rFonts w:cstheme="minorHAnsi"/>
          <w:color w:val="2C307E"/>
        </w:rPr>
        <w:t xml:space="preserve">onderzoek is </w:t>
      </w:r>
      <w:r w:rsidR="00D11F8D" w:rsidRPr="000C0D36">
        <w:rPr>
          <w:rFonts w:cstheme="minorHAnsi"/>
          <w:color w:val="2C307E"/>
        </w:rPr>
        <w:t xml:space="preserve">90% van de </w:t>
      </w:r>
      <w:r>
        <w:rPr>
          <w:rFonts w:cstheme="minorHAnsi"/>
          <w:color w:val="2C307E"/>
        </w:rPr>
        <w:t>EV-rijders man. In heel Nederland is 70% van de privé EV-rijders man, volgens het CBS</w:t>
      </w:r>
      <w:r w:rsidR="00CD00D4">
        <w:rPr>
          <w:rStyle w:val="Voetnootmarkering"/>
          <w:rFonts w:cstheme="minorHAnsi"/>
          <w:color w:val="2C307E"/>
        </w:rPr>
        <w:footnoteReference w:id="2"/>
      </w:r>
      <w:r>
        <w:rPr>
          <w:rFonts w:cstheme="minorHAnsi"/>
          <w:color w:val="2C307E"/>
        </w:rPr>
        <w:t>. Voor zakelijke EV-rijders is onbekend wat de verdeling man-vrouw is in heel Nederland.</w:t>
      </w:r>
      <w:r w:rsidR="00D11F8D">
        <w:rPr>
          <w:rFonts w:cstheme="minorHAnsi"/>
          <w:color w:val="2C307E"/>
        </w:rPr>
        <w:t xml:space="preserve"> </w:t>
      </w:r>
      <w:r w:rsidR="00547A46">
        <w:rPr>
          <w:rFonts w:cstheme="minorHAnsi"/>
          <w:color w:val="2C307E"/>
        </w:rPr>
        <w:t xml:space="preserve">Hoewel </w:t>
      </w:r>
      <w:r w:rsidR="00626ECA">
        <w:rPr>
          <w:rFonts w:cstheme="minorHAnsi"/>
          <w:color w:val="2C307E"/>
        </w:rPr>
        <w:t xml:space="preserve">ook </w:t>
      </w:r>
      <w:r w:rsidR="00547A46">
        <w:rPr>
          <w:rFonts w:cstheme="minorHAnsi"/>
          <w:color w:val="2C307E"/>
        </w:rPr>
        <w:t>in de totale populatie het grote merendeel man is, zijn m</w:t>
      </w:r>
      <w:r w:rsidR="00D11F8D">
        <w:rPr>
          <w:rFonts w:cstheme="minorHAnsi"/>
          <w:color w:val="2C307E"/>
        </w:rPr>
        <w:t xml:space="preserve">annen </w:t>
      </w:r>
      <w:r w:rsidR="00547A46">
        <w:rPr>
          <w:rFonts w:cstheme="minorHAnsi"/>
          <w:color w:val="2C307E"/>
        </w:rPr>
        <w:t xml:space="preserve">toch </w:t>
      </w:r>
      <w:r w:rsidR="00D11F8D">
        <w:rPr>
          <w:rFonts w:cstheme="minorHAnsi"/>
          <w:color w:val="2C307E"/>
        </w:rPr>
        <w:t xml:space="preserve">oververtegenwoordigd in </w:t>
      </w:r>
      <w:r>
        <w:rPr>
          <w:rFonts w:cstheme="minorHAnsi"/>
          <w:color w:val="2C307E"/>
        </w:rPr>
        <w:t xml:space="preserve">deze </w:t>
      </w:r>
      <w:r w:rsidRPr="24F8A91B">
        <w:rPr>
          <w:color w:val="2C307E"/>
        </w:rPr>
        <w:t>steekproef</w:t>
      </w:r>
      <w:r w:rsidR="00D11F8D" w:rsidRPr="24F8A91B">
        <w:rPr>
          <w:color w:val="2C307E"/>
        </w:rPr>
        <w:t>.</w:t>
      </w:r>
      <w:r w:rsidR="00E66BCF">
        <w:rPr>
          <w:color w:val="2C307E"/>
        </w:rPr>
        <w:t xml:space="preserve"> Daarnaast geeft 71% van de respondenten aan dat een partner ook gebruik maakt van de elektrische auto.</w:t>
      </w:r>
    </w:p>
    <w:p w14:paraId="2D2E0D70" w14:textId="029EE84E" w:rsidR="00D11F8D" w:rsidRPr="00547A46" w:rsidRDefault="00D11F8D" w:rsidP="00547A46">
      <w:pPr>
        <w:spacing w:after="0" w:line="276" w:lineRule="auto"/>
        <w:jc w:val="both"/>
        <w:rPr>
          <w:rFonts w:cstheme="minorHAnsi"/>
          <w:b/>
          <w:bCs/>
          <w:color w:val="2C307E"/>
        </w:rPr>
      </w:pPr>
      <w:r w:rsidRPr="00547A46">
        <w:rPr>
          <w:rFonts w:cstheme="minorHAnsi"/>
          <w:b/>
          <w:bCs/>
          <w:color w:val="2C307E"/>
        </w:rPr>
        <w:t>Leeftijd</w:t>
      </w:r>
    </w:p>
    <w:p w14:paraId="5AC63E87" w14:textId="2754FEC8" w:rsidR="00D11F8D" w:rsidRDefault="00547A46" w:rsidP="00D11F8D">
      <w:pPr>
        <w:spacing w:after="0" w:line="276" w:lineRule="auto"/>
        <w:jc w:val="both"/>
        <w:rPr>
          <w:rFonts w:cstheme="minorHAnsi"/>
          <w:color w:val="2C307E"/>
        </w:rPr>
      </w:pPr>
      <w:r>
        <w:rPr>
          <w:rFonts w:cstheme="minorHAnsi"/>
          <w:color w:val="2C307E"/>
        </w:rPr>
        <w:t xml:space="preserve">De leeftijdsverdeling van de </w:t>
      </w:r>
      <w:r w:rsidR="00E33D8B">
        <w:rPr>
          <w:rFonts w:cstheme="minorHAnsi"/>
          <w:color w:val="2C307E"/>
        </w:rPr>
        <w:t>EV-rijder</w:t>
      </w:r>
      <w:r>
        <w:rPr>
          <w:rFonts w:cstheme="minorHAnsi"/>
          <w:color w:val="2C307E"/>
        </w:rPr>
        <w:t xml:space="preserve"> in dit onderzoek komt grofweg overeen met de leeftijdsverdeling van de EV-rijder</w:t>
      </w:r>
      <w:r w:rsidR="00CD00D4">
        <w:rPr>
          <w:rFonts w:cstheme="minorHAnsi"/>
          <w:color w:val="2C307E"/>
        </w:rPr>
        <w:t xml:space="preserve"> </w:t>
      </w:r>
      <w:r w:rsidR="00E33D8B">
        <w:rPr>
          <w:rFonts w:cstheme="minorHAnsi"/>
          <w:color w:val="2C307E"/>
        </w:rPr>
        <w:t>in Nederland</w:t>
      </w:r>
      <w:r w:rsidR="00CD00D4" w:rsidRPr="00CD00D4">
        <w:rPr>
          <w:rStyle w:val="Voetnootmarkering"/>
        </w:rPr>
        <w:t>1</w:t>
      </w:r>
      <w:r>
        <w:rPr>
          <w:rFonts w:cstheme="minorHAnsi"/>
          <w:color w:val="2C307E"/>
        </w:rPr>
        <w:t xml:space="preserve">. </w:t>
      </w:r>
      <w:r w:rsidR="00D11F8D">
        <w:rPr>
          <w:rFonts w:cstheme="minorHAnsi"/>
          <w:color w:val="2C307E"/>
        </w:rPr>
        <w:t xml:space="preserve">In </w:t>
      </w:r>
      <w:r w:rsidR="00E33D8B">
        <w:rPr>
          <w:rFonts w:cstheme="minorHAnsi"/>
          <w:color w:val="2C307E"/>
        </w:rPr>
        <w:t>de steekproef</w:t>
      </w:r>
      <w:r w:rsidR="00D11F8D">
        <w:rPr>
          <w:rFonts w:cstheme="minorHAnsi"/>
          <w:color w:val="2C307E"/>
        </w:rPr>
        <w:t xml:space="preserve"> zijn de leeftijdsgroepen </w:t>
      </w:r>
      <w:r w:rsidR="00626ECA">
        <w:rPr>
          <w:rFonts w:cstheme="minorHAnsi"/>
          <w:color w:val="2C307E"/>
        </w:rPr>
        <w:t>onder de</w:t>
      </w:r>
      <w:r w:rsidR="00D11F8D">
        <w:rPr>
          <w:rFonts w:cstheme="minorHAnsi"/>
          <w:color w:val="2C307E"/>
        </w:rPr>
        <w:t xml:space="preserve"> 50 jaar </w:t>
      </w:r>
      <w:r w:rsidR="00E33D8B">
        <w:rPr>
          <w:rFonts w:cstheme="minorHAnsi"/>
          <w:color w:val="2C307E"/>
        </w:rPr>
        <w:t>iets</w:t>
      </w:r>
      <w:r w:rsidR="00D11F8D">
        <w:rPr>
          <w:rFonts w:cstheme="minorHAnsi"/>
          <w:color w:val="2C307E"/>
        </w:rPr>
        <w:t xml:space="preserve"> ondervertegenwoordigd en de leeftijdsgroepen </w:t>
      </w:r>
      <w:r w:rsidR="00626ECA">
        <w:rPr>
          <w:rFonts w:cstheme="minorHAnsi"/>
          <w:color w:val="2C307E"/>
        </w:rPr>
        <w:t>ouder dan</w:t>
      </w:r>
      <w:r w:rsidR="00D11F8D">
        <w:rPr>
          <w:rFonts w:cstheme="minorHAnsi"/>
          <w:color w:val="2C307E"/>
        </w:rPr>
        <w:t xml:space="preserve"> 50</w:t>
      </w:r>
      <w:r w:rsidR="00626ECA">
        <w:rPr>
          <w:rFonts w:cstheme="minorHAnsi"/>
          <w:color w:val="2C307E"/>
        </w:rPr>
        <w:t xml:space="preserve"> jaar</w:t>
      </w:r>
      <w:r w:rsidR="00D11F8D">
        <w:rPr>
          <w:rFonts w:cstheme="minorHAnsi"/>
          <w:color w:val="2C307E"/>
        </w:rPr>
        <w:t xml:space="preserve"> iets oververtegenwoordigd</w:t>
      </w:r>
      <w:r w:rsidR="00E33D8B">
        <w:rPr>
          <w:rFonts w:cstheme="minorHAnsi"/>
          <w:color w:val="2C307E"/>
        </w:rPr>
        <w:t xml:space="preserve"> vergeleken met de totale populatie. </w:t>
      </w:r>
    </w:p>
    <w:p w14:paraId="272B691F" w14:textId="72686583" w:rsidR="006E1A1D" w:rsidRDefault="006E1A1D" w:rsidP="00D11F8D">
      <w:pPr>
        <w:spacing w:after="0" w:line="276" w:lineRule="auto"/>
        <w:jc w:val="both"/>
        <w:rPr>
          <w:rFonts w:cstheme="minorHAnsi"/>
          <w:color w:val="2C307E"/>
        </w:rPr>
      </w:pPr>
      <w:r>
        <w:rPr>
          <w:noProof/>
        </w:rPr>
        <w:drawing>
          <wp:inline distT="0" distB="0" distL="0" distR="0" wp14:anchorId="2A0B4D19" wp14:editId="2EE51243">
            <wp:extent cx="2655570" cy="1858488"/>
            <wp:effectExtent l="0" t="0" r="0" b="0"/>
            <wp:docPr id="1664036854" name="Grafiek 1">
              <a:extLst xmlns:a="http://schemas.openxmlformats.org/drawingml/2006/main">
                <a:ext uri="{FF2B5EF4-FFF2-40B4-BE49-F238E27FC236}">
                  <a16:creationId xmlns:a16="http://schemas.microsoft.com/office/drawing/2014/main" id="{4CAE7EE7-4087-33CB-4D28-6C97B02B942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7381C9CE" w14:textId="77777777" w:rsidR="00013A78" w:rsidRPr="00547A46" w:rsidRDefault="00013A78" w:rsidP="00547A46">
      <w:pPr>
        <w:spacing w:after="0" w:line="276" w:lineRule="auto"/>
        <w:jc w:val="both"/>
        <w:rPr>
          <w:rFonts w:cstheme="minorHAnsi"/>
          <w:b/>
          <w:bCs/>
          <w:color w:val="2C307E"/>
        </w:rPr>
      </w:pPr>
      <w:r w:rsidRPr="00547A46">
        <w:rPr>
          <w:rFonts w:cstheme="minorHAnsi"/>
          <w:b/>
          <w:bCs/>
          <w:color w:val="2C307E"/>
        </w:rPr>
        <w:t>Geografische spreiding</w:t>
      </w:r>
    </w:p>
    <w:p w14:paraId="7388651B" w14:textId="6A096CE4" w:rsidR="001F6042" w:rsidRDefault="001F6042" w:rsidP="00285448">
      <w:pPr>
        <w:spacing w:after="0" w:line="276" w:lineRule="auto"/>
        <w:jc w:val="both"/>
        <w:rPr>
          <w:rFonts w:cstheme="minorHAnsi"/>
          <w:color w:val="2C307E"/>
        </w:rPr>
      </w:pPr>
      <w:r w:rsidRPr="00013A78">
        <w:rPr>
          <w:rFonts w:cstheme="minorHAnsi"/>
          <w:color w:val="2C307E"/>
        </w:rPr>
        <w:t>Met 3</w:t>
      </w:r>
      <w:r w:rsidR="00FE7B2F" w:rsidRPr="00013A78">
        <w:rPr>
          <w:rFonts w:cstheme="minorHAnsi"/>
          <w:color w:val="2C307E"/>
        </w:rPr>
        <w:t>31 van de 342 gemeenten vertegenwoordigd</w:t>
      </w:r>
      <w:r w:rsidR="00E862FD">
        <w:rPr>
          <w:rFonts w:cstheme="minorHAnsi"/>
          <w:color w:val="2C307E"/>
        </w:rPr>
        <w:t xml:space="preserve">, heeft de steekproef een ruime </w:t>
      </w:r>
      <w:r w:rsidR="00FE7B2F" w:rsidRPr="00013A78">
        <w:rPr>
          <w:rFonts w:cstheme="minorHAnsi"/>
          <w:color w:val="2C307E"/>
        </w:rPr>
        <w:t>geografische spreiding.</w:t>
      </w:r>
      <w:r w:rsidR="00547A46">
        <w:rPr>
          <w:rFonts w:cstheme="minorHAnsi"/>
          <w:color w:val="2C307E"/>
        </w:rPr>
        <w:t xml:space="preserve"> </w:t>
      </w:r>
      <w:r w:rsidR="00DE1234">
        <w:rPr>
          <w:rFonts w:cstheme="minorHAnsi"/>
          <w:color w:val="2C307E"/>
        </w:rPr>
        <w:t>De verdeling EV-rijders per provincie komt</w:t>
      </w:r>
      <w:r w:rsidR="00547A46">
        <w:rPr>
          <w:rFonts w:cstheme="minorHAnsi"/>
          <w:color w:val="2C307E"/>
        </w:rPr>
        <w:t xml:space="preserve"> goed overeen</w:t>
      </w:r>
      <w:r w:rsidR="00626ECA">
        <w:rPr>
          <w:rFonts w:cstheme="minorHAnsi"/>
          <w:color w:val="2C307E"/>
        </w:rPr>
        <w:t xml:space="preserve"> </w:t>
      </w:r>
      <w:r w:rsidR="00547A46">
        <w:rPr>
          <w:rFonts w:cstheme="minorHAnsi"/>
          <w:color w:val="2C307E"/>
        </w:rPr>
        <w:t>met de spreiding van de</w:t>
      </w:r>
      <w:r w:rsidR="00626ECA">
        <w:rPr>
          <w:rFonts w:cstheme="minorHAnsi"/>
          <w:color w:val="2C307E"/>
        </w:rPr>
        <w:t xml:space="preserve"> totale populatie</w:t>
      </w:r>
      <w:r w:rsidR="00547A46">
        <w:rPr>
          <w:rFonts w:cstheme="minorHAnsi"/>
          <w:color w:val="2C307E"/>
        </w:rPr>
        <w:t>.</w:t>
      </w:r>
    </w:p>
    <w:p w14:paraId="3B6EC044" w14:textId="23F537F5" w:rsidR="006E1A1D" w:rsidRPr="00013A78" w:rsidRDefault="00604107" w:rsidP="00285448">
      <w:pPr>
        <w:spacing w:after="0" w:line="276" w:lineRule="auto"/>
        <w:jc w:val="both"/>
        <w:rPr>
          <w:rFonts w:cstheme="minorHAnsi"/>
          <w:color w:val="2C307E"/>
        </w:rPr>
      </w:pPr>
      <w:r>
        <w:rPr>
          <w:noProof/>
        </w:rPr>
        <w:drawing>
          <wp:inline distT="0" distB="0" distL="0" distR="0" wp14:anchorId="117065B5" wp14:editId="6C75D1CF">
            <wp:extent cx="2655570" cy="3333750"/>
            <wp:effectExtent l="0" t="0" r="0" b="0"/>
            <wp:docPr id="1128865753" name="Grafiek 1">
              <a:extLst xmlns:a="http://schemas.openxmlformats.org/drawingml/2006/main">
                <a:ext uri="{FF2B5EF4-FFF2-40B4-BE49-F238E27FC236}">
                  <a16:creationId xmlns:a16="http://schemas.microsoft.com/office/drawing/2014/main" id="{A6989C6A-A3FD-FB73-480F-1094C487631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2F50DBA9" w14:textId="065D3DCA" w:rsidR="00B938C1" w:rsidRPr="00547A46" w:rsidRDefault="00B938C1" w:rsidP="00547A46">
      <w:pPr>
        <w:spacing w:after="0" w:line="276" w:lineRule="auto"/>
        <w:jc w:val="both"/>
        <w:rPr>
          <w:rFonts w:cstheme="minorHAnsi"/>
          <w:b/>
          <w:bCs/>
          <w:color w:val="2C307E"/>
        </w:rPr>
      </w:pPr>
      <w:r w:rsidRPr="00547A46">
        <w:rPr>
          <w:rFonts w:cstheme="minorHAnsi"/>
          <w:b/>
          <w:bCs/>
          <w:color w:val="2C307E"/>
        </w:rPr>
        <w:lastRenderedPageBreak/>
        <w:t>Jaarlijks gereden kilometers</w:t>
      </w:r>
    </w:p>
    <w:p w14:paraId="7A8AA3C2" w14:textId="7EADBA77" w:rsidR="0084158B" w:rsidRDefault="00BE3467" w:rsidP="0084158B">
      <w:pPr>
        <w:spacing w:after="0" w:line="276" w:lineRule="auto"/>
        <w:jc w:val="both"/>
        <w:rPr>
          <w:rFonts w:cstheme="minorHAnsi"/>
          <w:color w:val="2C307E"/>
        </w:rPr>
      </w:pPr>
      <w:r>
        <w:rPr>
          <w:rFonts w:cstheme="minorHAnsi"/>
          <w:color w:val="2C307E"/>
        </w:rPr>
        <w:t xml:space="preserve">In dit onderzoek rijdt de EV-rijder gemiddeld 20.700 km per jaar. </w:t>
      </w:r>
      <w:r w:rsidR="000C0D36">
        <w:rPr>
          <w:rFonts w:cstheme="minorHAnsi"/>
          <w:color w:val="2C307E"/>
        </w:rPr>
        <w:t>Eind 2023 rapporteerde het</w:t>
      </w:r>
      <w:r>
        <w:rPr>
          <w:rFonts w:cstheme="minorHAnsi"/>
          <w:color w:val="2C307E"/>
        </w:rPr>
        <w:t xml:space="preserve"> CBS</w:t>
      </w:r>
      <w:r w:rsidR="00CD00D4">
        <w:rPr>
          <w:rStyle w:val="Voetnootmarkering"/>
          <w:rFonts w:cstheme="minorHAnsi"/>
          <w:color w:val="2C307E"/>
        </w:rPr>
        <w:footnoteReference w:id="3"/>
      </w:r>
      <w:r>
        <w:rPr>
          <w:rFonts w:cstheme="minorHAnsi"/>
          <w:color w:val="2C307E"/>
        </w:rPr>
        <w:t xml:space="preserve"> </w:t>
      </w:r>
      <w:r w:rsidR="000C0D36">
        <w:rPr>
          <w:rFonts w:cstheme="minorHAnsi"/>
          <w:color w:val="2C307E"/>
        </w:rPr>
        <w:t xml:space="preserve">gemiddeld </w:t>
      </w:r>
      <w:r>
        <w:rPr>
          <w:rFonts w:cstheme="minorHAnsi"/>
          <w:color w:val="2C307E"/>
        </w:rPr>
        <w:t xml:space="preserve">21.350 </w:t>
      </w:r>
      <w:r w:rsidR="000C0D36">
        <w:rPr>
          <w:rFonts w:cstheme="minorHAnsi"/>
          <w:color w:val="2C307E"/>
        </w:rPr>
        <w:t xml:space="preserve">jaarlijkse </w:t>
      </w:r>
      <w:r>
        <w:rPr>
          <w:rFonts w:cstheme="minorHAnsi"/>
          <w:color w:val="2C307E"/>
        </w:rPr>
        <w:t>k</w:t>
      </w:r>
      <w:r w:rsidR="000C0D36">
        <w:rPr>
          <w:rFonts w:cstheme="minorHAnsi"/>
          <w:color w:val="2C307E"/>
        </w:rPr>
        <w:t>ilometers voor volledig elektrische auto’s.</w:t>
      </w:r>
      <w:r>
        <w:rPr>
          <w:rFonts w:cstheme="minorHAnsi"/>
          <w:color w:val="2C307E"/>
        </w:rPr>
        <w:t xml:space="preserve"> </w:t>
      </w:r>
      <w:r w:rsidR="00CD00D4">
        <w:rPr>
          <w:rFonts w:cstheme="minorHAnsi"/>
          <w:color w:val="2C307E"/>
        </w:rPr>
        <w:t>De kilometrages van de respondenten uit dit onderzoek komen nagenoeg overeen met de kilometrages van de totale populatie.</w:t>
      </w:r>
    </w:p>
    <w:p w14:paraId="17FB03B3" w14:textId="77777777" w:rsidR="006E1A1D" w:rsidRPr="0084158B" w:rsidRDefault="006E1A1D" w:rsidP="0084158B">
      <w:pPr>
        <w:spacing w:after="0" w:line="276" w:lineRule="auto"/>
        <w:jc w:val="both"/>
        <w:rPr>
          <w:rFonts w:cstheme="minorHAnsi"/>
          <w:color w:val="2C307E"/>
        </w:rPr>
      </w:pPr>
    </w:p>
    <w:p w14:paraId="40EBD72E" w14:textId="03DC346F" w:rsidR="000C0D36" w:rsidRPr="00CD00D4" w:rsidRDefault="000C0D36" w:rsidP="00CD00D4">
      <w:pPr>
        <w:spacing w:after="0" w:line="276" w:lineRule="auto"/>
        <w:jc w:val="both"/>
        <w:rPr>
          <w:b/>
          <w:color w:val="2C307E"/>
        </w:rPr>
      </w:pPr>
      <w:r w:rsidRPr="3BCD6CF3">
        <w:rPr>
          <w:b/>
          <w:color w:val="2C307E"/>
        </w:rPr>
        <w:t>Privé of zakelijk</w:t>
      </w:r>
    </w:p>
    <w:p w14:paraId="09D8518D" w14:textId="59949125" w:rsidR="001F5058" w:rsidRDefault="002C53AF" w:rsidP="008D033B">
      <w:pPr>
        <w:spacing w:after="0" w:line="276" w:lineRule="auto"/>
        <w:jc w:val="both"/>
        <w:rPr>
          <w:rFonts w:cstheme="minorHAnsi"/>
          <w:color w:val="2C307E"/>
        </w:rPr>
      </w:pPr>
      <w:r w:rsidRPr="000C0D36">
        <w:rPr>
          <w:rFonts w:cstheme="minorHAnsi"/>
          <w:color w:val="2C307E"/>
        </w:rPr>
        <w:t>65% van de deelnemers rijdt de auto privé (54% koop</w:t>
      </w:r>
      <w:r w:rsidR="00DE1234">
        <w:rPr>
          <w:rFonts w:cstheme="minorHAnsi"/>
          <w:color w:val="2C307E"/>
        </w:rPr>
        <w:t xml:space="preserve"> en</w:t>
      </w:r>
      <w:r w:rsidRPr="000C0D36">
        <w:rPr>
          <w:rFonts w:cstheme="minorHAnsi"/>
          <w:color w:val="2C307E"/>
        </w:rPr>
        <w:t xml:space="preserve"> 11% lease)</w:t>
      </w:r>
      <w:r w:rsidR="000C0D36">
        <w:rPr>
          <w:rFonts w:cstheme="minorHAnsi"/>
          <w:color w:val="2C307E"/>
        </w:rPr>
        <w:t xml:space="preserve">. </w:t>
      </w:r>
      <w:r w:rsidR="008D033B">
        <w:rPr>
          <w:rFonts w:cstheme="minorHAnsi"/>
          <w:color w:val="2C307E"/>
        </w:rPr>
        <w:t xml:space="preserve">In het </w:t>
      </w:r>
      <w:r w:rsidR="00DE1234">
        <w:rPr>
          <w:rFonts w:cstheme="minorHAnsi"/>
          <w:color w:val="2C307E"/>
        </w:rPr>
        <w:t xml:space="preserve">totale </w:t>
      </w:r>
      <w:r w:rsidR="008D033B">
        <w:rPr>
          <w:rFonts w:cstheme="minorHAnsi"/>
          <w:color w:val="2C307E"/>
        </w:rPr>
        <w:t xml:space="preserve">wagenpark per </w:t>
      </w:r>
      <w:r w:rsidR="00DE1234">
        <w:rPr>
          <w:rFonts w:cstheme="minorHAnsi"/>
          <w:color w:val="2C307E"/>
        </w:rPr>
        <w:t>december 2024</w:t>
      </w:r>
      <w:r w:rsidR="001F5058">
        <w:rPr>
          <w:rFonts w:cstheme="minorHAnsi"/>
          <w:color w:val="2C307E"/>
        </w:rPr>
        <w:t xml:space="preserve"> is 37% privé koop, 9% priv</w:t>
      </w:r>
      <w:r w:rsidR="00D21A75">
        <w:rPr>
          <w:rFonts w:cstheme="minorHAnsi"/>
          <w:color w:val="2C307E"/>
        </w:rPr>
        <w:t>ate</w:t>
      </w:r>
      <w:r w:rsidR="001F5058">
        <w:rPr>
          <w:rFonts w:cstheme="minorHAnsi"/>
          <w:color w:val="2C307E"/>
        </w:rPr>
        <w:t xml:space="preserve"> lease en 54% zakelijk</w:t>
      </w:r>
      <w:r w:rsidR="00A5458C">
        <w:rPr>
          <w:rFonts w:cstheme="minorHAnsi"/>
          <w:color w:val="2C307E"/>
        </w:rPr>
        <w:t>.</w:t>
      </w:r>
      <w:r w:rsidR="00CD00D4">
        <w:rPr>
          <w:rStyle w:val="Voetnootmarkering"/>
          <w:rFonts w:cstheme="minorHAnsi"/>
          <w:color w:val="2C307E"/>
        </w:rPr>
        <w:footnoteReference w:id="4"/>
      </w:r>
      <w:r w:rsidR="001F5058">
        <w:rPr>
          <w:rFonts w:cstheme="minorHAnsi"/>
          <w:color w:val="2C307E"/>
        </w:rPr>
        <w:t xml:space="preserve"> </w:t>
      </w:r>
      <w:r w:rsidR="001F5058" w:rsidRPr="001F5058">
        <w:rPr>
          <w:rFonts w:cstheme="minorHAnsi"/>
          <w:color w:val="2C307E"/>
        </w:rPr>
        <w:t xml:space="preserve">Privé koop </w:t>
      </w:r>
      <w:r w:rsidR="00804342">
        <w:rPr>
          <w:rFonts w:cstheme="minorHAnsi"/>
          <w:color w:val="2C307E"/>
        </w:rPr>
        <w:t>is</w:t>
      </w:r>
      <w:r w:rsidR="001F5058" w:rsidRPr="001F5058">
        <w:rPr>
          <w:rFonts w:cstheme="minorHAnsi"/>
          <w:color w:val="2C307E"/>
        </w:rPr>
        <w:t xml:space="preserve"> ie</w:t>
      </w:r>
      <w:r w:rsidR="001F5058">
        <w:rPr>
          <w:rFonts w:cstheme="minorHAnsi"/>
          <w:color w:val="2C307E"/>
        </w:rPr>
        <w:t>ts oververtegenwoordigd in dit onderzoek</w:t>
      </w:r>
      <w:r w:rsidR="003B3A30">
        <w:rPr>
          <w:rFonts w:cstheme="minorHAnsi"/>
          <w:color w:val="2C307E"/>
        </w:rPr>
        <w:t xml:space="preserve"> en de zakelijke constructie is wat ondervertegenwoordigd</w:t>
      </w:r>
      <w:r w:rsidR="006E1A1D">
        <w:rPr>
          <w:rFonts w:cstheme="minorHAnsi"/>
          <w:color w:val="2C307E"/>
        </w:rPr>
        <w:t>.</w:t>
      </w:r>
    </w:p>
    <w:p w14:paraId="0B4BFA73" w14:textId="47787927" w:rsidR="006E1A1D" w:rsidRPr="001F5058" w:rsidRDefault="00604107" w:rsidP="008D033B">
      <w:pPr>
        <w:spacing w:after="0" w:line="276" w:lineRule="auto"/>
        <w:jc w:val="both"/>
        <w:rPr>
          <w:rFonts w:cstheme="minorHAnsi"/>
          <w:color w:val="2C307E"/>
        </w:rPr>
      </w:pPr>
      <w:r>
        <w:rPr>
          <w:noProof/>
        </w:rPr>
        <w:drawing>
          <wp:inline distT="0" distB="0" distL="0" distR="0" wp14:anchorId="73CCB95D" wp14:editId="74985561">
            <wp:extent cx="2655570" cy="1665027"/>
            <wp:effectExtent l="0" t="0" r="0" b="0"/>
            <wp:docPr id="1455217664" name="Grafiek 1">
              <a:extLst xmlns:a="http://schemas.openxmlformats.org/drawingml/2006/main">
                <a:ext uri="{FF2B5EF4-FFF2-40B4-BE49-F238E27FC236}">
                  <a16:creationId xmlns:a16="http://schemas.microsoft.com/office/drawing/2014/main" id="{2A773E69-EC09-7209-8D80-C2C79BA78B3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64CB696A" w14:textId="65A5745D" w:rsidR="000C0D36" w:rsidRPr="00CD00D4" w:rsidRDefault="000C0D36" w:rsidP="00CD00D4">
      <w:pPr>
        <w:spacing w:after="0" w:line="276" w:lineRule="auto"/>
        <w:jc w:val="both"/>
        <w:rPr>
          <w:rFonts w:cstheme="minorHAnsi"/>
          <w:b/>
          <w:bCs/>
          <w:color w:val="2C307E"/>
        </w:rPr>
      </w:pPr>
      <w:r w:rsidRPr="00CD00D4">
        <w:rPr>
          <w:rFonts w:cstheme="minorHAnsi"/>
          <w:b/>
          <w:bCs/>
          <w:color w:val="2C307E"/>
        </w:rPr>
        <w:t xml:space="preserve">Nieuw of tweedehands </w:t>
      </w:r>
    </w:p>
    <w:p w14:paraId="54AF03E5" w14:textId="188C493E" w:rsidR="005D159A" w:rsidRDefault="000C0D36" w:rsidP="005D159A">
      <w:pPr>
        <w:spacing w:after="0" w:line="276" w:lineRule="auto"/>
        <w:jc w:val="both"/>
        <w:rPr>
          <w:rFonts w:cstheme="minorHAnsi"/>
          <w:color w:val="2C307E"/>
        </w:rPr>
      </w:pPr>
      <w:r>
        <w:rPr>
          <w:rFonts w:cstheme="minorHAnsi"/>
          <w:color w:val="2C307E"/>
        </w:rPr>
        <w:t xml:space="preserve">In dit onderzoek rijdt </w:t>
      </w:r>
      <w:r w:rsidR="002C53AF" w:rsidRPr="000C0D36">
        <w:rPr>
          <w:rFonts w:cstheme="minorHAnsi"/>
          <w:color w:val="2C307E"/>
        </w:rPr>
        <w:t xml:space="preserve">73% </w:t>
      </w:r>
      <w:r w:rsidR="006A5EA7" w:rsidRPr="000C0D36">
        <w:rPr>
          <w:rFonts w:cstheme="minorHAnsi"/>
          <w:color w:val="2C307E"/>
        </w:rPr>
        <w:t xml:space="preserve">een </w:t>
      </w:r>
      <w:r w:rsidR="002C53AF" w:rsidRPr="000C0D36">
        <w:rPr>
          <w:rFonts w:cstheme="minorHAnsi"/>
          <w:color w:val="2C307E"/>
        </w:rPr>
        <w:t>nieu</w:t>
      </w:r>
      <w:r w:rsidR="006A5EA7" w:rsidRPr="000C0D36">
        <w:rPr>
          <w:rFonts w:cstheme="minorHAnsi"/>
          <w:color w:val="2C307E"/>
        </w:rPr>
        <w:t>we EV</w:t>
      </w:r>
      <w:r w:rsidR="002C53AF" w:rsidRPr="000C0D36">
        <w:rPr>
          <w:rFonts w:cstheme="minorHAnsi"/>
          <w:color w:val="2C307E"/>
        </w:rPr>
        <w:t>.</w:t>
      </w:r>
      <w:r>
        <w:rPr>
          <w:rFonts w:cstheme="minorHAnsi"/>
          <w:color w:val="2C307E"/>
        </w:rPr>
        <w:t xml:space="preserve"> </w:t>
      </w:r>
      <w:r w:rsidR="005D159A">
        <w:rPr>
          <w:rFonts w:cstheme="minorHAnsi"/>
          <w:color w:val="2C307E"/>
        </w:rPr>
        <w:t xml:space="preserve">In het wagenpark </w:t>
      </w:r>
      <w:r w:rsidR="007718A4">
        <w:rPr>
          <w:rFonts w:cstheme="minorHAnsi"/>
          <w:color w:val="2C307E"/>
        </w:rPr>
        <w:t xml:space="preserve">per </w:t>
      </w:r>
      <w:r w:rsidR="00DE1234">
        <w:rPr>
          <w:rFonts w:cstheme="minorHAnsi"/>
          <w:color w:val="2C307E"/>
        </w:rPr>
        <w:t>juni 2025</w:t>
      </w:r>
      <w:r w:rsidR="007718A4">
        <w:rPr>
          <w:rFonts w:cstheme="minorHAnsi"/>
          <w:color w:val="2C307E"/>
        </w:rPr>
        <w:t xml:space="preserve"> is 62% van de elektrische personenauto</w:t>
      </w:r>
      <w:r w:rsidR="006A5EA7">
        <w:rPr>
          <w:rFonts w:cstheme="minorHAnsi"/>
          <w:color w:val="2C307E"/>
        </w:rPr>
        <w:t>’</w:t>
      </w:r>
      <w:r w:rsidR="007718A4">
        <w:rPr>
          <w:rFonts w:cstheme="minorHAnsi"/>
          <w:color w:val="2C307E"/>
        </w:rPr>
        <w:t xml:space="preserve">s </w:t>
      </w:r>
      <w:r w:rsidR="006A5EA7">
        <w:rPr>
          <w:rFonts w:cstheme="minorHAnsi"/>
          <w:color w:val="2C307E"/>
        </w:rPr>
        <w:t>nieuw aangeschaft en in bezit van de eerste eigenaar.</w:t>
      </w:r>
      <w:r>
        <w:rPr>
          <w:rFonts w:cstheme="minorHAnsi"/>
          <w:color w:val="2C307E"/>
        </w:rPr>
        <w:t xml:space="preserve"> Nieuwe auto’s zijn dus iets oververtegenwoordigd in dit onde</w:t>
      </w:r>
      <w:r w:rsidR="006E1A1D">
        <w:rPr>
          <w:rFonts w:cstheme="minorHAnsi"/>
          <w:color w:val="2C307E"/>
        </w:rPr>
        <w:t>r</w:t>
      </w:r>
      <w:r>
        <w:rPr>
          <w:rFonts w:cstheme="minorHAnsi"/>
          <w:color w:val="2C307E"/>
        </w:rPr>
        <w:t>zoek.</w:t>
      </w:r>
    </w:p>
    <w:p w14:paraId="54E08CAF" w14:textId="46150DF7" w:rsidR="00604107" w:rsidRDefault="00604107" w:rsidP="005D159A">
      <w:pPr>
        <w:spacing w:after="0" w:line="276" w:lineRule="auto"/>
        <w:jc w:val="both"/>
        <w:rPr>
          <w:rFonts w:cstheme="minorHAnsi"/>
          <w:color w:val="2C307E"/>
        </w:rPr>
      </w:pPr>
      <w:r>
        <w:rPr>
          <w:noProof/>
        </w:rPr>
        <w:drawing>
          <wp:inline distT="0" distB="0" distL="0" distR="0" wp14:anchorId="30C5894F" wp14:editId="08A31CE6">
            <wp:extent cx="2655570" cy="1855227"/>
            <wp:effectExtent l="0" t="0" r="0" b="0"/>
            <wp:docPr id="854531605" name="Grafiek 1">
              <a:extLst xmlns:a="http://schemas.openxmlformats.org/drawingml/2006/main">
                <a:ext uri="{FF2B5EF4-FFF2-40B4-BE49-F238E27FC236}">
                  <a16:creationId xmlns:a16="http://schemas.microsoft.com/office/drawing/2014/main" id="{3A4D430A-D2A8-94C9-3C59-E1CABC99C21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06524704" w14:textId="1251CDA6" w:rsidR="00D11F8D" w:rsidRPr="00CD00D4" w:rsidRDefault="00604107" w:rsidP="00CD00D4">
      <w:pPr>
        <w:spacing w:after="0" w:line="276" w:lineRule="auto"/>
        <w:jc w:val="both"/>
        <w:rPr>
          <w:rFonts w:cstheme="minorHAnsi"/>
          <w:b/>
          <w:bCs/>
          <w:color w:val="2C307E"/>
        </w:rPr>
      </w:pPr>
      <w:r w:rsidRPr="00CD00D4">
        <w:rPr>
          <w:rFonts w:cstheme="minorHAnsi"/>
          <w:b/>
          <w:bCs/>
          <w:color w:val="2C307E"/>
        </w:rPr>
        <w:t>M</w:t>
      </w:r>
      <w:r w:rsidR="00D11F8D" w:rsidRPr="00CD00D4">
        <w:rPr>
          <w:rFonts w:cstheme="minorHAnsi"/>
          <w:b/>
          <w:bCs/>
          <w:color w:val="2C307E"/>
        </w:rPr>
        <w:t>odellen elektrische auto’s</w:t>
      </w:r>
    </w:p>
    <w:p w14:paraId="1D7B1156" w14:textId="190D162D" w:rsidR="00D11F8D" w:rsidRDefault="00D11F8D" w:rsidP="00D11F8D">
      <w:pPr>
        <w:spacing w:after="0" w:line="276" w:lineRule="auto"/>
        <w:jc w:val="both"/>
        <w:rPr>
          <w:rFonts w:cstheme="minorHAnsi"/>
          <w:color w:val="2C307E"/>
        </w:rPr>
      </w:pPr>
      <w:r w:rsidRPr="00285448">
        <w:rPr>
          <w:rFonts w:cstheme="minorHAnsi"/>
          <w:color w:val="2C307E"/>
        </w:rPr>
        <w:t xml:space="preserve">Uit een vergelijking van autobezit blijkt dat de </w:t>
      </w:r>
      <w:r w:rsidR="00751FB4">
        <w:rPr>
          <w:rFonts w:cstheme="minorHAnsi"/>
          <w:color w:val="2C307E"/>
        </w:rPr>
        <w:t>t</w:t>
      </w:r>
      <w:r w:rsidRPr="00285448">
        <w:rPr>
          <w:rFonts w:cstheme="minorHAnsi"/>
          <w:color w:val="2C307E"/>
        </w:rPr>
        <w:t xml:space="preserve">op </w:t>
      </w:r>
      <w:r w:rsidR="00751FB4">
        <w:rPr>
          <w:rFonts w:cstheme="minorHAnsi"/>
          <w:color w:val="2C307E"/>
        </w:rPr>
        <w:t>tien</w:t>
      </w:r>
      <w:r w:rsidRPr="00285448">
        <w:rPr>
          <w:rFonts w:cstheme="minorHAnsi"/>
          <w:color w:val="2C307E"/>
        </w:rPr>
        <w:t xml:space="preserve"> automodellen </w:t>
      </w:r>
      <w:r w:rsidR="00DE1234">
        <w:rPr>
          <w:rFonts w:cstheme="minorHAnsi"/>
          <w:color w:val="2C307E"/>
        </w:rPr>
        <w:t>in</w:t>
      </w:r>
      <w:r w:rsidRPr="00285448">
        <w:rPr>
          <w:rFonts w:cstheme="minorHAnsi"/>
          <w:color w:val="2C307E"/>
        </w:rPr>
        <w:t xml:space="preserve"> </w:t>
      </w:r>
      <w:r w:rsidR="00DE1234">
        <w:rPr>
          <w:rFonts w:cstheme="minorHAnsi"/>
          <w:color w:val="2C307E"/>
        </w:rPr>
        <w:t>de steekproef</w:t>
      </w:r>
      <w:r w:rsidRPr="00285448">
        <w:rPr>
          <w:rFonts w:cstheme="minorHAnsi"/>
          <w:color w:val="2C307E"/>
        </w:rPr>
        <w:t xml:space="preserve"> grotendeels overeenkomt met de Top 10 automodellen in Nederland. </w:t>
      </w:r>
    </w:p>
    <w:p w14:paraId="5FD33571" w14:textId="6E34A143" w:rsidR="00C04BCD" w:rsidRDefault="00C04BCD" w:rsidP="00CD00D4">
      <w:pPr>
        <w:spacing w:after="0" w:line="276" w:lineRule="auto"/>
        <w:jc w:val="both"/>
        <w:rPr>
          <w:rFonts w:cstheme="minorHAnsi"/>
          <w:b/>
          <w:bCs/>
          <w:color w:val="2C307E"/>
        </w:rPr>
      </w:pPr>
      <w:r>
        <w:rPr>
          <w:noProof/>
        </w:rPr>
        <w:drawing>
          <wp:inline distT="0" distB="0" distL="0" distR="0" wp14:anchorId="741B79AD" wp14:editId="36843A10">
            <wp:extent cx="2655570" cy="5162550"/>
            <wp:effectExtent l="0" t="0" r="0" b="0"/>
            <wp:docPr id="1115562474" name="Grafiek 1">
              <a:extLst xmlns:a="http://schemas.openxmlformats.org/drawingml/2006/main">
                <a:ext uri="{FF2B5EF4-FFF2-40B4-BE49-F238E27FC236}">
                  <a16:creationId xmlns:a16="http://schemas.microsoft.com/office/drawing/2014/main" id="{DF6715A8-56DA-02F4-6D49-A090FD6C892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7E3D4486" w14:textId="24AEC549" w:rsidR="00D11F8D" w:rsidRPr="00CD00D4" w:rsidRDefault="00D11F8D" w:rsidP="00CD00D4">
      <w:pPr>
        <w:spacing w:after="0" w:line="276" w:lineRule="auto"/>
        <w:jc w:val="both"/>
        <w:rPr>
          <w:rFonts w:cstheme="minorHAnsi"/>
          <w:b/>
          <w:bCs/>
          <w:color w:val="2C307E"/>
        </w:rPr>
      </w:pPr>
      <w:r w:rsidRPr="00CD00D4">
        <w:rPr>
          <w:rFonts w:cstheme="minorHAnsi"/>
          <w:b/>
          <w:bCs/>
          <w:color w:val="2C307E"/>
        </w:rPr>
        <w:t xml:space="preserve">Lid van de </w:t>
      </w:r>
      <w:r w:rsidR="00DE1234">
        <w:rPr>
          <w:rFonts w:cstheme="minorHAnsi"/>
          <w:b/>
          <w:bCs/>
          <w:color w:val="2C307E"/>
        </w:rPr>
        <w:t>V</w:t>
      </w:r>
      <w:r w:rsidRPr="00CD00D4">
        <w:rPr>
          <w:rFonts w:cstheme="minorHAnsi"/>
          <w:b/>
          <w:bCs/>
          <w:color w:val="2C307E"/>
        </w:rPr>
        <w:t xml:space="preserve">ereniging </w:t>
      </w:r>
      <w:r w:rsidR="00DE1234">
        <w:rPr>
          <w:rFonts w:cstheme="minorHAnsi"/>
          <w:b/>
          <w:bCs/>
          <w:color w:val="2C307E"/>
        </w:rPr>
        <w:t>El</w:t>
      </w:r>
      <w:r w:rsidRPr="00CD00D4">
        <w:rPr>
          <w:rFonts w:cstheme="minorHAnsi"/>
          <w:b/>
          <w:bCs/>
          <w:color w:val="2C307E"/>
        </w:rPr>
        <w:t xml:space="preserve">ektrische </w:t>
      </w:r>
      <w:r w:rsidR="00DE1234">
        <w:rPr>
          <w:rFonts w:cstheme="minorHAnsi"/>
          <w:b/>
          <w:bCs/>
          <w:color w:val="2C307E"/>
        </w:rPr>
        <w:t>R</w:t>
      </w:r>
      <w:r w:rsidRPr="00CD00D4">
        <w:rPr>
          <w:rFonts w:cstheme="minorHAnsi"/>
          <w:b/>
          <w:bCs/>
          <w:color w:val="2C307E"/>
        </w:rPr>
        <w:t>ijders</w:t>
      </w:r>
    </w:p>
    <w:p w14:paraId="6744F2A5" w14:textId="77777777" w:rsidR="00A91524" w:rsidRDefault="00D11F8D" w:rsidP="006A5EA7">
      <w:pPr>
        <w:spacing w:after="0" w:line="276" w:lineRule="auto"/>
        <w:jc w:val="both"/>
        <w:rPr>
          <w:rFonts w:cstheme="minorHAnsi"/>
          <w:color w:val="2C307E"/>
        </w:rPr>
      </w:pPr>
      <w:r w:rsidRPr="00285448">
        <w:rPr>
          <w:rFonts w:cstheme="minorHAnsi"/>
          <w:color w:val="2C307E"/>
        </w:rPr>
        <w:t xml:space="preserve">50% van </w:t>
      </w:r>
      <w:r>
        <w:rPr>
          <w:rFonts w:cstheme="minorHAnsi"/>
          <w:color w:val="2C307E"/>
        </w:rPr>
        <w:t>de deelnemers aan dit onderzoek</w:t>
      </w:r>
      <w:r w:rsidRPr="00285448">
        <w:rPr>
          <w:rFonts w:cstheme="minorHAnsi"/>
          <w:color w:val="2C307E"/>
        </w:rPr>
        <w:t xml:space="preserve"> is lid van de VER</w:t>
      </w:r>
      <w:r>
        <w:rPr>
          <w:rFonts w:cstheme="minorHAnsi"/>
          <w:color w:val="2C307E"/>
        </w:rPr>
        <w:t>. Landelijk is ongeveer 3% van de EV-rijders lid van de VER</w:t>
      </w:r>
      <w:r w:rsidR="00CD00D4">
        <w:rPr>
          <w:rFonts w:cstheme="minorHAnsi"/>
          <w:color w:val="2C307E"/>
        </w:rPr>
        <w:t xml:space="preserve"> (16.000 leden op een totale populatie van 615.000 batterij-elektrische personenauto’s)</w:t>
      </w:r>
      <w:r>
        <w:rPr>
          <w:rFonts w:cstheme="minorHAnsi"/>
          <w:color w:val="2C307E"/>
        </w:rPr>
        <w:t>.</w:t>
      </w:r>
      <w:r w:rsidR="00A91524">
        <w:rPr>
          <w:rFonts w:cstheme="minorHAnsi"/>
          <w:color w:val="2C307E"/>
        </w:rPr>
        <w:t xml:space="preserve"> </w:t>
      </w:r>
    </w:p>
    <w:p w14:paraId="13872150" w14:textId="0823FA46" w:rsidR="00604107" w:rsidRDefault="00A91524" w:rsidP="006A5EA7">
      <w:pPr>
        <w:spacing w:after="0" w:line="276" w:lineRule="auto"/>
        <w:jc w:val="both"/>
        <w:rPr>
          <w:rFonts w:cstheme="minorHAnsi"/>
          <w:b/>
          <w:bCs/>
          <w:color w:val="2C307E"/>
        </w:rPr>
      </w:pPr>
      <w:r w:rsidRPr="00A91524">
        <w:rPr>
          <w:rFonts w:cstheme="minorHAnsi"/>
          <w:color w:val="2C307E"/>
        </w:rPr>
        <w:t>VER-leden zijn dus oververtegenwoordigd in deze steekproef. Dat is logischerwijs te verklaren doordat het onderzoek meer bereik heeft onder VER-leden.</w:t>
      </w:r>
    </w:p>
    <w:p w14:paraId="305F630C" w14:textId="77777777" w:rsidR="001C5EF7" w:rsidRDefault="001C5EF7" w:rsidP="006A5EA7">
      <w:pPr>
        <w:spacing w:after="0" w:line="276" w:lineRule="auto"/>
        <w:jc w:val="both"/>
        <w:rPr>
          <w:rFonts w:cstheme="minorHAnsi"/>
          <w:b/>
          <w:bCs/>
          <w:color w:val="2C307E"/>
        </w:rPr>
      </w:pPr>
    </w:p>
    <w:p w14:paraId="338D6C7A" w14:textId="0E6D51A0" w:rsidR="00EA03AE" w:rsidRDefault="00EA03AE" w:rsidP="00EA03AE">
      <w:pPr>
        <w:spacing w:after="0" w:line="276" w:lineRule="auto"/>
        <w:jc w:val="both"/>
        <w:rPr>
          <w:rFonts w:cstheme="minorHAnsi"/>
          <w:b/>
          <w:bCs/>
          <w:color w:val="2C307E"/>
        </w:rPr>
      </w:pPr>
      <w:r>
        <w:rPr>
          <w:rFonts w:cstheme="minorHAnsi"/>
          <w:b/>
          <w:bCs/>
          <w:color w:val="2C307E"/>
        </w:rPr>
        <w:lastRenderedPageBreak/>
        <w:t xml:space="preserve">Meer dan de helft van de deelnemers doet voor het eerst mee aan het nationaal laadonderzoek. </w:t>
      </w:r>
    </w:p>
    <w:p w14:paraId="357A644D" w14:textId="5D5E885B" w:rsidR="00EA03AE" w:rsidRPr="001C5EF7" w:rsidRDefault="00EA03AE" w:rsidP="00EA03AE">
      <w:pPr>
        <w:spacing w:after="0" w:line="276" w:lineRule="auto"/>
        <w:jc w:val="both"/>
        <w:rPr>
          <w:rFonts w:cstheme="minorHAnsi"/>
          <w:b/>
          <w:bCs/>
          <w:color w:val="2C307E"/>
        </w:rPr>
      </w:pPr>
      <w:r>
        <w:rPr>
          <w:noProof/>
        </w:rPr>
        <w:drawing>
          <wp:inline distT="0" distB="0" distL="0" distR="0" wp14:anchorId="140DF735" wp14:editId="76D17202">
            <wp:extent cx="2655570" cy="1924335"/>
            <wp:effectExtent l="0" t="0" r="0" b="0"/>
            <wp:docPr id="1047157440" name="Grafiek 1">
              <a:extLst xmlns:a="http://schemas.openxmlformats.org/drawingml/2006/main">
                <a:ext uri="{FF2B5EF4-FFF2-40B4-BE49-F238E27FC236}">
                  <a16:creationId xmlns:a16="http://schemas.microsoft.com/office/drawing/2014/main" id="{5754CF8D-C52A-A9E1-7D72-99FBB6ECE8A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364536D8" w14:textId="06097FD9" w:rsidR="007D3702" w:rsidRDefault="007D3702" w:rsidP="006A5EA7">
      <w:pPr>
        <w:spacing w:after="0" w:line="276" w:lineRule="auto"/>
        <w:jc w:val="both"/>
        <w:rPr>
          <w:rFonts w:cstheme="minorHAnsi"/>
          <w:b/>
          <w:bCs/>
          <w:color w:val="2C307E"/>
        </w:rPr>
      </w:pPr>
      <w:r>
        <w:rPr>
          <w:rFonts w:cstheme="minorHAnsi"/>
          <w:b/>
          <w:bCs/>
          <w:color w:val="2C307E"/>
        </w:rPr>
        <w:t xml:space="preserve">Effect van </w:t>
      </w:r>
      <w:r w:rsidR="00F6730B">
        <w:rPr>
          <w:rFonts w:cstheme="minorHAnsi"/>
          <w:b/>
          <w:bCs/>
          <w:color w:val="2C307E"/>
        </w:rPr>
        <w:t>oververtegenwoordiging van bepaalde groepen</w:t>
      </w:r>
    </w:p>
    <w:p w14:paraId="1B24246C" w14:textId="13FF0504" w:rsidR="001C5EF7" w:rsidRDefault="00F6730B" w:rsidP="008B5E1E">
      <w:pPr>
        <w:spacing w:after="0" w:line="276" w:lineRule="auto"/>
        <w:jc w:val="both"/>
        <w:rPr>
          <w:rFonts w:cstheme="minorHAnsi"/>
          <w:color w:val="2C307E"/>
        </w:rPr>
      </w:pPr>
      <w:bookmarkStart w:id="10" w:name="_Hlk207872383"/>
      <w:r>
        <w:rPr>
          <w:rFonts w:cstheme="minorHAnsi"/>
          <w:color w:val="2C307E"/>
        </w:rPr>
        <w:t xml:space="preserve">De steekproef is in grote mate representatief voor de totale populatie EV-rijders. Op een aantal </w:t>
      </w:r>
      <w:r w:rsidR="00766199">
        <w:rPr>
          <w:rFonts w:cstheme="minorHAnsi"/>
          <w:color w:val="2C307E"/>
        </w:rPr>
        <w:t xml:space="preserve">onderwerpen zijn bepaalde </w:t>
      </w:r>
      <w:r w:rsidR="00766199" w:rsidDel="006E4ACE">
        <w:rPr>
          <w:rFonts w:cstheme="minorHAnsi"/>
          <w:color w:val="2C307E"/>
        </w:rPr>
        <w:t>groepen</w:t>
      </w:r>
      <w:r w:rsidR="008B5E1E" w:rsidDel="006E4ACE">
        <w:rPr>
          <w:rFonts w:cstheme="minorHAnsi"/>
          <w:color w:val="2C307E"/>
        </w:rPr>
        <w:t xml:space="preserve"> </w:t>
      </w:r>
      <w:r w:rsidR="006E4ACE">
        <w:rPr>
          <w:rFonts w:cstheme="minorHAnsi"/>
          <w:color w:val="2C307E"/>
        </w:rPr>
        <w:t>oververtegenwoordigd</w:t>
      </w:r>
      <w:r w:rsidR="00766199">
        <w:rPr>
          <w:rFonts w:cstheme="minorHAnsi"/>
          <w:color w:val="2C307E"/>
        </w:rPr>
        <w:t>:</w:t>
      </w:r>
      <w:r w:rsidR="001C5EF7">
        <w:rPr>
          <w:rFonts w:cstheme="minorHAnsi"/>
          <w:color w:val="2C307E"/>
        </w:rPr>
        <w:t xml:space="preserve"> </w:t>
      </w:r>
    </w:p>
    <w:p w14:paraId="690C9D75" w14:textId="025DB0D7" w:rsidR="008B5E1E" w:rsidRPr="008B5E1E" w:rsidRDefault="001C5EF7" w:rsidP="008B5E1E">
      <w:pPr>
        <w:spacing w:after="0" w:line="276" w:lineRule="auto"/>
        <w:jc w:val="both"/>
        <w:rPr>
          <w:rFonts w:cstheme="minorHAnsi"/>
          <w:color w:val="2C307E"/>
        </w:rPr>
      </w:pPr>
      <w:r>
        <w:rPr>
          <w:rFonts w:cstheme="minorHAnsi"/>
          <w:color w:val="2C307E"/>
        </w:rPr>
        <w:t>M</w:t>
      </w:r>
      <w:r w:rsidR="00766199" w:rsidRPr="008B5E1E">
        <w:rPr>
          <w:rFonts w:cstheme="minorHAnsi"/>
          <w:color w:val="2C307E"/>
        </w:rPr>
        <w:t>annen</w:t>
      </w:r>
      <w:r w:rsidR="008B5E1E">
        <w:rPr>
          <w:rFonts w:cstheme="minorHAnsi"/>
          <w:color w:val="2C307E"/>
        </w:rPr>
        <w:t>, l</w:t>
      </w:r>
      <w:r w:rsidR="00766199" w:rsidRPr="008B5E1E">
        <w:rPr>
          <w:rFonts w:cstheme="minorHAnsi"/>
          <w:color w:val="2C307E"/>
        </w:rPr>
        <w:t xml:space="preserve">eeftijdsklasse </w:t>
      </w:r>
      <w:r w:rsidR="00751FB4">
        <w:rPr>
          <w:rFonts w:cstheme="minorHAnsi"/>
          <w:color w:val="2C307E"/>
        </w:rPr>
        <w:t>ouder dan</w:t>
      </w:r>
      <w:r w:rsidR="00766199" w:rsidRPr="008B5E1E">
        <w:rPr>
          <w:rFonts w:cstheme="minorHAnsi"/>
          <w:color w:val="2C307E"/>
        </w:rPr>
        <w:t xml:space="preserve"> 50 jaar</w:t>
      </w:r>
      <w:r w:rsidR="008B5E1E">
        <w:rPr>
          <w:rFonts w:cstheme="minorHAnsi"/>
          <w:color w:val="2C307E"/>
        </w:rPr>
        <w:t>, p</w:t>
      </w:r>
      <w:r w:rsidR="008B5E1E" w:rsidRPr="008B5E1E">
        <w:rPr>
          <w:rFonts w:cstheme="minorHAnsi"/>
          <w:color w:val="2C307E"/>
        </w:rPr>
        <w:t>articuliere rijders</w:t>
      </w:r>
      <w:r>
        <w:rPr>
          <w:rFonts w:cstheme="minorHAnsi"/>
          <w:color w:val="2C307E"/>
        </w:rPr>
        <w:t>,</w:t>
      </w:r>
      <w:r w:rsidR="008B5E1E">
        <w:rPr>
          <w:rFonts w:cstheme="minorHAnsi"/>
          <w:color w:val="2C307E"/>
        </w:rPr>
        <w:t xml:space="preserve"> </w:t>
      </w:r>
      <w:r w:rsidR="008B5E1E" w:rsidRPr="008B5E1E">
        <w:rPr>
          <w:rFonts w:cstheme="minorHAnsi"/>
          <w:color w:val="2C307E"/>
        </w:rPr>
        <w:t>EV-rijders met een nieuwe auto</w:t>
      </w:r>
      <w:r>
        <w:rPr>
          <w:rFonts w:cstheme="minorHAnsi"/>
          <w:color w:val="2C307E"/>
        </w:rPr>
        <w:t xml:space="preserve"> en </w:t>
      </w:r>
      <w:r w:rsidRPr="008B5E1E">
        <w:rPr>
          <w:rFonts w:cstheme="minorHAnsi"/>
          <w:color w:val="2C307E"/>
        </w:rPr>
        <w:t>VER leden</w:t>
      </w:r>
      <w:r w:rsidR="008B5E1E">
        <w:rPr>
          <w:rFonts w:cstheme="minorHAnsi"/>
          <w:color w:val="2C307E"/>
        </w:rPr>
        <w:t>.</w:t>
      </w:r>
    </w:p>
    <w:bookmarkEnd w:id="10"/>
    <w:p w14:paraId="6461A8C4" w14:textId="77777777" w:rsidR="008B5E1E" w:rsidRDefault="008B5E1E" w:rsidP="008B5E1E">
      <w:pPr>
        <w:spacing w:after="0" w:line="276" w:lineRule="auto"/>
        <w:jc w:val="both"/>
        <w:rPr>
          <w:rFonts w:cstheme="minorHAnsi"/>
          <w:color w:val="2C307E"/>
        </w:rPr>
      </w:pPr>
    </w:p>
    <w:p w14:paraId="392B2862" w14:textId="0799B343" w:rsidR="0094579C" w:rsidRPr="00CD00D4" w:rsidRDefault="008B5E1E" w:rsidP="008B5E1E">
      <w:pPr>
        <w:spacing w:after="0" w:line="276" w:lineRule="auto"/>
        <w:jc w:val="both"/>
        <w:rPr>
          <w:rFonts w:cstheme="minorHAnsi"/>
          <w:color w:val="2C307E"/>
        </w:rPr>
      </w:pPr>
      <w:bookmarkStart w:id="11" w:name="_Hlk207872395"/>
      <w:r>
        <w:rPr>
          <w:rFonts w:cstheme="minorHAnsi"/>
          <w:color w:val="2C307E"/>
        </w:rPr>
        <w:t>Het effect van de oververtegenwoordiging</w:t>
      </w:r>
      <w:r w:rsidR="007A6946">
        <w:rPr>
          <w:rFonts w:cstheme="minorHAnsi"/>
          <w:color w:val="2C307E"/>
        </w:rPr>
        <w:t xml:space="preserve"> van deze groepen op de beantwoording van de vragen</w:t>
      </w:r>
      <w:r>
        <w:rPr>
          <w:rFonts w:cstheme="minorHAnsi"/>
          <w:color w:val="2C307E"/>
        </w:rPr>
        <w:t xml:space="preserve"> is klein. Waar dat relevant is, worden de uitkomsten voor de verschillende categorieën los gepresenteerd.</w:t>
      </w:r>
      <w:bookmarkEnd w:id="11"/>
      <w:r w:rsidR="003B2670">
        <w:rPr>
          <w:rFonts w:cstheme="minorHAnsi"/>
          <w:color w:val="2C307E"/>
        </w:rPr>
        <w:br w:type="page"/>
      </w:r>
    </w:p>
    <w:p w14:paraId="47B911BD" w14:textId="7BC228A7" w:rsidR="0094579C" w:rsidRPr="00FB15B4" w:rsidRDefault="0094579C" w:rsidP="00964DC3">
      <w:pPr>
        <w:pStyle w:val="Kop1"/>
        <w:numPr>
          <w:ilvl w:val="0"/>
          <w:numId w:val="22"/>
        </w:numPr>
        <w:jc w:val="both"/>
      </w:pPr>
      <w:bookmarkStart w:id="12" w:name="_Toc143700613"/>
      <w:bookmarkStart w:id="13" w:name="_Toc209710037"/>
      <w:r w:rsidRPr="00FB15B4">
        <w:lastRenderedPageBreak/>
        <w:t>Resultaten</w:t>
      </w:r>
      <w:bookmarkEnd w:id="12"/>
      <w:bookmarkEnd w:id="13"/>
    </w:p>
    <w:p w14:paraId="396C5329" w14:textId="09B0A49A" w:rsidR="0094579C" w:rsidRDefault="0094579C" w:rsidP="00070889">
      <w:pPr>
        <w:spacing w:after="0" w:line="276" w:lineRule="auto"/>
        <w:jc w:val="both"/>
        <w:rPr>
          <w:rFonts w:cstheme="minorHAnsi"/>
          <w:color w:val="2C307E"/>
        </w:rPr>
      </w:pPr>
      <w:r w:rsidRPr="00A91524">
        <w:rPr>
          <w:rFonts w:cstheme="minorHAnsi"/>
          <w:color w:val="2C307E"/>
        </w:rPr>
        <w:t xml:space="preserve">In dit hoofdstuk worden de resultaten van het onderzoek beschreven. We zoomen in op de kenmerken van de EV-rijder (3.1), </w:t>
      </w:r>
      <w:r w:rsidR="00964DC3">
        <w:rPr>
          <w:rFonts w:cstheme="minorHAnsi"/>
          <w:color w:val="2C307E"/>
        </w:rPr>
        <w:t>H</w:t>
      </w:r>
      <w:r w:rsidRPr="00A91524">
        <w:rPr>
          <w:rFonts w:cstheme="minorHAnsi"/>
          <w:color w:val="2C307E"/>
        </w:rPr>
        <w:t>et laadgedrag (3.</w:t>
      </w:r>
      <w:r w:rsidR="007A6946" w:rsidRPr="00A91524">
        <w:rPr>
          <w:rFonts w:cstheme="minorHAnsi"/>
          <w:color w:val="2C307E"/>
        </w:rPr>
        <w:t>2</w:t>
      </w:r>
      <w:r w:rsidRPr="00A91524">
        <w:rPr>
          <w:rFonts w:cstheme="minorHAnsi"/>
          <w:color w:val="2C307E"/>
        </w:rPr>
        <w:t>),</w:t>
      </w:r>
      <w:r w:rsidR="00ED0858" w:rsidRPr="00A91524">
        <w:rPr>
          <w:rFonts w:cstheme="minorHAnsi"/>
          <w:color w:val="2C307E"/>
        </w:rPr>
        <w:t xml:space="preserve"> </w:t>
      </w:r>
      <w:r w:rsidR="00A91524" w:rsidRPr="00A91524">
        <w:rPr>
          <w:rFonts w:cstheme="minorHAnsi"/>
          <w:color w:val="2C307E"/>
        </w:rPr>
        <w:t xml:space="preserve">Betaalmethode en prijzen </w:t>
      </w:r>
      <w:r w:rsidR="00ED0858" w:rsidRPr="00A91524">
        <w:rPr>
          <w:rFonts w:cstheme="minorHAnsi"/>
          <w:color w:val="2C307E"/>
        </w:rPr>
        <w:t>(3.</w:t>
      </w:r>
      <w:r w:rsidR="007A6946" w:rsidRPr="00A91524">
        <w:rPr>
          <w:rFonts w:cstheme="minorHAnsi"/>
          <w:color w:val="2C307E"/>
        </w:rPr>
        <w:t>3</w:t>
      </w:r>
      <w:r w:rsidR="00ED0858" w:rsidRPr="00A91524">
        <w:rPr>
          <w:rFonts w:cstheme="minorHAnsi"/>
          <w:color w:val="2C307E"/>
        </w:rPr>
        <w:t>)</w:t>
      </w:r>
      <w:r w:rsidRPr="00A91524">
        <w:rPr>
          <w:rFonts w:cstheme="minorHAnsi"/>
          <w:color w:val="2C307E"/>
        </w:rPr>
        <w:t xml:space="preserve"> </w:t>
      </w:r>
      <w:r w:rsidR="00964DC3">
        <w:rPr>
          <w:rFonts w:cstheme="minorHAnsi"/>
          <w:color w:val="2C307E"/>
        </w:rPr>
        <w:t>V</w:t>
      </w:r>
      <w:r w:rsidRPr="00A91524">
        <w:rPr>
          <w:rFonts w:cstheme="minorHAnsi"/>
          <w:color w:val="2C307E"/>
        </w:rPr>
        <w:t xml:space="preserve">erschillende </w:t>
      </w:r>
      <w:r w:rsidR="007A6946" w:rsidRPr="00A91524">
        <w:rPr>
          <w:rFonts w:cstheme="minorHAnsi"/>
          <w:color w:val="2C307E"/>
        </w:rPr>
        <w:t>soorten laadpunten</w:t>
      </w:r>
      <w:r w:rsidRPr="00A91524">
        <w:rPr>
          <w:rFonts w:cstheme="minorHAnsi"/>
          <w:color w:val="2C307E"/>
        </w:rPr>
        <w:t xml:space="preserve"> (3.</w:t>
      </w:r>
      <w:r w:rsidR="007A6946" w:rsidRPr="00A91524">
        <w:rPr>
          <w:rFonts w:cstheme="minorHAnsi"/>
          <w:color w:val="2C307E"/>
        </w:rPr>
        <w:t>4</w:t>
      </w:r>
      <w:r w:rsidRPr="00A91524">
        <w:rPr>
          <w:rFonts w:cstheme="minorHAnsi"/>
          <w:color w:val="2C307E"/>
        </w:rPr>
        <w:t>)</w:t>
      </w:r>
      <w:r w:rsidR="006B7DA2">
        <w:rPr>
          <w:rFonts w:cstheme="minorHAnsi"/>
          <w:color w:val="2C307E"/>
        </w:rPr>
        <w:t xml:space="preserve"> en</w:t>
      </w:r>
      <w:r w:rsidRPr="00A91524">
        <w:rPr>
          <w:rFonts w:cstheme="minorHAnsi"/>
          <w:color w:val="2C307E"/>
        </w:rPr>
        <w:t xml:space="preserve"> </w:t>
      </w:r>
      <w:r w:rsidR="00964DC3">
        <w:rPr>
          <w:rFonts w:cstheme="minorHAnsi"/>
          <w:color w:val="2C307E"/>
        </w:rPr>
        <w:t>S</w:t>
      </w:r>
      <w:r w:rsidRPr="00A91524">
        <w:rPr>
          <w:rFonts w:cstheme="minorHAnsi"/>
          <w:color w:val="2C307E"/>
        </w:rPr>
        <w:t>lim laden (3.</w:t>
      </w:r>
      <w:r w:rsidR="007A6946" w:rsidRPr="00A91524">
        <w:rPr>
          <w:rFonts w:cstheme="minorHAnsi"/>
          <w:color w:val="2C307E"/>
        </w:rPr>
        <w:t>5</w:t>
      </w:r>
      <w:r w:rsidRPr="00A91524">
        <w:rPr>
          <w:rFonts w:cstheme="minorHAnsi"/>
          <w:color w:val="2C307E"/>
        </w:rPr>
        <w:t xml:space="preserve">). </w:t>
      </w:r>
      <w:r w:rsidRPr="001C6A08">
        <w:rPr>
          <w:rFonts w:cstheme="minorHAnsi"/>
          <w:color w:val="2C307E"/>
        </w:rPr>
        <w:t>De resultaten zijn hoofdzakelijk weergegeven in percentages van het totaal. Achter iedere titel staat tussen blokhaken [N=X] hoeveel respondenten de vraag hebben beantwoord.</w:t>
      </w:r>
    </w:p>
    <w:p w14:paraId="592A533A" w14:textId="77777777" w:rsidR="00412FC8" w:rsidRPr="00FB15B4" w:rsidRDefault="00412FC8" w:rsidP="0094579C">
      <w:pPr>
        <w:spacing w:after="0" w:line="240" w:lineRule="auto"/>
        <w:jc w:val="both"/>
        <w:rPr>
          <w:rFonts w:cstheme="minorHAnsi"/>
          <w:color w:val="2C307E"/>
        </w:rPr>
      </w:pPr>
    </w:p>
    <w:p w14:paraId="3D93606E" w14:textId="77777777" w:rsidR="0094579C" w:rsidRPr="00FB15B4" w:rsidRDefault="0094579C" w:rsidP="00B826F0">
      <w:pPr>
        <w:pStyle w:val="Kop2"/>
        <w:jc w:val="both"/>
      </w:pPr>
      <w:bookmarkStart w:id="14" w:name="_Toc143700614"/>
      <w:bookmarkStart w:id="15" w:name="_Toc209710038"/>
      <w:r w:rsidRPr="00FB15B4">
        <w:t>3.1 De EV-rijder</w:t>
      </w:r>
      <w:bookmarkEnd w:id="14"/>
      <w:bookmarkEnd w:id="15"/>
    </w:p>
    <w:p w14:paraId="640D9546" w14:textId="02EE9329" w:rsidR="00D54A7C" w:rsidRPr="00D54A7C" w:rsidRDefault="00D54A7C" w:rsidP="008B5E1E">
      <w:pPr>
        <w:spacing w:after="0" w:line="240" w:lineRule="auto"/>
        <w:jc w:val="both"/>
        <w:rPr>
          <w:rFonts w:eastAsia="Calibri" w:cstheme="minorHAnsi"/>
          <w:b/>
          <w:bCs/>
          <w:color w:val="2C307E"/>
          <w:lang w:val="nl"/>
        </w:rPr>
      </w:pPr>
      <w:r w:rsidRPr="00D54A7C">
        <w:rPr>
          <w:rFonts w:eastAsia="Calibri" w:cstheme="minorHAnsi"/>
          <w:b/>
          <w:bCs/>
          <w:color w:val="2C307E"/>
          <w:lang w:val="nl"/>
        </w:rPr>
        <w:t>Rogers’ adoptiecurve</w:t>
      </w:r>
    </w:p>
    <w:p w14:paraId="29FF3C90" w14:textId="69F63051" w:rsidR="00070889" w:rsidRDefault="0094579C" w:rsidP="00070889">
      <w:pPr>
        <w:spacing w:after="0" w:line="276" w:lineRule="auto"/>
        <w:jc w:val="both"/>
        <w:rPr>
          <w:rStyle w:val="Verwijzingopmerking"/>
          <w:rFonts w:cstheme="minorHAnsi"/>
          <w:color w:val="2C307E"/>
          <w:sz w:val="22"/>
          <w:szCs w:val="22"/>
        </w:rPr>
      </w:pPr>
      <w:bookmarkStart w:id="16" w:name="_Hlk207872442"/>
      <w:r w:rsidRPr="00FB15B4">
        <w:rPr>
          <w:rFonts w:eastAsia="Calibri" w:cstheme="minorHAnsi"/>
          <w:color w:val="2C307E"/>
          <w:lang w:val="nl"/>
        </w:rPr>
        <w:t xml:space="preserve">De adoptiecurve van Rogers geeft aan hoe een </w:t>
      </w:r>
      <w:r w:rsidRPr="00AE60B5">
        <w:rPr>
          <w:rFonts w:eastAsia="Calibri" w:cstheme="minorHAnsi"/>
          <w:color w:val="2C307E"/>
        </w:rPr>
        <w:t>nieuwe technologie in een sociale groep in gebruik wordt genomen.</w:t>
      </w:r>
      <w:bookmarkEnd w:id="16"/>
      <w:r w:rsidRPr="00AE60B5">
        <w:rPr>
          <w:rFonts w:eastAsia="Calibri" w:cstheme="minorHAnsi"/>
          <w:color w:val="2C307E"/>
        </w:rPr>
        <w:t xml:space="preserve"> </w:t>
      </w:r>
      <w:r w:rsidRPr="009C01B9">
        <w:rPr>
          <w:rFonts w:eastAsia="Calibri" w:cstheme="minorHAnsi"/>
          <w:color w:val="2C307E"/>
          <w:lang w:val="en-US"/>
        </w:rPr>
        <w:t xml:space="preserve">Deze curve beschrijft vijf typen personen: </w:t>
      </w:r>
      <w:r w:rsidRPr="009C01B9">
        <w:rPr>
          <w:rFonts w:eastAsia="Calibri" w:cstheme="minorHAnsi"/>
          <w:i/>
          <w:color w:val="2C307E"/>
          <w:lang w:val="en-US"/>
        </w:rPr>
        <w:t>innovators, early adopters, early majority, late majority</w:t>
      </w:r>
      <w:r w:rsidRPr="009C01B9">
        <w:rPr>
          <w:rFonts w:eastAsia="Calibri" w:cstheme="minorHAnsi"/>
          <w:color w:val="2C307E"/>
          <w:lang w:val="en-US"/>
        </w:rPr>
        <w:t xml:space="preserve"> en </w:t>
      </w:r>
      <w:r w:rsidRPr="009C01B9">
        <w:rPr>
          <w:rFonts w:eastAsia="Calibri" w:cstheme="minorHAnsi"/>
          <w:i/>
          <w:color w:val="2C307E"/>
          <w:lang w:val="en-US"/>
        </w:rPr>
        <w:t>laggards</w:t>
      </w:r>
      <w:r w:rsidRPr="009C01B9">
        <w:rPr>
          <w:rFonts w:eastAsia="Calibri" w:cstheme="minorHAnsi"/>
          <w:color w:val="2C307E"/>
          <w:lang w:val="en-US"/>
        </w:rPr>
        <w:t xml:space="preserve">. </w:t>
      </w:r>
      <w:r w:rsidR="004F62EF">
        <w:rPr>
          <w:rFonts w:eastAsia="Calibri" w:cstheme="minorHAnsi"/>
          <w:color w:val="2C307E"/>
          <w:lang w:val="en-US"/>
        </w:rPr>
        <w:t xml:space="preserve"> </w:t>
      </w:r>
      <w:r w:rsidRPr="00AE60B5">
        <w:rPr>
          <w:rFonts w:eastAsia="Calibri" w:cstheme="minorHAnsi"/>
          <w:i/>
          <w:color w:val="2C307E"/>
        </w:rPr>
        <w:t>Innovators</w:t>
      </w:r>
      <w:r w:rsidRPr="00AE60B5">
        <w:rPr>
          <w:rFonts w:eastAsia="Calibri" w:cstheme="minorHAnsi"/>
          <w:color w:val="2C307E"/>
        </w:rPr>
        <w:t xml:space="preserve"> zijn mensen, die altijd als eerste een nieuwe uitvinding willen uitproberen. Zij worden gevolgd door de </w:t>
      </w:r>
      <w:r w:rsidRPr="00AE60B5">
        <w:rPr>
          <w:rFonts w:eastAsia="Calibri" w:cstheme="minorHAnsi"/>
          <w:i/>
          <w:color w:val="2C307E"/>
        </w:rPr>
        <w:t>early adopters</w:t>
      </w:r>
      <w:r w:rsidRPr="00AE60B5">
        <w:rPr>
          <w:rFonts w:eastAsia="Calibri" w:cstheme="minorHAnsi"/>
          <w:color w:val="2C307E"/>
        </w:rPr>
        <w:t>: personen die relatief vroeg</w:t>
      </w:r>
      <w:r w:rsidRPr="00FB15B4">
        <w:rPr>
          <w:rFonts w:eastAsia="Calibri" w:cstheme="minorHAnsi"/>
          <w:color w:val="2C307E"/>
          <w:lang w:val="nl"/>
        </w:rPr>
        <w:t xml:space="preserve"> nieuwe technieken uitproberen. De grootste groep wordt gevormd door de </w:t>
      </w:r>
      <w:r w:rsidRPr="00FB15B4">
        <w:rPr>
          <w:rFonts w:eastAsia="Calibri" w:cstheme="minorHAnsi"/>
          <w:i/>
          <w:color w:val="2C307E"/>
          <w:lang w:val="nl"/>
        </w:rPr>
        <w:t>early  majority</w:t>
      </w:r>
      <w:r w:rsidRPr="00FB15B4">
        <w:rPr>
          <w:rFonts w:eastAsia="Calibri" w:cstheme="minorHAnsi"/>
          <w:color w:val="2C307E"/>
          <w:lang w:val="nl"/>
        </w:rPr>
        <w:t xml:space="preserve"> en de </w:t>
      </w:r>
      <w:r w:rsidRPr="00FB15B4">
        <w:rPr>
          <w:rFonts w:eastAsia="Calibri" w:cstheme="minorHAnsi"/>
          <w:i/>
          <w:color w:val="2C307E"/>
          <w:lang w:val="nl"/>
        </w:rPr>
        <w:t>late majority</w:t>
      </w:r>
      <w:r w:rsidR="00751FB4">
        <w:rPr>
          <w:rFonts w:eastAsia="Calibri" w:cstheme="minorHAnsi"/>
          <w:color w:val="2C307E"/>
          <w:lang w:val="nl"/>
        </w:rPr>
        <w:t>; d</w:t>
      </w:r>
      <w:r w:rsidRPr="00FB15B4">
        <w:rPr>
          <w:rFonts w:eastAsia="Calibri" w:cstheme="minorHAnsi"/>
          <w:color w:val="2C307E"/>
          <w:lang w:val="nl"/>
        </w:rPr>
        <w:t xml:space="preserve">e meerderheid die zich aan een nieuwe techniek waagt. De </w:t>
      </w:r>
      <w:r w:rsidRPr="001C6A08">
        <w:rPr>
          <w:rFonts w:eastAsia="Calibri" w:cstheme="minorHAnsi"/>
          <w:i/>
          <w:iCs/>
          <w:color w:val="2C307E"/>
          <w:lang w:val="nl"/>
        </w:rPr>
        <w:t>laggards</w:t>
      </w:r>
      <w:r w:rsidRPr="00FB15B4">
        <w:rPr>
          <w:rFonts w:eastAsia="Calibri" w:cstheme="minorHAnsi"/>
          <w:color w:val="2C307E"/>
          <w:lang w:val="nl"/>
        </w:rPr>
        <w:t xml:space="preserve"> zijn de achterblijvers; zij houden het liefst vast aan het oude vertrouwde. In dit onderzoek hebben we respondenten gevraagd naar de mate waarin zij nieuwe technieken uitproberen en daarmee waar zij zich bevinden in de adoptiecurve</w:t>
      </w:r>
      <w:r w:rsidRPr="00FB15B4">
        <w:rPr>
          <w:rStyle w:val="Verwijzingopmerking"/>
          <w:rFonts w:cstheme="minorHAnsi"/>
          <w:color w:val="2C307E"/>
          <w:sz w:val="22"/>
          <w:szCs w:val="22"/>
        </w:rPr>
        <w:t>.</w:t>
      </w:r>
      <w:r w:rsidR="00070889">
        <w:rPr>
          <w:rStyle w:val="Verwijzingopmerking"/>
          <w:rFonts w:cstheme="minorHAnsi"/>
          <w:color w:val="2C307E"/>
          <w:sz w:val="22"/>
          <w:szCs w:val="22"/>
        </w:rPr>
        <w:t xml:space="preserve"> </w:t>
      </w:r>
    </w:p>
    <w:p w14:paraId="7576621A" w14:textId="7AC83C5E" w:rsidR="00317B47" w:rsidRPr="008B5E1E" w:rsidRDefault="00317B47" w:rsidP="00070889">
      <w:pPr>
        <w:spacing w:after="0" w:line="276" w:lineRule="auto"/>
        <w:jc w:val="both"/>
        <w:rPr>
          <w:rStyle w:val="Verwijzingopmerking"/>
          <w:rFonts w:eastAsia="Calibri" w:cstheme="minorHAnsi"/>
          <w:color w:val="2C307E"/>
          <w:sz w:val="22"/>
          <w:szCs w:val="22"/>
        </w:rPr>
      </w:pPr>
    </w:p>
    <w:p w14:paraId="7FA15180" w14:textId="1867F143" w:rsidR="00D54A7C" w:rsidRDefault="00D54A7C" w:rsidP="0094579C">
      <w:pPr>
        <w:spacing w:after="0" w:line="240" w:lineRule="auto"/>
        <w:jc w:val="both"/>
        <w:rPr>
          <w:rStyle w:val="Verwijzingopmerking"/>
          <w:rFonts w:cstheme="minorHAnsi"/>
          <w:b/>
          <w:bCs/>
          <w:color w:val="2C307E"/>
          <w:sz w:val="22"/>
          <w:szCs w:val="22"/>
        </w:rPr>
      </w:pPr>
      <w:r>
        <w:rPr>
          <w:noProof/>
        </w:rPr>
        <w:drawing>
          <wp:inline distT="0" distB="0" distL="0" distR="0" wp14:anchorId="669F524E" wp14:editId="044BC2E8">
            <wp:extent cx="2655323" cy="1181100"/>
            <wp:effectExtent l="0" t="0" r="0" b="0"/>
            <wp:docPr id="1051603140" name="Afbeelding 1051603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657898" cy="1182246"/>
                    </a:xfrm>
                    <a:prstGeom prst="rect">
                      <a:avLst/>
                    </a:prstGeom>
                  </pic:spPr>
                </pic:pic>
              </a:graphicData>
            </a:graphic>
          </wp:inline>
        </w:drawing>
      </w:r>
    </w:p>
    <w:p w14:paraId="0FE1D285" w14:textId="77777777" w:rsidR="004F62EF" w:rsidRDefault="004F62EF" w:rsidP="00070889">
      <w:pPr>
        <w:spacing w:after="0" w:line="276" w:lineRule="auto"/>
        <w:jc w:val="both"/>
        <w:rPr>
          <w:rStyle w:val="Verwijzingopmerking"/>
          <w:rFonts w:cstheme="minorHAnsi"/>
          <w:b/>
          <w:bCs/>
          <w:color w:val="2C307E"/>
          <w:sz w:val="22"/>
          <w:szCs w:val="22"/>
        </w:rPr>
      </w:pPr>
    </w:p>
    <w:p w14:paraId="0376A7D3" w14:textId="77777777" w:rsidR="00317B47" w:rsidRDefault="00317B47" w:rsidP="00070889">
      <w:pPr>
        <w:spacing w:after="0" w:line="276" w:lineRule="auto"/>
        <w:jc w:val="both"/>
        <w:rPr>
          <w:rStyle w:val="Verwijzingopmerking"/>
          <w:rFonts w:cstheme="minorHAnsi"/>
          <w:b/>
          <w:bCs/>
          <w:color w:val="2C307E"/>
          <w:sz w:val="22"/>
          <w:szCs w:val="22"/>
        </w:rPr>
      </w:pPr>
    </w:p>
    <w:p w14:paraId="7980C482" w14:textId="77777777" w:rsidR="00317B47" w:rsidRDefault="00317B47" w:rsidP="00070889">
      <w:pPr>
        <w:spacing w:after="0" w:line="276" w:lineRule="auto"/>
        <w:jc w:val="both"/>
        <w:rPr>
          <w:rStyle w:val="Verwijzingopmerking"/>
          <w:rFonts w:cstheme="minorHAnsi"/>
          <w:b/>
          <w:bCs/>
          <w:color w:val="2C307E"/>
          <w:sz w:val="22"/>
          <w:szCs w:val="22"/>
        </w:rPr>
      </w:pPr>
    </w:p>
    <w:p w14:paraId="7C4191F6" w14:textId="77777777" w:rsidR="00317B47" w:rsidRDefault="00317B47" w:rsidP="00070889">
      <w:pPr>
        <w:spacing w:after="0" w:line="276" w:lineRule="auto"/>
        <w:jc w:val="both"/>
        <w:rPr>
          <w:rStyle w:val="Verwijzingopmerking"/>
          <w:rFonts w:cstheme="minorHAnsi"/>
          <w:b/>
          <w:bCs/>
          <w:color w:val="2C307E"/>
          <w:sz w:val="22"/>
          <w:szCs w:val="22"/>
        </w:rPr>
      </w:pPr>
    </w:p>
    <w:p w14:paraId="1287F3C1" w14:textId="3F35E15C" w:rsidR="00CE49B5" w:rsidRDefault="0094579C" w:rsidP="001C6A08">
      <w:pPr>
        <w:spacing w:after="0" w:line="276" w:lineRule="auto"/>
        <w:jc w:val="both"/>
        <w:rPr>
          <w:rFonts w:cstheme="minorHAnsi"/>
          <w:b/>
          <w:bCs/>
          <w:color w:val="2C307E"/>
        </w:rPr>
      </w:pPr>
      <w:r w:rsidRPr="00D73E29">
        <w:rPr>
          <w:rStyle w:val="Verwijzingopmerking"/>
          <w:rFonts w:cstheme="minorHAnsi"/>
          <w:b/>
          <w:bCs/>
          <w:color w:val="2C307E"/>
          <w:sz w:val="22"/>
          <w:szCs w:val="22"/>
        </w:rPr>
        <w:t>Ne</w:t>
      </w:r>
      <w:r w:rsidRPr="00D73E29">
        <w:rPr>
          <w:rFonts w:cstheme="minorHAnsi"/>
          <w:b/>
          <w:bCs/>
          <w:color w:val="2C307E"/>
        </w:rPr>
        <w:t xml:space="preserve">t als voorgaande jaren zien we dat </w:t>
      </w:r>
      <w:r w:rsidR="008A1648">
        <w:rPr>
          <w:rFonts w:cstheme="minorHAnsi"/>
          <w:b/>
          <w:bCs/>
          <w:color w:val="2C307E"/>
        </w:rPr>
        <w:t>EV-rijders</w:t>
      </w:r>
      <w:r w:rsidRPr="00D73E29">
        <w:rPr>
          <w:rFonts w:cstheme="minorHAnsi"/>
          <w:b/>
          <w:bCs/>
          <w:color w:val="2C307E"/>
        </w:rPr>
        <w:t xml:space="preserve"> vooral innovators en </w:t>
      </w:r>
      <w:r w:rsidRPr="00751FB4">
        <w:rPr>
          <w:rFonts w:cstheme="minorHAnsi"/>
          <w:b/>
          <w:bCs/>
          <w:i/>
          <w:iCs/>
          <w:color w:val="2C307E"/>
        </w:rPr>
        <w:t xml:space="preserve">early adopters </w:t>
      </w:r>
      <w:r w:rsidRPr="00D73E29">
        <w:rPr>
          <w:rFonts w:cstheme="minorHAnsi"/>
          <w:b/>
          <w:bCs/>
          <w:color w:val="2C307E"/>
        </w:rPr>
        <w:t>zijn</w:t>
      </w:r>
      <w:r w:rsidR="003442E5">
        <w:rPr>
          <w:rFonts w:cstheme="minorHAnsi"/>
          <w:b/>
          <w:bCs/>
          <w:color w:val="2C307E"/>
        </w:rPr>
        <w:t>.</w:t>
      </w:r>
      <w:r w:rsidRPr="00D73E29">
        <w:rPr>
          <w:rFonts w:cstheme="minorHAnsi"/>
          <w:b/>
          <w:bCs/>
          <w:color w:val="2C307E"/>
        </w:rPr>
        <w:t xml:space="preserve"> [N=3.</w:t>
      </w:r>
      <w:r w:rsidR="00736740">
        <w:rPr>
          <w:rFonts w:cstheme="minorHAnsi"/>
          <w:b/>
          <w:bCs/>
          <w:color w:val="2C307E"/>
        </w:rPr>
        <w:t>850</w:t>
      </w:r>
      <w:r w:rsidRPr="00D73E29">
        <w:rPr>
          <w:rFonts w:cstheme="minorHAnsi"/>
          <w:b/>
          <w:bCs/>
          <w:color w:val="2C307E"/>
        </w:rPr>
        <w:t>]</w:t>
      </w:r>
    </w:p>
    <w:p w14:paraId="79596132" w14:textId="286244C9" w:rsidR="00317B47" w:rsidRDefault="0094579C" w:rsidP="001C6A08">
      <w:pPr>
        <w:spacing w:after="0" w:line="276" w:lineRule="auto"/>
        <w:jc w:val="both"/>
        <w:rPr>
          <w:rFonts w:eastAsia="Calibri"/>
          <w:color w:val="2C307E"/>
        </w:rPr>
      </w:pPr>
      <w:r w:rsidRPr="00FB15B4">
        <w:rPr>
          <w:rFonts w:eastAsia="Calibri" w:cstheme="minorHAnsi"/>
          <w:color w:val="2C307E"/>
        </w:rPr>
        <w:t>De meeste EV-rijders (</w:t>
      </w:r>
      <w:r w:rsidR="007935F3">
        <w:rPr>
          <w:rFonts w:eastAsia="Calibri" w:cstheme="minorHAnsi"/>
          <w:color w:val="2C307E"/>
        </w:rPr>
        <w:t>63</w:t>
      </w:r>
      <w:r w:rsidRPr="00FB15B4">
        <w:rPr>
          <w:rFonts w:eastAsia="Calibri" w:cstheme="minorHAnsi"/>
          <w:color w:val="2C307E"/>
        </w:rPr>
        <w:t>%) zijn op basis van hun antwoorden te kenschetsen als</w:t>
      </w:r>
      <w:r>
        <w:rPr>
          <w:rFonts w:eastAsia="Calibri" w:cstheme="minorHAnsi"/>
          <w:color w:val="2C307E"/>
        </w:rPr>
        <w:t xml:space="preserve"> </w:t>
      </w:r>
      <w:r w:rsidRPr="001C6A08">
        <w:rPr>
          <w:rFonts w:eastAsia="Calibri" w:cstheme="minorHAnsi"/>
          <w:i/>
          <w:iCs/>
          <w:color w:val="2C307E"/>
        </w:rPr>
        <w:t>innovator</w:t>
      </w:r>
      <w:r>
        <w:rPr>
          <w:rFonts w:eastAsia="Calibri" w:cstheme="minorHAnsi"/>
          <w:color w:val="2C307E"/>
        </w:rPr>
        <w:t xml:space="preserve"> of</w:t>
      </w:r>
      <w:r w:rsidRPr="00FB15B4">
        <w:rPr>
          <w:rFonts w:eastAsia="Calibri" w:cstheme="minorHAnsi"/>
          <w:color w:val="2C307E"/>
        </w:rPr>
        <w:t xml:space="preserve"> </w:t>
      </w:r>
      <w:r w:rsidRPr="00FB15B4">
        <w:rPr>
          <w:rFonts w:eastAsia="Calibri" w:cstheme="minorHAnsi"/>
          <w:i/>
          <w:iCs/>
          <w:color w:val="2C307E"/>
        </w:rPr>
        <w:t>early adopter</w:t>
      </w:r>
      <w:r w:rsidRPr="00FB15B4">
        <w:rPr>
          <w:rFonts w:eastAsia="Calibri" w:cstheme="minorHAnsi"/>
          <w:color w:val="2C307E"/>
        </w:rPr>
        <w:t>. In totaal ziet 1</w:t>
      </w:r>
      <w:r w:rsidR="007935F3">
        <w:rPr>
          <w:rFonts w:eastAsia="Calibri" w:cstheme="minorHAnsi"/>
          <w:color w:val="2C307E"/>
        </w:rPr>
        <w:t>9</w:t>
      </w:r>
      <w:r w:rsidRPr="00FB15B4">
        <w:rPr>
          <w:rFonts w:eastAsia="Calibri" w:cstheme="minorHAnsi"/>
          <w:color w:val="2C307E"/>
        </w:rPr>
        <w:t xml:space="preserve">% zichzelf als </w:t>
      </w:r>
      <w:r w:rsidRPr="00FB15B4">
        <w:rPr>
          <w:rFonts w:eastAsia="Calibri" w:cstheme="minorHAnsi"/>
          <w:i/>
          <w:iCs/>
          <w:color w:val="2C307E"/>
        </w:rPr>
        <w:t>early majority</w:t>
      </w:r>
      <w:r w:rsidRPr="00FB15B4">
        <w:rPr>
          <w:rFonts w:eastAsia="Calibri" w:cstheme="minorHAnsi"/>
          <w:color w:val="2C307E"/>
        </w:rPr>
        <w:t xml:space="preserve">, </w:t>
      </w:r>
      <w:r>
        <w:rPr>
          <w:rFonts w:eastAsia="Calibri" w:cstheme="minorHAnsi"/>
          <w:color w:val="2C307E"/>
        </w:rPr>
        <w:t>1</w:t>
      </w:r>
      <w:r w:rsidR="007935F3">
        <w:rPr>
          <w:rFonts w:eastAsia="Calibri" w:cstheme="minorHAnsi"/>
          <w:color w:val="2C307E"/>
        </w:rPr>
        <w:t>4</w:t>
      </w:r>
      <w:r w:rsidRPr="00FB15B4">
        <w:rPr>
          <w:rFonts w:eastAsia="Calibri" w:cstheme="minorHAnsi"/>
          <w:color w:val="2C307E"/>
        </w:rPr>
        <w:t xml:space="preserve">% beschouwt zichzelf als </w:t>
      </w:r>
      <w:r w:rsidRPr="00FB15B4">
        <w:rPr>
          <w:rFonts w:eastAsia="Calibri" w:cstheme="minorHAnsi"/>
          <w:i/>
          <w:iCs/>
          <w:color w:val="2C307E"/>
        </w:rPr>
        <w:t xml:space="preserve">late majority </w:t>
      </w:r>
      <w:r w:rsidRPr="00FB15B4">
        <w:rPr>
          <w:rFonts w:eastAsia="Calibri" w:cstheme="minorHAnsi"/>
          <w:color w:val="2C307E"/>
        </w:rPr>
        <w:t>en een enkeling is te kwalificeren als laggard (</w:t>
      </w:r>
      <w:r w:rsidR="002225CE">
        <w:rPr>
          <w:rFonts w:eastAsia="Calibri" w:cstheme="minorHAnsi"/>
          <w:color w:val="2C307E"/>
        </w:rPr>
        <w:t>4</w:t>
      </w:r>
      <w:r w:rsidRPr="00FB15B4">
        <w:rPr>
          <w:rFonts w:eastAsia="Calibri" w:cstheme="minorHAnsi"/>
          <w:color w:val="2C307E"/>
        </w:rPr>
        <w:t xml:space="preserve">%). </w:t>
      </w:r>
      <w:r w:rsidR="002623CD">
        <w:rPr>
          <w:rFonts w:eastAsia="Calibri"/>
          <w:color w:val="2C307E"/>
        </w:rPr>
        <w:t>W</w:t>
      </w:r>
      <w:r w:rsidRPr="669FB9BC">
        <w:rPr>
          <w:rFonts w:eastAsia="Calibri"/>
          <w:color w:val="2C307E"/>
        </w:rPr>
        <w:t>anneer de EV-rijders worden ingedeeld op basis van hoe lang ze al elektrisch rijden</w:t>
      </w:r>
      <w:r w:rsidR="002623CD">
        <w:rPr>
          <w:rFonts w:eastAsia="Calibri"/>
          <w:color w:val="2C307E"/>
        </w:rPr>
        <w:t>, zien we een duidelijke trend</w:t>
      </w:r>
      <w:r w:rsidRPr="669FB9BC">
        <w:rPr>
          <w:rFonts w:eastAsia="Calibri"/>
          <w:color w:val="2C307E"/>
        </w:rPr>
        <w:t xml:space="preserve">. </w:t>
      </w:r>
      <w:r w:rsidR="008A1648">
        <w:rPr>
          <w:rFonts w:eastAsia="Calibri"/>
          <w:color w:val="2C307E"/>
        </w:rPr>
        <w:t>EV-rijders</w:t>
      </w:r>
      <w:r w:rsidRPr="669FB9BC">
        <w:rPr>
          <w:rFonts w:eastAsia="Calibri"/>
          <w:color w:val="2C307E"/>
        </w:rPr>
        <w:t xml:space="preserve"> die al meer dan </w:t>
      </w:r>
      <w:r w:rsidR="002225CE">
        <w:rPr>
          <w:rFonts w:eastAsia="Calibri"/>
          <w:color w:val="2C307E"/>
        </w:rPr>
        <w:t>vijf</w:t>
      </w:r>
      <w:r w:rsidRPr="669FB9BC">
        <w:rPr>
          <w:rFonts w:eastAsia="Calibri"/>
          <w:color w:val="2C307E"/>
        </w:rPr>
        <w:t xml:space="preserve"> jaar elektrisch rijden zijn veelal innovators en </w:t>
      </w:r>
      <w:r w:rsidRPr="006A1046">
        <w:rPr>
          <w:rFonts w:eastAsia="Calibri"/>
          <w:i/>
          <w:iCs/>
          <w:color w:val="2C307E"/>
        </w:rPr>
        <w:t>early adopters</w:t>
      </w:r>
      <w:r w:rsidRPr="669FB9BC">
        <w:rPr>
          <w:rFonts w:eastAsia="Calibri"/>
          <w:color w:val="2C307E"/>
        </w:rPr>
        <w:t xml:space="preserve">, terwijl de meer recente EV-rijders </w:t>
      </w:r>
      <w:r w:rsidR="0021654A" w:rsidRPr="669FB9BC">
        <w:rPr>
          <w:rFonts w:eastAsia="Calibri"/>
          <w:color w:val="2C307E"/>
        </w:rPr>
        <w:t>vaker (</w:t>
      </w:r>
      <w:r w:rsidRPr="006A1046">
        <w:rPr>
          <w:rFonts w:eastAsia="Calibri"/>
          <w:i/>
          <w:iCs/>
          <w:color w:val="2C307E"/>
        </w:rPr>
        <w:t xml:space="preserve">early </w:t>
      </w:r>
      <w:r w:rsidRPr="00F02376">
        <w:rPr>
          <w:rFonts w:eastAsia="Calibri"/>
          <w:color w:val="2C307E"/>
        </w:rPr>
        <w:t xml:space="preserve">of </w:t>
      </w:r>
      <w:r w:rsidRPr="006A1046">
        <w:rPr>
          <w:rFonts w:eastAsia="Calibri"/>
          <w:i/>
          <w:iCs/>
          <w:color w:val="2C307E"/>
        </w:rPr>
        <w:t>late) majority</w:t>
      </w:r>
      <w:r w:rsidRPr="669FB9BC">
        <w:rPr>
          <w:rFonts w:eastAsia="Calibri"/>
          <w:color w:val="2C307E"/>
        </w:rPr>
        <w:t xml:space="preserve"> en </w:t>
      </w:r>
      <w:r w:rsidRPr="006A1046">
        <w:rPr>
          <w:rFonts w:eastAsia="Calibri"/>
          <w:i/>
          <w:iCs/>
          <w:color w:val="2C307E"/>
        </w:rPr>
        <w:t>laggards</w:t>
      </w:r>
      <w:r w:rsidRPr="669FB9BC">
        <w:rPr>
          <w:rFonts w:eastAsia="Calibri"/>
          <w:color w:val="2C307E"/>
        </w:rPr>
        <w:t xml:space="preserve"> </w:t>
      </w:r>
      <w:r w:rsidR="466D9415" w:rsidRPr="669FB9BC">
        <w:rPr>
          <w:rFonts w:eastAsia="Calibri"/>
          <w:color w:val="2C307E"/>
        </w:rPr>
        <w:t>zijn</w:t>
      </w:r>
      <w:r w:rsidRPr="669FB9BC">
        <w:rPr>
          <w:rFonts w:eastAsia="Calibri"/>
          <w:color w:val="2C307E"/>
        </w:rPr>
        <w:t>.</w:t>
      </w:r>
    </w:p>
    <w:p w14:paraId="73B0F1BB" w14:textId="24D641E6" w:rsidR="002623CD" w:rsidRPr="002623CD" w:rsidRDefault="002623CD" w:rsidP="001C6A08">
      <w:pPr>
        <w:spacing w:after="0" w:line="276" w:lineRule="auto"/>
        <w:jc w:val="both"/>
        <w:rPr>
          <w:rFonts w:eastAsia="Calibri"/>
          <w:i/>
          <w:iCs/>
          <w:color w:val="2C307E"/>
        </w:rPr>
      </w:pPr>
      <w:bookmarkStart w:id="17" w:name="_Hlk207872465"/>
      <w:r>
        <w:rPr>
          <w:rFonts w:eastAsia="Calibri"/>
          <w:color w:val="2C307E"/>
        </w:rPr>
        <w:t>Deze indeling is relevant voor dit onderzoek omdat de ervaringen en verwachtingen van de (</w:t>
      </w:r>
      <w:r>
        <w:rPr>
          <w:rFonts w:eastAsia="Calibri"/>
          <w:i/>
          <w:iCs/>
          <w:color w:val="2C307E"/>
        </w:rPr>
        <w:t xml:space="preserve">early </w:t>
      </w:r>
      <w:r w:rsidRPr="00F02376">
        <w:rPr>
          <w:rFonts w:eastAsia="Calibri"/>
          <w:color w:val="2C307E"/>
        </w:rPr>
        <w:t>en</w:t>
      </w:r>
      <w:r>
        <w:rPr>
          <w:rFonts w:eastAsia="Calibri"/>
          <w:i/>
          <w:iCs/>
          <w:color w:val="2C307E"/>
        </w:rPr>
        <w:t xml:space="preserve"> late majority)</w:t>
      </w:r>
      <w:r w:rsidRPr="002623CD">
        <w:rPr>
          <w:rFonts w:eastAsia="Calibri"/>
          <w:color w:val="2C307E"/>
        </w:rPr>
        <w:t xml:space="preserve"> grotendeels overeenkomen met de ervaring en verwachting van de gemiddelde EV-rijder.</w:t>
      </w:r>
    </w:p>
    <w:bookmarkEnd w:id="17"/>
    <w:p w14:paraId="31DDD169" w14:textId="2D230750" w:rsidR="00DD0A16" w:rsidRDefault="00DD0A16" w:rsidP="001C6A08">
      <w:pPr>
        <w:spacing w:after="0" w:line="276" w:lineRule="auto"/>
        <w:jc w:val="both"/>
        <w:rPr>
          <w:rFonts w:eastAsia="Calibri"/>
          <w:color w:val="2C307E"/>
        </w:rPr>
      </w:pPr>
      <w:r>
        <w:rPr>
          <w:noProof/>
        </w:rPr>
        <w:drawing>
          <wp:inline distT="0" distB="0" distL="0" distR="0" wp14:anchorId="33DC5683" wp14:editId="67D071E2">
            <wp:extent cx="2655570" cy="3951026"/>
            <wp:effectExtent l="0" t="0" r="0" b="0"/>
            <wp:docPr id="1144721797" name="Grafiek 1">
              <a:extLst xmlns:a="http://schemas.openxmlformats.org/drawingml/2006/main">
                <a:ext uri="{FF2B5EF4-FFF2-40B4-BE49-F238E27FC236}">
                  <a16:creationId xmlns:a16="http://schemas.microsoft.com/office/drawing/2014/main" id="{B2B478A0-6F0F-CAEF-A11F-8A82A9AF178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5D55AD28" w14:textId="77777777" w:rsidR="00D8095C" w:rsidRDefault="00D8095C">
      <w:pPr>
        <w:rPr>
          <w:rFonts w:eastAsia="Calibri"/>
          <w:b/>
          <w:bCs/>
          <w:color w:val="2C307E"/>
        </w:rPr>
      </w:pPr>
      <w:r>
        <w:rPr>
          <w:rFonts w:eastAsia="Calibri"/>
          <w:b/>
          <w:bCs/>
          <w:color w:val="2C307E"/>
        </w:rPr>
        <w:br w:type="page"/>
      </w:r>
    </w:p>
    <w:p w14:paraId="1EB3B8AE" w14:textId="76AA78FC" w:rsidR="008E3741" w:rsidRPr="008E3741" w:rsidRDefault="008E3741" w:rsidP="00421823">
      <w:pPr>
        <w:pStyle w:val="Kop2"/>
        <w:rPr>
          <w:rFonts w:eastAsia="Calibri"/>
          <w:b/>
          <w:bCs/>
          <w:color w:val="2C307E"/>
        </w:rPr>
      </w:pPr>
      <w:bookmarkStart w:id="18" w:name="_Toc209702495"/>
      <w:bookmarkStart w:id="19" w:name="_Toc209702564"/>
      <w:bookmarkStart w:id="20" w:name="_Toc209710039"/>
      <w:r>
        <w:lastRenderedPageBreak/>
        <w:t>Range anxiety</w:t>
      </w:r>
      <w:bookmarkEnd w:id="18"/>
      <w:bookmarkEnd w:id="19"/>
      <w:bookmarkEnd w:id="20"/>
      <w:r w:rsidRPr="008E3741">
        <w:rPr>
          <w:rFonts w:eastAsia="Calibri"/>
          <w:b/>
          <w:bCs/>
          <w:color w:val="2C307E"/>
        </w:rPr>
        <w:t xml:space="preserve"> </w:t>
      </w:r>
    </w:p>
    <w:p w14:paraId="5E3212E5" w14:textId="21DB3790" w:rsidR="00CE49B5" w:rsidRDefault="00CE49B5" w:rsidP="00CE49B5">
      <w:pPr>
        <w:spacing w:after="0" w:line="276" w:lineRule="auto"/>
        <w:jc w:val="both"/>
        <w:rPr>
          <w:rFonts w:cstheme="minorHAnsi"/>
          <w:b/>
          <w:bCs/>
          <w:color w:val="2C307E"/>
        </w:rPr>
      </w:pPr>
      <w:r w:rsidRPr="00CE49B5">
        <w:rPr>
          <w:rFonts w:eastAsia="Calibri"/>
          <w:b/>
          <w:bCs/>
          <w:color w:val="2C307E"/>
        </w:rPr>
        <w:t>Meerdere bestuurders per EV</w:t>
      </w:r>
      <w:r>
        <w:rPr>
          <w:rFonts w:eastAsia="Calibri"/>
          <w:b/>
          <w:bCs/>
          <w:color w:val="2C307E"/>
        </w:rPr>
        <w:t>. [N=</w:t>
      </w:r>
      <w:r w:rsidR="000F32E4">
        <w:rPr>
          <w:rFonts w:eastAsia="Calibri"/>
          <w:b/>
          <w:bCs/>
          <w:color w:val="2C307E"/>
        </w:rPr>
        <w:t>3.663]</w:t>
      </w:r>
    </w:p>
    <w:p w14:paraId="1D7E50E6" w14:textId="687153AC" w:rsidR="0094579C" w:rsidRPr="001C6A08" w:rsidRDefault="00CE49B5" w:rsidP="00D8095C">
      <w:pPr>
        <w:jc w:val="both"/>
        <w:rPr>
          <w:rFonts w:eastAsia="Calibri"/>
          <w:i/>
          <w:color w:val="2C307E"/>
        </w:rPr>
      </w:pPr>
      <w:r>
        <w:rPr>
          <w:rFonts w:eastAsia="Calibri"/>
          <w:color w:val="2C307E"/>
        </w:rPr>
        <w:t xml:space="preserve">De </w:t>
      </w:r>
      <w:r w:rsidR="00EA032F">
        <w:rPr>
          <w:rFonts w:eastAsia="Calibri"/>
          <w:color w:val="2C307E"/>
        </w:rPr>
        <w:t>meeste EV-rijders</w:t>
      </w:r>
      <w:r w:rsidR="00AC02AB">
        <w:rPr>
          <w:rFonts w:eastAsia="Calibri"/>
          <w:color w:val="2C307E"/>
        </w:rPr>
        <w:t xml:space="preserve"> geven aan dat hun partner ook in</w:t>
      </w:r>
      <w:r w:rsidR="00EA032F">
        <w:rPr>
          <w:rFonts w:eastAsia="Calibri"/>
          <w:color w:val="2C307E"/>
        </w:rPr>
        <w:t xml:space="preserve"> de elektrisc</w:t>
      </w:r>
      <w:r w:rsidR="00F02376">
        <w:rPr>
          <w:rFonts w:eastAsia="Calibri"/>
          <w:color w:val="2C307E"/>
        </w:rPr>
        <w:t>h</w:t>
      </w:r>
      <w:r w:rsidR="00EA032F">
        <w:rPr>
          <w:rFonts w:eastAsia="Calibri"/>
          <w:color w:val="2C307E"/>
        </w:rPr>
        <w:t xml:space="preserve">e auto </w:t>
      </w:r>
      <w:r w:rsidR="00AC02AB">
        <w:rPr>
          <w:rFonts w:eastAsia="Calibri"/>
          <w:color w:val="2C307E"/>
        </w:rPr>
        <w:t xml:space="preserve">rijdt. </w:t>
      </w:r>
      <w:r w:rsidR="00EA032F">
        <w:rPr>
          <w:rFonts w:eastAsia="Calibri"/>
          <w:color w:val="2C307E"/>
        </w:rPr>
        <w:t xml:space="preserve">Een kleiner deel laat ook kinderen, vrienden en buren in de EV rijden. </w:t>
      </w:r>
      <w:r w:rsidR="001718B8">
        <w:rPr>
          <w:rFonts w:eastAsia="Calibri"/>
          <w:color w:val="2C307E"/>
        </w:rPr>
        <w:t xml:space="preserve">Onder </w:t>
      </w:r>
      <w:r w:rsidR="00EA032F">
        <w:rPr>
          <w:rFonts w:eastAsia="Calibri"/>
          <w:color w:val="2C307E"/>
        </w:rPr>
        <w:t xml:space="preserve">de </w:t>
      </w:r>
      <w:r w:rsidR="001718B8">
        <w:rPr>
          <w:rFonts w:eastAsia="Calibri"/>
          <w:color w:val="2C307E"/>
        </w:rPr>
        <w:t xml:space="preserve">categorie </w:t>
      </w:r>
      <w:r w:rsidR="00EA032F">
        <w:rPr>
          <w:rFonts w:eastAsia="Calibri"/>
          <w:color w:val="2C307E"/>
        </w:rPr>
        <w:t>‘Anderen’</w:t>
      </w:r>
      <w:r w:rsidR="001718B8">
        <w:rPr>
          <w:rFonts w:eastAsia="Calibri"/>
          <w:color w:val="2C307E"/>
        </w:rPr>
        <w:t xml:space="preserve"> vallen collega</w:t>
      </w:r>
      <w:r w:rsidR="00730771">
        <w:rPr>
          <w:rFonts w:eastAsia="Calibri"/>
          <w:color w:val="2C307E"/>
        </w:rPr>
        <w:t xml:space="preserve">’s en </w:t>
      </w:r>
      <w:r w:rsidR="001718B8">
        <w:rPr>
          <w:rFonts w:eastAsia="Calibri"/>
          <w:color w:val="2C307E"/>
        </w:rPr>
        <w:t>overige familieleden</w:t>
      </w:r>
      <w:r w:rsidR="00730771">
        <w:rPr>
          <w:rFonts w:eastAsia="Calibri"/>
          <w:color w:val="2C307E"/>
        </w:rPr>
        <w:t xml:space="preserve"> maar ook ‘niemand’. </w:t>
      </w:r>
      <w:r w:rsidR="000F32E4">
        <w:rPr>
          <w:rFonts w:eastAsia="Calibri"/>
          <w:color w:val="2C307E"/>
        </w:rPr>
        <w:t>Sommige</w:t>
      </w:r>
      <w:r w:rsidR="00730771">
        <w:rPr>
          <w:rFonts w:eastAsia="Calibri"/>
          <w:color w:val="2C307E"/>
        </w:rPr>
        <w:t xml:space="preserve"> EV-rijders rijd</w:t>
      </w:r>
      <w:r w:rsidR="000F32E4">
        <w:rPr>
          <w:rFonts w:eastAsia="Calibri"/>
          <w:color w:val="2C307E"/>
        </w:rPr>
        <w:t>en</w:t>
      </w:r>
      <w:r w:rsidR="00730771">
        <w:rPr>
          <w:rFonts w:eastAsia="Calibri"/>
          <w:color w:val="2C307E"/>
        </w:rPr>
        <w:t xml:space="preserve"> alleen zelf in hun elektrische auto.</w:t>
      </w:r>
      <w:r w:rsidR="00DD0A16">
        <w:rPr>
          <w:noProof/>
        </w:rPr>
        <w:drawing>
          <wp:inline distT="0" distB="0" distL="0" distR="0" wp14:anchorId="1A4209F9" wp14:editId="5CE57879">
            <wp:extent cx="2655570" cy="1905000"/>
            <wp:effectExtent l="0" t="0" r="0" b="0"/>
            <wp:docPr id="403770842" name="Grafiek 1">
              <a:extLst xmlns:a="http://schemas.openxmlformats.org/drawingml/2006/main">
                <a:ext uri="{FF2B5EF4-FFF2-40B4-BE49-F238E27FC236}">
                  <a16:creationId xmlns:a16="http://schemas.microsoft.com/office/drawing/2014/main" id="{98D9B232-403F-50A2-2EAB-70AF9853EC3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6F7E9227" w14:textId="71F5AF44" w:rsidR="00025510" w:rsidRPr="00D30775" w:rsidRDefault="004B17BB" w:rsidP="004F62EF">
      <w:pPr>
        <w:spacing w:after="0" w:line="276" w:lineRule="auto"/>
        <w:jc w:val="both"/>
        <w:rPr>
          <w:rFonts w:eastAsia="Calibri" w:cstheme="minorHAnsi"/>
          <w:b/>
          <w:bCs/>
          <w:color w:val="2C307E"/>
        </w:rPr>
      </w:pPr>
      <w:r w:rsidRPr="006A1046">
        <w:rPr>
          <w:rFonts w:eastAsia="Calibri" w:cstheme="minorHAnsi"/>
          <w:b/>
          <w:bCs/>
          <w:i/>
          <w:iCs/>
          <w:color w:val="2C307E"/>
        </w:rPr>
        <w:t>Range anxiety</w:t>
      </w:r>
      <w:r>
        <w:rPr>
          <w:rFonts w:eastAsia="Calibri" w:cstheme="minorHAnsi"/>
          <w:b/>
          <w:bCs/>
          <w:color w:val="2C307E"/>
        </w:rPr>
        <w:t xml:space="preserve"> is beperkt en ongeveer gelijk gebleven. [N=3.</w:t>
      </w:r>
      <w:r w:rsidR="009946D0">
        <w:rPr>
          <w:rFonts w:eastAsia="Calibri" w:cstheme="minorHAnsi"/>
          <w:b/>
          <w:bCs/>
          <w:color w:val="2C307E"/>
        </w:rPr>
        <w:t>978</w:t>
      </w:r>
      <w:r>
        <w:rPr>
          <w:rFonts w:eastAsia="Calibri" w:cstheme="minorHAnsi"/>
          <w:b/>
          <w:bCs/>
          <w:color w:val="2C307E"/>
        </w:rPr>
        <w:t>]</w:t>
      </w:r>
    </w:p>
    <w:p w14:paraId="6A826C1C" w14:textId="2E8DFB55" w:rsidR="00E31960" w:rsidRPr="00F02376" w:rsidRDefault="004B17BB" w:rsidP="004F62EF">
      <w:pPr>
        <w:spacing w:after="0" w:line="276" w:lineRule="auto"/>
        <w:jc w:val="both"/>
        <w:rPr>
          <w:color w:val="2C307E"/>
        </w:rPr>
      </w:pPr>
      <w:r w:rsidRPr="00FB15B4">
        <w:rPr>
          <w:rFonts w:eastAsia="Calibri" w:cstheme="minorHAnsi"/>
          <w:color w:val="2C307E"/>
        </w:rPr>
        <w:t xml:space="preserve">Met </w:t>
      </w:r>
      <w:r w:rsidRPr="00FB15B4">
        <w:rPr>
          <w:rFonts w:eastAsia="Calibri" w:cstheme="minorHAnsi"/>
          <w:i/>
          <w:color w:val="2C307E"/>
        </w:rPr>
        <w:t xml:space="preserve">range anxiety </w:t>
      </w:r>
      <w:r w:rsidRPr="00FB15B4">
        <w:rPr>
          <w:rFonts w:eastAsia="Calibri" w:cstheme="minorHAnsi"/>
          <w:color w:val="2C307E"/>
        </w:rPr>
        <w:t>wordt bedoeld de mate waarin men onzeker is over de actieradius</w:t>
      </w:r>
      <w:r w:rsidR="00E31960">
        <w:rPr>
          <w:rFonts w:eastAsia="Calibri" w:cstheme="minorHAnsi"/>
          <w:color w:val="2C307E"/>
        </w:rPr>
        <w:t>. Dat is gemeten aan de hand van de volgende stelling:</w:t>
      </w:r>
      <w:r w:rsidR="00F02376">
        <w:rPr>
          <w:rFonts w:eastAsia="Calibri" w:cstheme="minorHAnsi"/>
          <w:color w:val="2C307E"/>
        </w:rPr>
        <w:t xml:space="preserve"> </w:t>
      </w:r>
      <w:r w:rsidR="00E31960" w:rsidRPr="00612F87">
        <w:rPr>
          <w:i/>
          <w:iCs/>
          <w:color w:val="2C307E"/>
        </w:rPr>
        <w:t>Ik kan vertrouwen op de actieradius die mijn auto in de praktijk weergeeft</w:t>
      </w:r>
      <w:r w:rsidR="00F02376">
        <w:rPr>
          <w:color w:val="2C307E"/>
        </w:rPr>
        <w:t xml:space="preserve">, op een schaal van 1 (helemaal mee oneens) tot 5 (helemaal mee eens). EV-rijders scoren </w:t>
      </w:r>
      <w:r w:rsidR="00C52C5B">
        <w:rPr>
          <w:color w:val="2C307E"/>
        </w:rPr>
        <w:t xml:space="preserve">gemiddeld </w:t>
      </w:r>
      <w:r w:rsidR="00F02376">
        <w:rPr>
          <w:color w:val="2C307E"/>
        </w:rPr>
        <w:t xml:space="preserve">een 3,8 en </w:t>
      </w:r>
      <w:r w:rsidR="00041536">
        <w:rPr>
          <w:color w:val="2C307E"/>
        </w:rPr>
        <w:t>geven</w:t>
      </w:r>
      <w:r w:rsidR="00F02376">
        <w:rPr>
          <w:color w:val="2C307E"/>
        </w:rPr>
        <w:t xml:space="preserve"> daarmee </w:t>
      </w:r>
      <w:r w:rsidR="00041536">
        <w:rPr>
          <w:color w:val="2C307E"/>
        </w:rPr>
        <w:t>aan</w:t>
      </w:r>
      <w:r w:rsidR="00F02376">
        <w:rPr>
          <w:color w:val="2C307E"/>
        </w:rPr>
        <w:t xml:space="preserve"> dat ze het grotendeels eens zijn met deze stelling. </w:t>
      </w:r>
    </w:p>
    <w:p w14:paraId="53446EFB" w14:textId="77777777" w:rsidR="00410D8A" w:rsidRDefault="00410D8A" w:rsidP="00FD5FFA">
      <w:pPr>
        <w:spacing w:after="0" w:line="240" w:lineRule="auto"/>
        <w:jc w:val="both"/>
        <w:rPr>
          <w:b/>
          <w:bCs/>
          <w:color w:val="2C307E"/>
        </w:rPr>
      </w:pPr>
    </w:p>
    <w:p w14:paraId="5995874A" w14:textId="77777777" w:rsidR="00CE49B5" w:rsidRDefault="00410D8A" w:rsidP="00410D8A">
      <w:pPr>
        <w:spacing w:after="0" w:line="276" w:lineRule="auto"/>
        <w:jc w:val="both"/>
        <w:rPr>
          <w:rFonts w:eastAsia="Calibri"/>
          <w:b/>
          <w:bCs/>
          <w:color w:val="2C307E"/>
        </w:rPr>
      </w:pPr>
      <w:r w:rsidRPr="00410D8A">
        <w:rPr>
          <w:rFonts w:eastAsia="Calibri"/>
          <w:b/>
          <w:bCs/>
          <w:color w:val="2C307E"/>
        </w:rPr>
        <w:t xml:space="preserve">Hoe langer mensen elektrisch rijden hoe minder </w:t>
      </w:r>
      <w:r w:rsidRPr="006A1046">
        <w:rPr>
          <w:rFonts w:eastAsia="Calibri"/>
          <w:b/>
          <w:bCs/>
          <w:i/>
          <w:iCs/>
          <w:color w:val="2C307E"/>
        </w:rPr>
        <w:t>range anxiety</w:t>
      </w:r>
      <w:r w:rsidRPr="00410D8A">
        <w:rPr>
          <w:rFonts w:eastAsia="Calibri"/>
          <w:b/>
          <w:bCs/>
          <w:color w:val="2C307E"/>
        </w:rPr>
        <w:t xml:space="preserve"> ze hebben. [N=3.978]</w:t>
      </w:r>
    </w:p>
    <w:p w14:paraId="76231631" w14:textId="5EA3D961" w:rsidR="00410D8A" w:rsidRDefault="00365A9A" w:rsidP="00410D8A">
      <w:pPr>
        <w:spacing w:after="0" w:line="276" w:lineRule="auto"/>
        <w:jc w:val="both"/>
        <w:rPr>
          <w:rFonts w:eastAsia="Calibri" w:cstheme="minorHAnsi"/>
          <w:b/>
          <w:bCs/>
          <w:color w:val="2C307E"/>
        </w:rPr>
      </w:pPr>
      <w:r>
        <w:rPr>
          <w:rFonts w:eastAsia="Calibri"/>
          <w:color w:val="2C307E"/>
        </w:rPr>
        <w:t>Maar o</w:t>
      </w:r>
      <w:r w:rsidR="00EA4B6D">
        <w:rPr>
          <w:rFonts w:eastAsia="Calibri"/>
          <w:color w:val="2C307E"/>
        </w:rPr>
        <w:t xml:space="preserve">ok de groep die recenter pas elektrisch rijdt, </w:t>
      </w:r>
      <w:r>
        <w:rPr>
          <w:rFonts w:eastAsia="Calibri"/>
          <w:color w:val="2C307E"/>
        </w:rPr>
        <w:t xml:space="preserve">heeft weinig </w:t>
      </w:r>
      <w:r w:rsidRPr="00365A9A">
        <w:rPr>
          <w:rFonts w:eastAsia="Calibri"/>
          <w:i/>
          <w:iCs/>
          <w:color w:val="2C307E"/>
        </w:rPr>
        <w:t>range anxiety</w:t>
      </w:r>
      <w:r>
        <w:rPr>
          <w:rFonts w:eastAsia="Calibri"/>
          <w:color w:val="2C307E"/>
        </w:rPr>
        <w:t xml:space="preserve">. </w:t>
      </w:r>
      <w:r w:rsidR="00EA4B6D">
        <w:rPr>
          <w:rFonts w:eastAsia="Calibri"/>
          <w:color w:val="2C307E"/>
        </w:rPr>
        <w:t xml:space="preserve"> </w:t>
      </w:r>
    </w:p>
    <w:p w14:paraId="0EB52430" w14:textId="573F3673" w:rsidR="00B90E3D" w:rsidRDefault="00814796" w:rsidP="00C13925">
      <w:pPr>
        <w:spacing w:after="0" w:line="276" w:lineRule="auto"/>
        <w:jc w:val="both"/>
        <w:rPr>
          <w:rFonts w:eastAsia="Calibri" w:cstheme="minorHAnsi"/>
          <w:b/>
          <w:bCs/>
          <w:color w:val="2C307E"/>
        </w:rPr>
      </w:pPr>
      <w:r>
        <w:rPr>
          <w:noProof/>
        </w:rPr>
        <w:drawing>
          <wp:inline distT="0" distB="0" distL="0" distR="0" wp14:anchorId="2F18B9E9" wp14:editId="17CE534F">
            <wp:extent cx="2662555" cy="1676400"/>
            <wp:effectExtent l="0" t="0" r="4445" b="0"/>
            <wp:docPr id="181812102" name="Grafiek 1">
              <a:extLst xmlns:a="http://schemas.openxmlformats.org/drawingml/2006/main">
                <a:ext uri="{FF2B5EF4-FFF2-40B4-BE49-F238E27FC236}">
                  <a16:creationId xmlns:a16="http://schemas.microsoft.com/office/drawing/2014/main" id="{AB41761F-D1E1-8CD4-1BE6-A94FF452ABD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4E77CEC5" w14:textId="208150B2" w:rsidR="00025510" w:rsidRDefault="00E006A5" w:rsidP="00025510">
      <w:pPr>
        <w:jc w:val="both"/>
        <w:rPr>
          <w:rFonts w:eastAsia="Calibri" w:cstheme="minorHAnsi"/>
          <w:b/>
          <w:bCs/>
          <w:color w:val="2C307E"/>
        </w:rPr>
      </w:pPr>
      <w:bookmarkStart w:id="21" w:name="_Toc209710040"/>
      <w:r w:rsidRPr="00421823">
        <w:rPr>
          <w:rStyle w:val="Kop2Char"/>
        </w:rPr>
        <w:t>Zonnepanelen</w:t>
      </w:r>
      <w:bookmarkEnd w:id="21"/>
      <w:r>
        <w:rPr>
          <w:rFonts w:asciiTheme="majorHAnsi" w:eastAsiaTheme="majorEastAsia" w:hAnsiTheme="majorHAnsi" w:cstheme="majorBidi"/>
          <w:color w:val="2F5496" w:themeColor="accent1" w:themeShade="BF"/>
          <w:sz w:val="26"/>
          <w:szCs w:val="26"/>
        </w:rPr>
        <w:br/>
      </w:r>
      <w:r w:rsidR="002269AE">
        <w:rPr>
          <w:rFonts w:eastAsia="Calibri" w:cstheme="minorHAnsi"/>
          <w:b/>
          <w:bCs/>
          <w:color w:val="2C307E"/>
        </w:rPr>
        <w:t>79</w:t>
      </w:r>
      <w:r w:rsidR="004B17BB" w:rsidRPr="00790273">
        <w:rPr>
          <w:rFonts w:eastAsia="Calibri" w:cstheme="minorHAnsi"/>
          <w:b/>
          <w:bCs/>
          <w:color w:val="2C307E"/>
        </w:rPr>
        <w:t xml:space="preserve">% van de </w:t>
      </w:r>
      <w:r w:rsidR="001C5EF7">
        <w:rPr>
          <w:rFonts w:eastAsia="Calibri" w:cstheme="minorHAnsi"/>
          <w:b/>
          <w:bCs/>
          <w:color w:val="2C307E"/>
        </w:rPr>
        <w:t>EV-rijders</w:t>
      </w:r>
      <w:r w:rsidR="004B17BB" w:rsidRPr="00790273">
        <w:rPr>
          <w:rFonts w:eastAsia="Calibri" w:cstheme="minorHAnsi"/>
          <w:b/>
          <w:bCs/>
          <w:color w:val="2C307E"/>
        </w:rPr>
        <w:t xml:space="preserve"> heeft zonnepanelen</w:t>
      </w:r>
      <w:r w:rsidR="004B17BB">
        <w:rPr>
          <w:rFonts w:eastAsia="Calibri" w:cstheme="minorHAnsi"/>
          <w:b/>
          <w:bCs/>
          <w:color w:val="2C307E"/>
        </w:rPr>
        <w:t>.</w:t>
      </w:r>
      <w:r w:rsidR="004B17BB" w:rsidRPr="00790273">
        <w:rPr>
          <w:rFonts w:eastAsia="Calibri" w:cstheme="minorHAnsi"/>
          <w:b/>
          <w:bCs/>
          <w:color w:val="2C307E"/>
        </w:rPr>
        <w:t xml:space="preserve"> [N=3.</w:t>
      </w:r>
      <w:r w:rsidR="004B17BB">
        <w:rPr>
          <w:rFonts w:eastAsia="Calibri" w:cstheme="minorHAnsi"/>
          <w:b/>
          <w:bCs/>
          <w:color w:val="2C307E"/>
        </w:rPr>
        <w:t>6</w:t>
      </w:r>
      <w:r w:rsidR="005840E1">
        <w:rPr>
          <w:rFonts w:eastAsia="Calibri" w:cstheme="minorHAnsi"/>
          <w:b/>
          <w:bCs/>
          <w:color w:val="2C307E"/>
        </w:rPr>
        <w:t>53</w:t>
      </w:r>
      <w:r w:rsidR="004B17BB">
        <w:rPr>
          <w:rFonts w:eastAsia="Calibri" w:cstheme="minorHAnsi"/>
          <w:b/>
          <w:bCs/>
          <w:color w:val="2C307E"/>
        </w:rPr>
        <w:t>]</w:t>
      </w:r>
      <w:r w:rsidR="00025510">
        <w:rPr>
          <w:rFonts w:eastAsia="Calibri" w:cstheme="minorHAnsi"/>
          <w:b/>
          <w:bCs/>
          <w:color w:val="2C307E"/>
        </w:rPr>
        <w:br/>
      </w:r>
      <w:r w:rsidR="004B17BB" w:rsidRPr="00FB15B4">
        <w:rPr>
          <w:rFonts w:eastAsia="Calibri" w:cstheme="minorHAnsi"/>
          <w:color w:val="2C307E"/>
        </w:rPr>
        <w:t xml:space="preserve">Dit is </w:t>
      </w:r>
      <w:r w:rsidR="002269AE">
        <w:rPr>
          <w:rFonts w:eastAsia="Calibri" w:cstheme="minorHAnsi"/>
          <w:color w:val="2C307E"/>
        </w:rPr>
        <w:t xml:space="preserve">ongeveer </w:t>
      </w:r>
      <w:r w:rsidR="00B05CA1">
        <w:rPr>
          <w:rFonts w:eastAsia="Calibri" w:cstheme="minorHAnsi"/>
          <w:color w:val="2C307E"/>
        </w:rPr>
        <w:t>gelijk aan</w:t>
      </w:r>
      <w:r w:rsidR="00F54984">
        <w:rPr>
          <w:rFonts w:eastAsia="Calibri" w:cstheme="minorHAnsi"/>
          <w:color w:val="2C307E"/>
        </w:rPr>
        <w:t xml:space="preserve"> 2024</w:t>
      </w:r>
      <w:r w:rsidR="002269AE">
        <w:rPr>
          <w:rFonts w:eastAsia="Calibri" w:cstheme="minorHAnsi"/>
          <w:color w:val="2C307E"/>
        </w:rPr>
        <w:t xml:space="preserve"> (81%</w:t>
      </w:r>
      <w:r w:rsidR="00BB09F5">
        <w:rPr>
          <w:rFonts w:eastAsia="Calibri" w:cstheme="minorHAnsi"/>
          <w:color w:val="2C307E"/>
        </w:rPr>
        <w:t>) en</w:t>
      </w:r>
      <w:r w:rsidR="00F54984">
        <w:rPr>
          <w:rFonts w:eastAsia="Calibri" w:cstheme="minorHAnsi"/>
          <w:color w:val="2C307E"/>
        </w:rPr>
        <w:t xml:space="preserve"> </w:t>
      </w:r>
      <w:r w:rsidR="000F72C3">
        <w:rPr>
          <w:rFonts w:eastAsia="Calibri" w:cstheme="minorHAnsi"/>
          <w:color w:val="2C307E"/>
        </w:rPr>
        <w:t>2023</w:t>
      </w:r>
      <w:r w:rsidR="00BB09F5">
        <w:rPr>
          <w:rFonts w:eastAsia="Calibri" w:cstheme="minorHAnsi"/>
          <w:color w:val="2C307E"/>
        </w:rPr>
        <w:t xml:space="preserve"> (77%)</w:t>
      </w:r>
      <w:r w:rsidR="004B17BB">
        <w:rPr>
          <w:rFonts w:eastAsia="Calibri" w:cstheme="minorHAnsi"/>
          <w:color w:val="2C307E"/>
        </w:rPr>
        <w:t xml:space="preserve"> </w:t>
      </w:r>
      <w:r w:rsidR="00BB09F5">
        <w:rPr>
          <w:rFonts w:eastAsia="Calibri" w:cstheme="minorHAnsi"/>
          <w:color w:val="2C307E"/>
        </w:rPr>
        <w:t>en een stijging t.o.v.</w:t>
      </w:r>
      <w:r w:rsidR="004B17BB">
        <w:rPr>
          <w:rFonts w:eastAsia="Calibri" w:cstheme="minorHAnsi"/>
          <w:color w:val="2C307E"/>
        </w:rPr>
        <w:t xml:space="preserve"> 2022</w:t>
      </w:r>
      <w:r w:rsidR="00BB09F5">
        <w:rPr>
          <w:rFonts w:eastAsia="Calibri" w:cstheme="minorHAnsi"/>
          <w:color w:val="2C307E"/>
        </w:rPr>
        <w:t xml:space="preserve"> (68%)</w:t>
      </w:r>
      <w:r w:rsidR="004B17BB" w:rsidRPr="00FB15B4">
        <w:rPr>
          <w:rFonts w:eastAsia="Calibri" w:cstheme="minorHAnsi"/>
          <w:color w:val="2C307E"/>
        </w:rPr>
        <w:t xml:space="preserve">. </w:t>
      </w:r>
      <w:r w:rsidR="00174BC8">
        <w:rPr>
          <w:rFonts w:eastAsia="Calibri" w:cstheme="minorHAnsi"/>
          <w:color w:val="2C307E"/>
        </w:rPr>
        <w:t>Ter referentie;</w:t>
      </w:r>
      <w:r w:rsidR="004B17BB" w:rsidRPr="00CA590A">
        <w:rPr>
          <w:rFonts w:eastAsia="Calibri" w:cstheme="minorHAnsi"/>
          <w:color w:val="2C307E"/>
        </w:rPr>
        <w:t xml:space="preserve"> eind 202</w:t>
      </w:r>
      <w:r w:rsidR="00AA5278" w:rsidRPr="00CA590A">
        <w:rPr>
          <w:rFonts w:eastAsia="Calibri" w:cstheme="minorHAnsi"/>
          <w:color w:val="2C307E"/>
        </w:rPr>
        <w:t>4</w:t>
      </w:r>
      <w:r w:rsidR="004B17BB" w:rsidRPr="00CA590A">
        <w:rPr>
          <w:rFonts w:eastAsia="Calibri" w:cstheme="minorHAnsi"/>
          <w:color w:val="2C307E"/>
        </w:rPr>
        <w:t xml:space="preserve"> ha</w:t>
      </w:r>
      <w:r w:rsidR="00AA5278" w:rsidRPr="00CA590A">
        <w:rPr>
          <w:rFonts w:eastAsia="Calibri" w:cstheme="minorHAnsi"/>
          <w:color w:val="2C307E"/>
        </w:rPr>
        <w:t>d ruim 35</w:t>
      </w:r>
      <w:r w:rsidR="004B17BB" w:rsidRPr="00CA590A">
        <w:rPr>
          <w:rFonts w:eastAsia="Calibri" w:cstheme="minorHAnsi"/>
          <w:color w:val="2C307E"/>
        </w:rPr>
        <w:t>% van de Nederlandse huishoudens zonnepanelen.</w:t>
      </w:r>
      <w:r w:rsidR="004B17BB" w:rsidRPr="00CA590A">
        <w:rPr>
          <w:rStyle w:val="Voetnootmarkering"/>
          <w:rFonts w:eastAsia="Calibri" w:cstheme="minorHAnsi"/>
          <w:color w:val="2C307E"/>
        </w:rPr>
        <w:footnoteReference w:id="5"/>
      </w:r>
      <w:r w:rsidR="004B17BB" w:rsidRPr="00FB15B4">
        <w:rPr>
          <w:rFonts w:eastAsia="Calibri" w:cstheme="minorHAnsi"/>
          <w:color w:val="2C307E"/>
        </w:rPr>
        <w:t xml:space="preserve"> </w:t>
      </w:r>
      <w:r w:rsidR="00025510">
        <w:rPr>
          <w:rFonts w:eastAsia="Calibri" w:cstheme="minorHAnsi"/>
          <w:b/>
          <w:bCs/>
          <w:color w:val="2C307E"/>
        </w:rPr>
        <w:br/>
      </w:r>
      <w:r w:rsidR="00365A9A">
        <w:rPr>
          <w:rFonts w:eastAsia="Calibri"/>
          <w:bCs/>
          <w:color w:val="2C307E"/>
        </w:rPr>
        <w:t>EV-rijders die niet thuis (kunnen) laden,</w:t>
      </w:r>
      <w:r w:rsidR="00602981">
        <w:rPr>
          <w:rFonts w:eastAsia="Calibri"/>
          <w:bCs/>
          <w:color w:val="2C307E"/>
        </w:rPr>
        <w:t xml:space="preserve"> hebben minder vaak zonnepanelen</w:t>
      </w:r>
      <w:r w:rsidR="00365A9A">
        <w:rPr>
          <w:rFonts w:eastAsia="Calibri"/>
          <w:bCs/>
          <w:color w:val="2C307E"/>
        </w:rPr>
        <w:t>. D</w:t>
      </w:r>
      <w:r w:rsidR="00602981">
        <w:rPr>
          <w:rFonts w:eastAsia="Calibri"/>
          <w:bCs/>
          <w:color w:val="2C307E"/>
        </w:rPr>
        <w:t xml:space="preserve">at aandeel is </w:t>
      </w:r>
      <w:r w:rsidR="00365A9A">
        <w:rPr>
          <w:rFonts w:eastAsia="Calibri"/>
          <w:bCs/>
          <w:color w:val="2C307E"/>
        </w:rPr>
        <w:t xml:space="preserve">iets </w:t>
      </w:r>
      <w:r w:rsidR="00602981">
        <w:rPr>
          <w:rFonts w:eastAsia="Calibri"/>
          <w:bCs/>
          <w:color w:val="2C307E"/>
        </w:rPr>
        <w:t>afgenomen in vergelijking met eerdere laadonderzoeken.</w:t>
      </w:r>
      <w:r w:rsidR="00F02376" w:rsidRPr="00F02376">
        <w:rPr>
          <w:rFonts w:eastAsia="Calibri"/>
          <w:b/>
          <w:color w:val="2C307E"/>
        </w:rPr>
        <w:t xml:space="preserve"> </w:t>
      </w:r>
    </w:p>
    <w:p w14:paraId="3C875325" w14:textId="2731F5DF" w:rsidR="00025510" w:rsidRDefault="00025510" w:rsidP="00F02376">
      <w:pPr>
        <w:spacing w:after="0" w:line="276" w:lineRule="auto"/>
        <w:jc w:val="both"/>
        <w:rPr>
          <w:rFonts w:eastAsia="Calibri"/>
          <w:color w:val="2C307E"/>
        </w:rPr>
      </w:pPr>
      <w:r>
        <w:rPr>
          <w:noProof/>
        </w:rPr>
        <w:drawing>
          <wp:inline distT="0" distB="0" distL="0" distR="0" wp14:anchorId="42B24301" wp14:editId="6D54C32C">
            <wp:extent cx="2655570" cy="1998980"/>
            <wp:effectExtent l="0" t="0" r="0" b="0"/>
            <wp:docPr id="1836734907" name="Grafiek 1">
              <a:extLst xmlns:a="http://schemas.openxmlformats.org/drawingml/2006/main">
                <a:ext uri="{FF2B5EF4-FFF2-40B4-BE49-F238E27FC236}">
                  <a16:creationId xmlns:a16="http://schemas.microsoft.com/office/drawing/2014/main" id="{1F18C2B3-6A1D-8DC1-08D9-B8FA370DC22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48BC57D6" w14:textId="27557CF0" w:rsidR="00025510" w:rsidRDefault="00025510" w:rsidP="00025510">
      <w:pPr>
        <w:spacing w:after="0" w:line="240" w:lineRule="auto"/>
        <w:jc w:val="both"/>
        <w:rPr>
          <w:rFonts w:eastAsia="Calibri"/>
          <w:b/>
          <w:color w:val="2C307E"/>
        </w:rPr>
      </w:pPr>
      <w:r>
        <w:rPr>
          <w:rFonts w:eastAsia="Calibri"/>
          <w:b/>
          <w:color w:val="2C307E"/>
        </w:rPr>
        <w:t>22% van de EV-rijders met zonnepanelen heeft een hogere opbrengst per jaar dan het huis en de auto gebruiken</w:t>
      </w:r>
      <w:r w:rsidR="008E3741">
        <w:rPr>
          <w:rFonts w:eastAsia="Calibri"/>
          <w:b/>
          <w:color w:val="2C307E"/>
        </w:rPr>
        <w:t>.</w:t>
      </w:r>
      <w:r w:rsidR="008A3342">
        <w:rPr>
          <w:rFonts w:eastAsia="Calibri"/>
          <w:b/>
          <w:color w:val="2C307E"/>
        </w:rPr>
        <w:t xml:space="preserve"> [N=2.872]</w:t>
      </w:r>
    </w:p>
    <w:p w14:paraId="68FCE3CE" w14:textId="5C0F148B" w:rsidR="00025510" w:rsidRDefault="00025510" w:rsidP="008E3741">
      <w:pPr>
        <w:spacing w:after="0" w:line="240" w:lineRule="auto"/>
        <w:jc w:val="both"/>
        <w:rPr>
          <w:rFonts w:eastAsia="Calibri"/>
          <w:color w:val="2C307E"/>
        </w:rPr>
      </w:pPr>
      <w:r>
        <w:rPr>
          <w:rFonts w:eastAsia="Calibri"/>
          <w:bCs/>
          <w:color w:val="2C307E"/>
        </w:rPr>
        <w:t>Er is weinig verschil tussen thuisladers en niet thuisladers.</w:t>
      </w:r>
    </w:p>
    <w:p w14:paraId="05AB147E" w14:textId="0F3DE564" w:rsidR="008E3741" w:rsidRDefault="008E3741" w:rsidP="00F02376">
      <w:pPr>
        <w:spacing w:after="0" w:line="276" w:lineRule="auto"/>
        <w:jc w:val="both"/>
        <w:rPr>
          <w:rFonts w:eastAsia="Calibri"/>
          <w:color w:val="2C307E"/>
        </w:rPr>
      </w:pPr>
      <w:r>
        <w:rPr>
          <w:noProof/>
        </w:rPr>
        <w:drawing>
          <wp:inline distT="0" distB="0" distL="0" distR="0" wp14:anchorId="5495E8F8" wp14:editId="349904AA">
            <wp:extent cx="2655570" cy="3314700"/>
            <wp:effectExtent l="0" t="0" r="0" b="0"/>
            <wp:docPr id="1582205242" name="Grafiek 1">
              <a:extLst xmlns:a="http://schemas.openxmlformats.org/drawingml/2006/main">
                <a:ext uri="{FF2B5EF4-FFF2-40B4-BE49-F238E27FC236}">
                  <a16:creationId xmlns:a16="http://schemas.microsoft.com/office/drawing/2014/main" id="{2A7E945E-E280-B552-3DA8-EFBB22B4244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1767530B" w14:textId="15AA6D46" w:rsidR="008E3741" w:rsidRPr="00025510" w:rsidRDefault="008E3741" w:rsidP="008E3741">
      <w:pPr>
        <w:jc w:val="both"/>
        <w:rPr>
          <w:rFonts w:eastAsia="Calibri" w:cstheme="minorHAnsi"/>
          <w:b/>
          <w:bCs/>
          <w:color w:val="2C307E"/>
        </w:rPr>
      </w:pPr>
      <w:r>
        <w:rPr>
          <w:noProof/>
        </w:rPr>
        <w:lastRenderedPageBreak/>
        <w:drawing>
          <wp:anchor distT="0" distB="0" distL="114300" distR="114300" simplePos="0" relativeHeight="251658245" behindDoc="0" locked="0" layoutInCell="1" allowOverlap="1" wp14:anchorId="7FBF941D" wp14:editId="5EC1319C">
            <wp:simplePos x="0" y="0"/>
            <wp:positionH relativeFrom="margin">
              <wp:align>right</wp:align>
            </wp:positionH>
            <wp:positionV relativeFrom="paragraph">
              <wp:posOffset>1157605</wp:posOffset>
            </wp:positionV>
            <wp:extent cx="5772150" cy="2466975"/>
            <wp:effectExtent l="0" t="0" r="0" b="0"/>
            <wp:wrapSquare wrapText="bothSides"/>
            <wp:docPr id="447787806" name="Grafiek 1">
              <a:extLst xmlns:a="http://schemas.openxmlformats.org/drawingml/2006/main">
                <a:ext uri="{FF2B5EF4-FFF2-40B4-BE49-F238E27FC236}">
                  <a16:creationId xmlns:a16="http://schemas.microsoft.com/office/drawing/2014/main" id="{EFDA80EF-FF6F-3BB5-80FB-267E6274DFE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14:sizeRelH relativeFrom="page">
              <wp14:pctWidth>0</wp14:pctWidth>
            </wp14:sizeRelH>
            <wp14:sizeRelV relativeFrom="page">
              <wp14:pctHeight>0</wp14:pctHeight>
            </wp14:sizeRelV>
          </wp:anchor>
        </w:drawing>
      </w:r>
      <w:r w:rsidRPr="669FB9BC">
        <w:rPr>
          <w:rFonts w:eastAsia="Calibri"/>
          <w:b/>
          <w:color w:val="2C307E"/>
        </w:rPr>
        <w:t>9</w:t>
      </w:r>
      <w:r>
        <w:rPr>
          <w:rFonts w:eastAsia="Calibri"/>
          <w:b/>
          <w:color w:val="2C307E"/>
        </w:rPr>
        <w:t>0</w:t>
      </w:r>
      <w:r w:rsidRPr="669FB9BC">
        <w:rPr>
          <w:rFonts w:eastAsia="Calibri"/>
          <w:b/>
          <w:color w:val="2C307E"/>
        </w:rPr>
        <w:t>% van EV-rijders met de mogelijkheid om thuis te laden heeft zonnepanelen.</w:t>
      </w:r>
      <w:r w:rsidR="008A3342">
        <w:rPr>
          <w:rFonts w:eastAsia="Calibri"/>
          <w:b/>
          <w:color w:val="2C307E"/>
        </w:rPr>
        <w:t xml:space="preserve"> [N=</w:t>
      </w:r>
      <w:r w:rsidR="003E439F">
        <w:rPr>
          <w:rFonts w:eastAsia="Calibri"/>
          <w:b/>
          <w:color w:val="2C307E"/>
        </w:rPr>
        <w:t>3.653]</w:t>
      </w:r>
      <w:r>
        <w:rPr>
          <w:rFonts w:eastAsia="Calibri" w:cstheme="minorHAnsi"/>
          <w:b/>
          <w:bCs/>
          <w:color w:val="2C307E"/>
        </w:rPr>
        <w:br/>
      </w:r>
      <w:r w:rsidRPr="086B8C82">
        <w:rPr>
          <w:rFonts w:eastAsia="Calibri"/>
          <w:color w:val="2C307E"/>
        </w:rPr>
        <w:t xml:space="preserve">Als elektrische rijders de mogelijkheid hebben om thuis te laden, dan laadt 70% zoveel mogelijk op tijden waarop zonne-energie beschikbaar is. </w:t>
      </w:r>
    </w:p>
    <w:p w14:paraId="3BDC2E45" w14:textId="77777777" w:rsidR="00BE2D63" w:rsidRDefault="00BE2D63" w:rsidP="0094579C">
      <w:pPr>
        <w:spacing w:after="0" w:line="240" w:lineRule="auto"/>
        <w:jc w:val="both"/>
        <w:rPr>
          <w:rFonts w:asciiTheme="majorHAnsi" w:eastAsiaTheme="majorEastAsia" w:hAnsiTheme="majorHAnsi" w:cstheme="majorBidi"/>
          <w:color w:val="2F5496" w:themeColor="accent1" w:themeShade="BF"/>
          <w:sz w:val="26"/>
          <w:szCs w:val="26"/>
        </w:rPr>
      </w:pPr>
    </w:p>
    <w:p w14:paraId="2CE877F7" w14:textId="3CA5B34C" w:rsidR="00E006A5" w:rsidRDefault="00E006A5" w:rsidP="00FC5438">
      <w:pPr>
        <w:pStyle w:val="Kop2"/>
        <w:rPr>
          <w:rFonts w:eastAsia="Calibri" w:cstheme="minorHAnsi"/>
          <w:b/>
          <w:bCs/>
          <w:color w:val="2C307E"/>
        </w:rPr>
      </w:pPr>
      <w:bookmarkStart w:id="22" w:name="_Toc209710041"/>
      <w:r>
        <w:t>Parkeersituatie</w:t>
      </w:r>
      <w:bookmarkEnd w:id="22"/>
    </w:p>
    <w:p w14:paraId="3CE1AC72" w14:textId="3A1403F4" w:rsidR="00304AB9" w:rsidRDefault="00304AB9" w:rsidP="0094579C">
      <w:pPr>
        <w:spacing w:after="0" w:line="240" w:lineRule="auto"/>
        <w:jc w:val="both"/>
        <w:rPr>
          <w:rFonts w:eastAsia="Calibri" w:cstheme="minorHAnsi"/>
          <w:b/>
          <w:bCs/>
          <w:color w:val="2C307E"/>
        </w:rPr>
      </w:pPr>
      <w:r>
        <w:rPr>
          <w:rFonts w:eastAsia="Calibri" w:cstheme="minorHAnsi"/>
          <w:b/>
          <w:bCs/>
          <w:color w:val="2C307E"/>
        </w:rPr>
        <w:t>De meeste EV-rijders kunnen parkeren op eigen terrein. [N=3.663]</w:t>
      </w:r>
    </w:p>
    <w:p w14:paraId="1AAA376E" w14:textId="602338E8" w:rsidR="00304AB9" w:rsidRDefault="007079BC" w:rsidP="0094579C">
      <w:pPr>
        <w:spacing w:after="0" w:line="240" w:lineRule="auto"/>
        <w:jc w:val="both"/>
        <w:rPr>
          <w:rFonts w:eastAsia="Calibri" w:cstheme="minorHAnsi"/>
          <w:color w:val="2C307E"/>
        </w:rPr>
      </w:pPr>
      <w:r>
        <w:rPr>
          <w:rFonts w:eastAsia="Calibri" w:cstheme="minorHAnsi"/>
          <w:color w:val="2C307E"/>
        </w:rPr>
        <w:t>67%</w:t>
      </w:r>
      <w:r w:rsidR="00304AB9">
        <w:rPr>
          <w:rFonts w:eastAsia="Calibri" w:cstheme="minorHAnsi"/>
          <w:color w:val="2C307E"/>
        </w:rPr>
        <w:t xml:space="preserve"> geeft aan op eigen terrein te kunnen parkeren, 24% is aangewezen op publiek parkeren en 7% maakt gebruik van een gezamenlijke parkeergelegenheid (meestal een VvE constructie).</w:t>
      </w:r>
    </w:p>
    <w:p w14:paraId="7006405A" w14:textId="73190869" w:rsidR="00304AB9" w:rsidRDefault="00010309" w:rsidP="0094579C">
      <w:pPr>
        <w:spacing w:after="0" w:line="240" w:lineRule="auto"/>
        <w:jc w:val="both"/>
        <w:rPr>
          <w:rFonts w:eastAsia="Calibri" w:cstheme="minorHAnsi"/>
          <w:color w:val="2C307E"/>
        </w:rPr>
      </w:pPr>
      <w:r>
        <w:rPr>
          <w:noProof/>
        </w:rPr>
        <w:drawing>
          <wp:inline distT="0" distB="0" distL="0" distR="0" wp14:anchorId="2264925E" wp14:editId="4C84AD13">
            <wp:extent cx="2655570" cy="3143250"/>
            <wp:effectExtent l="0" t="0" r="0" b="0"/>
            <wp:docPr id="482613832" name="Grafiek 1">
              <a:extLst xmlns:a="http://schemas.openxmlformats.org/drawingml/2006/main">
                <a:ext uri="{FF2B5EF4-FFF2-40B4-BE49-F238E27FC236}">
                  <a16:creationId xmlns:a16="http://schemas.microsoft.com/office/drawing/2014/main" id="{A1312BFC-6A00-47A9-826B-0FD4A67C133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39589F9F" w14:textId="24A5AD52" w:rsidR="002F64CB" w:rsidRDefault="002F64CB" w:rsidP="00365A9A">
      <w:pPr>
        <w:spacing w:after="0" w:line="240" w:lineRule="auto"/>
        <w:jc w:val="both"/>
      </w:pPr>
      <w:bookmarkStart w:id="23" w:name="_Toc143700616"/>
    </w:p>
    <w:p w14:paraId="1D15BDCF" w14:textId="7DBCE470" w:rsidR="00422D31" w:rsidRDefault="00422D31" w:rsidP="00304AB9">
      <w:pPr>
        <w:spacing w:after="0" w:line="240" w:lineRule="auto"/>
        <w:jc w:val="both"/>
        <w:rPr>
          <w:rFonts w:eastAsia="Calibri" w:cstheme="minorHAnsi"/>
          <w:b/>
          <w:bCs/>
          <w:color w:val="2C307E"/>
        </w:rPr>
      </w:pPr>
    </w:p>
    <w:p w14:paraId="13B1DCED" w14:textId="77777777" w:rsidR="00071F07" w:rsidRDefault="00071F07" w:rsidP="00304AB9">
      <w:pPr>
        <w:spacing w:after="0" w:line="240" w:lineRule="auto"/>
        <w:jc w:val="both"/>
        <w:rPr>
          <w:rFonts w:eastAsia="Calibri" w:cstheme="minorHAnsi"/>
          <w:b/>
          <w:bCs/>
          <w:color w:val="2C307E"/>
        </w:rPr>
      </w:pPr>
    </w:p>
    <w:p w14:paraId="0F4F9FA7" w14:textId="77777777" w:rsidR="00071F07" w:rsidRDefault="00071F07" w:rsidP="00304AB9">
      <w:pPr>
        <w:spacing w:after="0" w:line="240" w:lineRule="auto"/>
        <w:jc w:val="both"/>
        <w:rPr>
          <w:rFonts w:eastAsia="Calibri" w:cstheme="minorHAnsi"/>
          <w:b/>
          <w:bCs/>
          <w:color w:val="2C307E"/>
        </w:rPr>
      </w:pPr>
    </w:p>
    <w:p w14:paraId="6155B2B6" w14:textId="77777777" w:rsidR="00071F07" w:rsidRDefault="00071F07" w:rsidP="00304AB9">
      <w:pPr>
        <w:spacing w:after="0" w:line="240" w:lineRule="auto"/>
        <w:jc w:val="both"/>
        <w:rPr>
          <w:rFonts w:eastAsia="Calibri" w:cstheme="minorHAnsi"/>
          <w:b/>
          <w:bCs/>
          <w:color w:val="2C307E"/>
        </w:rPr>
      </w:pPr>
    </w:p>
    <w:p w14:paraId="4E475E68" w14:textId="77777777" w:rsidR="00010309" w:rsidRDefault="00010309" w:rsidP="00304AB9">
      <w:pPr>
        <w:spacing w:after="0" w:line="240" w:lineRule="auto"/>
        <w:jc w:val="both"/>
        <w:rPr>
          <w:rFonts w:eastAsia="Calibri" w:cstheme="minorHAnsi"/>
          <w:b/>
          <w:bCs/>
          <w:color w:val="2C307E"/>
        </w:rPr>
      </w:pPr>
    </w:p>
    <w:p w14:paraId="7672DA25" w14:textId="77777777" w:rsidR="00010309" w:rsidRDefault="00010309" w:rsidP="00304AB9">
      <w:pPr>
        <w:spacing w:after="0" w:line="240" w:lineRule="auto"/>
        <w:jc w:val="both"/>
        <w:rPr>
          <w:rFonts w:eastAsia="Calibri" w:cstheme="minorHAnsi"/>
          <w:b/>
          <w:bCs/>
          <w:color w:val="2C307E"/>
        </w:rPr>
      </w:pPr>
    </w:p>
    <w:p w14:paraId="5509605F" w14:textId="7FCBDDEF" w:rsidR="00010309" w:rsidRDefault="00010309" w:rsidP="00010309">
      <w:pPr>
        <w:spacing w:after="0" w:line="240" w:lineRule="auto"/>
        <w:jc w:val="both"/>
        <w:rPr>
          <w:rFonts w:eastAsia="Calibri" w:cstheme="minorHAnsi"/>
          <w:b/>
          <w:bCs/>
          <w:color w:val="2C307E"/>
        </w:rPr>
      </w:pPr>
      <w:r>
        <w:rPr>
          <w:rFonts w:eastAsia="Calibri" w:cstheme="minorHAnsi"/>
          <w:b/>
          <w:bCs/>
          <w:color w:val="2C307E"/>
        </w:rPr>
        <w:t>Nederlander met eigen oprit is vaker elektrische rijder.</w:t>
      </w:r>
    </w:p>
    <w:p w14:paraId="430878C1" w14:textId="03C09E73" w:rsidR="00010309" w:rsidRDefault="00010309" w:rsidP="00010309">
      <w:pPr>
        <w:spacing w:after="0" w:line="240" w:lineRule="auto"/>
        <w:jc w:val="both"/>
        <w:rPr>
          <w:rFonts w:eastAsia="Calibri" w:cstheme="minorHAnsi"/>
          <w:color w:val="2C307E"/>
        </w:rPr>
      </w:pPr>
      <w:r w:rsidRPr="005F029E">
        <w:rPr>
          <w:rFonts w:eastAsia="Calibri" w:cstheme="minorHAnsi"/>
          <w:color w:val="2C307E"/>
        </w:rPr>
        <w:t>TNO en het Kennisinstituut voor Mobiliteit (KiM)</w:t>
      </w:r>
      <w:r>
        <w:rPr>
          <w:rFonts w:eastAsia="Calibri" w:cstheme="minorHAnsi"/>
          <w:color w:val="2C307E"/>
        </w:rPr>
        <w:t xml:space="preserve"> hebben berekend dat 2</w:t>
      </w:r>
      <w:r w:rsidR="002C10C7">
        <w:rPr>
          <w:rFonts w:eastAsia="Calibri" w:cstheme="minorHAnsi"/>
          <w:color w:val="2C307E"/>
        </w:rPr>
        <w:t>7</w:t>
      </w:r>
      <w:r>
        <w:rPr>
          <w:rFonts w:eastAsia="Calibri" w:cstheme="minorHAnsi"/>
          <w:color w:val="2C307E"/>
        </w:rPr>
        <w:t>% van de huishoudens de mogelijkheid heeft om op eigen terrein te parkeren</w:t>
      </w:r>
      <w:r w:rsidR="00BA1C8D">
        <w:rPr>
          <w:rStyle w:val="Voetnootmarkering"/>
          <w:rFonts w:eastAsia="Calibri" w:cstheme="minorHAnsi"/>
          <w:color w:val="2C307E"/>
        </w:rPr>
        <w:footnoteReference w:id="6"/>
      </w:r>
      <w:r>
        <w:rPr>
          <w:rFonts w:eastAsia="Calibri" w:cstheme="minorHAnsi"/>
          <w:color w:val="2C307E"/>
        </w:rPr>
        <w:t xml:space="preserve">. Dit is een groot verschil </w:t>
      </w:r>
      <w:r w:rsidR="00DF040E">
        <w:rPr>
          <w:rFonts w:eastAsia="Calibri" w:cstheme="minorHAnsi"/>
          <w:color w:val="2C307E"/>
        </w:rPr>
        <w:t xml:space="preserve">met de 67% die op eigen terrein kan parkeren in dit onderzoek. De elektrische auto komt (nu nog) vaak terecht bij huishoudens met </w:t>
      </w:r>
      <w:r w:rsidR="00DC5C90">
        <w:rPr>
          <w:rFonts w:eastAsia="Calibri" w:cstheme="minorHAnsi"/>
          <w:color w:val="2C307E"/>
        </w:rPr>
        <w:t>de mogelijkheid om op eigen terrein te parkeren.</w:t>
      </w:r>
    </w:p>
    <w:p w14:paraId="237FC87E" w14:textId="77777777" w:rsidR="00010309" w:rsidRDefault="00010309" w:rsidP="00010309">
      <w:pPr>
        <w:spacing w:after="0" w:line="240" w:lineRule="auto"/>
        <w:jc w:val="both"/>
        <w:rPr>
          <w:rFonts w:eastAsia="Calibri" w:cstheme="minorHAnsi"/>
          <w:color w:val="2C307E"/>
        </w:rPr>
      </w:pPr>
    </w:p>
    <w:p w14:paraId="67185DAD" w14:textId="77777777" w:rsidR="00DC5C90" w:rsidRDefault="00DC5C90" w:rsidP="00DC5C90">
      <w:pPr>
        <w:spacing w:after="0" w:line="240" w:lineRule="auto"/>
        <w:jc w:val="both"/>
        <w:rPr>
          <w:rFonts w:eastAsia="Calibri" w:cstheme="minorHAnsi"/>
          <w:b/>
          <w:bCs/>
          <w:color w:val="2C307E"/>
        </w:rPr>
      </w:pPr>
      <w:r>
        <w:rPr>
          <w:rFonts w:eastAsia="Calibri" w:cstheme="minorHAnsi"/>
          <w:b/>
          <w:bCs/>
          <w:color w:val="2C307E"/>
        </w:rPr>
        <w:t>De recente EV-rijder heeft iets minder vaak de mogelijkheid om op eigen terrein te parkeren.</w:t>
      </w:r>
    </w:p>
    <w:p w14:paraId="2CCE96E2" w14:textId="57E0D35A" w:rsidR="00DC5C90" w:rsidRPr="00422D31" w:rsidRDefault="00DC5C90" w:rsidP="00DC5C90">
      <w:pPr>
        <w:jc w:val="both"/>
        <w:rPr>
          <w:rFonts w:eastAsia="Calibri" w:cstheme="minorHAnsi"/>
          <w:color w:val="2C307E"/>
        </w:rPr>
      </w:pPr>
      <w:r w:rsidRPr="00422D31">
        <w:rPr>
          <w:rFonts w:eastAsia="Calibri" w:cstheme="minorHAnsi"/>
          <w:color w:val="2C307E"/>
        </w:rPr>
        <w:t xml:space="preserve">De verschillen zijn niet groot, maar de </w:t>
      </w:r>
      <w:r>
        <w:rPr>
          <w:rFonts w:eastAsia="Calibri" w:cstheme="minorHAnsi"/>
          <w:color w:val="2C307E"/>
        </w:rPr>
        <w:t xml:space="preserve">EV-rijder die in 2025 gestart is met elektrisch rijden kan in 63% van de gevallen op eigen terrein parkeren, 27% parkeert in de openbare ruimte en 8% heeft een gezamenlijke parkeergelegenheid. Ter vergelijking: 70% van de EV-rijders </w:t>
      </w:r>
      <w:r w:rsidR="000859C5">
        <w:rPr>
          <w:rFonts w:eastAsia="Calibri" w:cstheme="minorHAnsi"/>
          <w:color w:val="2C307E"/>
        </w:rPr>
        <w:t xml:space="preserve">die meer dan 5 jaar elektrisch rijden </w:t>
      </w:r>
      <w:r>
        <w:rPr>
          <w:rFonts w:eastAsia="Calibri" w:cstheme="minorHAnsi"/>
          <w:color w:val="2C307E"/>
        </w:rPr>
        <w:t xml:space="preserve">kunnen op eigen terrein parkeren, 22% </w:t>
      </w:r>
      <w:r w:rsidR="000859C5">
        <w:rPr>
          <w:rFonts w:eastAsia="Calibri" w:cstheme="minorHAnsi"/>
          <w:color w:val="2C307E"/>
        </w:rPr>
        <w:t xml:space="preserve">van hen parkeert </w:t>
      </w:r>
      <w:r>
        <w:rPr>
          <w:rFonts w:eastAsia="Calibri" w:cstheme="minorHAnsi"/>
          <w:color w:val="2C307E"/>
        </w:rPr>
        <w:t>in de openbare ruimte en 7% in een gezamenlijke parkeergelegenheid.</w:t>
      </w:r>
    </w:p>
    <w:p w14:paraId="1E547770" w14:textId="77777777" w:rsidR="002F64CB" w:rsidRDefault="002F64CB"/>
    <w:p w14:paraId="4FA6BBD7" w14:textId="76AEEFD7" w:rsidR="0094579C" w:rsidRPr="00FB15B4" w:rsidRDefault="008C397E" w:rsidP="00ED201A">
      <w:pPr>
        <w:pStyle w:val="Kop2"/>
        <w:jc w:val="both"/>
      </w:pPr>
      <w:r>
        <w:br w:type="page"/>
      </w:r>
      <w:bookmarkStart w:id="24" w:name="_Toc209710042"/>
      <w:r w:rsidR="0094579C" w:rsidRPr="00FB15B4">
        <w:lastRenderedPageBreak/>
        <w:t>3.</w:t>
      </w:r>
      <w:r w:rsidR="00F35DEE">
        <w:t>2</w:t>
      </w:r>
      <w:r w:rsidR="0094579C" w:rsidRPr="00FB15B4">
        <w:t xml:space="preserve"> </w:t>
      </w:r>
      <w:bookmarkEnd w:id="23"/>
      <w:r w:rsidR="00964DC3">
        <w:t>Het laadgedrag</w:t>
      </w:r>
      <w:bookmarkEnd w:id="24"/>
    </w:p>
    <w:p w14:paraId="2B6BD197" w14:textId="77777777" w:rsidR="00D8095C" w:rsidRPr="00566E8F" w:rsidRDefault="00D8095C" w:rsidP="00D8095C">
      <w:pPr>
        <w:spacing w:after="0" w:line="240" w:lineRule="auto"/>
        <w:jc w:val="both"/>
        <w:rPr>
          <w:b/>
          <w:color w:val="2C307E"/>
        </w:rPr>
      </w:pPr>
      <w:r>
        <w:rPr>
          <w:b/>
          <w:color w:val="2C307E"/>
        </w:rPr>
        <w:t>Bijna de helft</w:t>
      </w:r>
      <w:r w:rsidRPr="669FB9BC">
        <w:rPr>
          <w:b/>
          <w:color w:val="2C307E"/>
        </w:rPr>
        <w:t xml:space="preserve"> van de </w:t>
      </w:r>
      <w:r>
        <w:rPr>
          <w:b/>
          <w:color w:val="2C307E"/>
        </w:rPr>
        <w:t>EV-rijders (48%)</w:t>
      </w:r>
      <w:r w:rsidRPr="669FB9BC">
        <w:rPr>
          <w:b/>
          <w:color w:val="2C307E"/>
        </w:rPr>
        <w:t xml:space="preserve"> rijdt nooit meer dan de maximale actieradius van hun EV mogelijk maakt</w:t>
      </w:r>
      <w:r>
        <w:rPr>
          <w:b/>
          <w:color w:val="2C307E"/>
        </w:rPr>
        <w:t>.</w:t>
      </w:r>
      <w:r w:rsidRPr="669FB9BC">
        <w:rPr>
          <w:b/>
          <w:color w:val="2C307E"/>
        </w:rPr>
        <w:t xml:space="preserve"> [N=3.</w:t>
      </w:r>
      <w:r>
        <w:rPr>
          <w:b/>
          <w:color w:val="2C307E"/>
        </w:rPr>
        <w:t>915</w:t>
      </w:r>
      <w:r w:rsidRPr="669FB9BC">
        <w:rPr>
          <w:b/>
          <w:color w:val="2C307E"/>
        </w:rPr>
        <w:t>]</w:t>
      </w:r>
    </w:p>
    <w:p w14:paraId="62544560" w14:textId="35D56556" w:rsidR="00D8095C" w:rsidRDefault="00D8095C" w:rsidP="00D8095C">
      <w:pPr>
        <w:spacing w:after="0" w:line="276" w:lineRule="auto"/>
        <w:jc w:val="both"/>
        <w:rPr>
          <w:color w:val="2C307E"/>
        </w:rPr>
      </w:pPr>
      <w:r w:rsidRPr="669FB9BC">
        <w:rPr>
          <w:color w:val="2C307E"/>
        </w:rPr>
        <w:t>De afgelopen jaren zien we dat EV-rijders steeds minder vaak onderweg hoe</w:t>
      </w:r>
      <w:r>
        <w:rPr>
          <w:color w:val="2C307E"/>
        </w:rPr>
        <w:t>ven</w:t>
      </w:r>
      <w:r w:rsidRPr="669FB9BC">
        <w:rPr>
          <w:color w:val="2C307E"/>
        </w:rPr>
        <w:t xml:space="preserve"> bij te laden</w:t>
      </w:r>
      <w:r>
        <w:rPr>
          <w:color w:val="2C307E"/>
        </w:rPr>
        <w:t xml:space="preserve"> (vakantie niet meegerekend)</w:t>
      </w:r>
      <w:r w:rsidRPr="669FB9BC">
        <w:rPr>
          <w:color w:val="2C307E"/>
        </w:rPr>
        <w:t xml:space="preserve">. Vorig jaar </w:t>
      </w:r>
      <w:r>
        <w:rPr>
          <w:color w:val="2C307E"/>
        </w:rPr>
        <w:t>reed</w:t>
      </w:r>
      <w:r w:rsidRPr="669FB9BC">
        <w:rPr>
          <w:color w:val="2C307E"/>
        </w:rPr>
        <w:t xml:space="preserve"> </w:t>
      </w:r>
      <w:r>
        <w:rPr>
          <w:color w:val="2C307E"/>
        </w:rPr>
        <w:t>45</w:t>
      </w:r>
      <w:r w:rsidRPr="669FB9BC">
        <w:rPr>
          <w:color w:val="2C307E"/>
        </w:rPr>
        <w:t xml:space="preserve">% nooit </w:t>
      </w:r>
      <w:r>
        <w:rPr>
          <w:color w:val="2C307E"/>
        </w:rPr>
        <w:t>meer kilometers op één dag dan hun actieradius toestond,</w:t>
      </w:r>
      <w:r w:rsidR="0040690B">
        <w:rPr>
          <w:color w:val="2C307E"/>
        </w:rPr>
        <w:t xml:space="preserve"> waardoor zij nooit onderweg hoefde bij te laden.</w:t>
      </w:r>
      <w:r>
        <w:rPr>
          <w:color w:val="2C307E"/>
        </w:rPr>
        <w:t xml:space="preserve"> </w:t>
      </w:r>
      <w:r w:rsidR="0040690B">
        <w:rPr>
          <w:color w:val="2C307E"/>
        </w:rPr>
        <w:t>I</w:t>
      </w:r>
      <w:r>
        <w:rPr>
          <w:color w:val="2C307E"/>
        </w:rPr>
        <w:t xml:space="preserve">n 2023 </w:t>
      </w:r>
      <w:r w:rsidR="0040690B">
        <w:rPr>
          <w:color w:val="2C307E"/>
        </w:rPr>
        <w:t>gold dat voor</w:t>
      </w:r>
      <w:r>
        <w:rPr>
          <w:color w:val="2C307E"/>
        </w:rPr>
        <w:t xml:space="preserve"> 37% </w:t>
      </w:r>
      <w:r w:rsidR="0040690B">
        <w:rPr>
          <w:color w:val="2C307E"/>
        </w:rPr>
        <w:t>van de EV-rijders</w:t>
      </w:r>
      <w:r>
        <w:rPr>
          <w:color w:val="2C307E"/>
        </w:rPr>
        <w:t xml:space="preserve">. </w:t>
      </w:r>
    </w:p>
    <w:p w14:paraId="6F169E80" w14:textId="77777777" w:rsidR="0040690B" w:rsidRDefault="0040690B" w:rsidP="00D8095C">
      <w:pPr>
        <w:spacing w:after="0" w:line="276" w:lineRule="auto"/>
        <w:jc w:val="both"/>
        <w:rPr>
          <w:color w:val="2C307E"/>
        </w:rPr>
      </w:pPr>
    </w:p>
    <w:p w14:paraId="5331E0E7" w14:textId="77777777" w:rsidR="00E9613F" w:rsidRPr="00E9613F" w:rsidRDefault="00E9613F" w:rsidP="00E9613F">
      <w:pPr>
        <w:spacing w:after="0" w:line="276" w:lineRule="auto"/>
        <w:jc w:val="both"/>
        <w:rPr>
          <w:color w:val="2C307E"/>
        </w:rPr>
      </w:pPr>
      <w:r w:rsidRPr="001C5EF7">
        <w:rPr>
          <w:b/>
          <w:bCs/>
          <w:color w:val="2C307E"/>
        </w:rPr>
        <w:t xml:space="preserve">Maar liefst driekwart van de EV-rijders laadt maximaal </w:t>
      </w:r>
      <w:r>
        <w:rPr>
          <w:b/>
          <w:bCs/>
          <w:color w:val="2C307E"/>
        </w:rPr>
        <w:t>één</w:t>
      </w:r>
      <w:r w:rsidRPr="001C5EF7">
        <w:rPr>
          <w:b/>
          <w:bCs/>
          <w:color w:val="2C307E"/>
        </w:rPr>
        <w:t xml:space="preserve"> keer per maand bij</w:t>
      </w:r>
      <w:r>
        <w:rPr>
          <w:b/>
          <w:bCs/>
          <w:color w:val="2C307E"/>
        </w:rPr>
        <w:t xml:space="preserve"> omdat de rit </w:t>
      </w:r>
      <w:r w:rsidRPr="00EF7FBA">
        <w:rPr>
          <w:b/>
          <w:bCs/>
          <w:color w:val="2C307E"/>
        </w:rPr>
        <w:t>langer is dan de actieradius toestaat.</w:t>
      </w:r>
      <w:r w:rsidRPr="00E9613F">
        <w:rPr>
          <w:color w:val="2C307E"/>
        </w:rPr>
        <w:t xml:space="preserve"> </w:t>
      </w:r>
    </w:p>
    <w:p w14:paraId="4D4AC62C" w14:textId="6FCA61FC" w:rsidR="00E9613F" w:rsidRPr="00E9613F" w:rsidRDefault="00E9613F" w:rsidP="00E9613F">
      <w:pPr>
        <w:spacing w:after="0" w:line="276" w:lineRule="auto"/>
        <w:jc w:val="both"/>
        <w:rPr>
          <w:color w:val="2C307E"/>
        </w:rPr>
      </w:pPr>
      <w:r>
        <w:rPr>
          <w:color w:val="2C307E"/>
        </w:rPr>
        <w:t>In het Laadonderzoek 2024 was dat (71%).</w:t>
      </w:r>
      <w:r>
        <w:rPr>
          <w:color w:val="2C307E"/>
        </w:rPr>
        <w:br/>
      </w:r>
      <w:r>
        <w:rPr>
          <w:color w:val="2C307E"/>
        </w:rPr>
        <w:br/>
      </w:r>
      <w:r w:rsidRPr="00E9613F">
        <w:rPr>
          <w:b/>
          <w:bCs/>
          <w:color w:val="2C307E"/>
        </w:rPr>
        <w:t>Geen verschil tussen nieuwe en tweedehands EV’s in het onderweg bij moeten laden</w:t>
      </w:r>
      <w:r>
        <w:rPr>
          <w:b/>
          <w:bCs/>
          <w:color w:val="2C307E"/>
        </w:rPr>
        <w:t>.</w:t>
      </w:r>
    </w:p>
    <w:p w14:paraId="55F66491" w14:textId="78221CEC" w:rsidR="00D8095C" w:rsidRPr="00E9613F" w:rsidRDefault="00BF056F" w:rsidP="00E9613F">
      <w:pPr>
        <w:spacing w:after="0" w:line="276" w:lineRule="auto"/>
        <w:jc w:val="both"/>
        <w:rPr>
          <w:color w:val="2C307E"/>
        </w:rPr>
      </w:pPr>
      <w:r>
        <w:rPr>
          <w:color w:val="2C307E"/>
        </w:rPr>
        <w:t>EV-rijders met een nieu</w:t>
      </w:r>
      <w:r w:rsidR="00421823">
        <w:rPr>
          <w:color w:val="2C307E"/>
        </w:rPr>
        <w:t>we</w:t>
      </w:r>
      <w:r>
        <w:rPr>
          <w:color w:val="2C307E"/>
        </w:rPr>
        <w:t xml:space="preserve"> auto laden in </w:t>
      </w:r>
      <w:r w:rsidR="00B74A0A">
        <w:rPr>
          <w:color w:val="2C307E"/>
        </w:rPr>
        <w:t>4</w:t>
      </w:r>
      <w:r w:rsidR="00EF7FBA">
        <w:rPr>
          <w:color w:val="2C307E"/>
        </w:rPr>
        <w:t>7</w:t>
      </w:r>
      <w:r w:rsidR="00B74A0A">
        <w:rPr>
          <w:color w:val="2C307E"/>
        </w:rPr>
        <w:t>% van de gevallen nooit onderweg bij. Voor tweedehands EV-rijders is dat 4</w:t>
      </w:r>
      <w:r w:rsidR="00EF7FBA">
        <w:rPr>
          <w:color w:val="2C307E"/>
        </w:rPr>
        <w:t>9</w:t>
      </w:r>
      <w:r w:rsidR="00B74A0A">
        <w:rPr>
          <w:color w:val="2C307E"/>
        </w:rPr>
        <w:t>%.</w:t>
      </w:r>
    </w:p>
    <w:p w14:paraId="687CEFB5" w14:textId="60792679" w:rsidR="00D8095C" w:rsidRDefault="00E9613F" w:rsidP="00D8095C">
      <w:pPr>
        <w:spacing w:after="0" w:line="276" w:lineRule="auto"/>
        <w:jc w:val="both"/>
        <w:rPr>
          <w:color w:val="2C307E"/>
        </w:rPr>
      </w:pPr>
      <w:r>
        <w:rPr>
          <w:noProof/>
        </w:rPr>
        <w:drawing>
          <wp:anchor distT="0" distB="0" distL="114300" distR="114300" simplePos="0" relativeHeight="251658253" behindDoc="0" locked="0" layoutInCell="1" allowOverlap="1" wp14:anchorId="1E411ABA" wp14:editId="3F23E2D1">
            <wp:simplePos x="0" y="0"/>
            <wp:positionH relativeFrom="margin">
              <wp:align>right</wp:align>
            </wp:positionH>
            <wp:positionV relativeFrom="paragraph">
              <wp:posOffset>372745</wp:posOffset>
            </wp:positionV>
            <wp:extent cx="5760720" cy="3895725"/>
            <wp:effectExtent l="0" t="0" r="0" b="0"/>
            <wp:wrapSquare wrapText="bothSides"/>
            <wp:docPr id="1572012460" name="Grafiek 1">
              <a:extLst xmlns:a="http://schemas.openxmlformats.org/drawingml/2006/main">
                <a:ext uri="{FF2B5EF4-FFF2-40B4-BE49-F238E27FC236}">
                  <a16:creationId xmlns:a16="http://schemas.microsoft.com/office/drawing/2014/main" id="{E28BF958-8EA0-1BD4-F533-342F806EFBD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14:sizeRelH relativeFrom="page">
              <wp14:pctWidth>0</wp14:pctWidth>
            </wp14:sizeRelH>
            <wp14:sizeRelV relativeFrom="page">
              <wp14:pctHeight>0</wp14:pctHeight>
            </wp14:sizeRelV>
          </wp:anchor>
        </w:drawing>
      </w:r>
    </w:p>
    <w:p w14:paraId="64EEBD87" w14:textId="4BC7B1BD" w:rsidR="00071F07" w:rsidRDefault="00071F07" w:rsidP="00D8095C">
      <w:pPr>
        <w:spacing w:after="0" w:line="276" w:lineRule="auto"/>
        <w:jc w:val="both"/>
        <w:rPr>
          <w:b/>
          <w:bCs/>
          <w:color w:val="2C307E"/>
        </w:rPr>
      </w:pPr>
    </w:p>
    <w:p w14:paraId="655F7F2A" w14:textId="4C4A7BB8" w:rsidR="00071F07" w:rsidRDefault="00071F07" w:rsidP="00D8095C">
      <w:pPr>
        <w:spacing w:after="0" w:line="276" w:lineRule="auto"/>
        <w:jc w:val="both"/>
        <w:rPr>
          <w:b/>
          <w:bCs/>
          <w:color w:val="2C307E"/>
        </w:rPr>
      </w:pPr>
    </w:p>
    <w:p w14:paraId="5EE676B4" w14:textId="54550356" w:rsidR="00071F07" w:rsidRDefault="00071F07" w:rsidP="00D8095C">
      <w:pPr>
        <w:spacing w:after="0" w:line="276" w:lineRule="auto"/>
        <w:jc w:val="both"/>
        <w:rPr>
          <w:b/>
          <w:bCs/>
          <w:color w:val="2C307E"/>
        </w:rPr>
      </w:pPr>
    </w:p>
    <w:p w14:paraId="3A1365A7" w14:textId="43B1C288" w:rsidR="00D8095C" w:rsidRDefault="00200F5F" w:rsidP="00D8095C">
      <w:pPr>
        <w:spacing w:after="0" w:line="276" w:lineRule="auto"/>
        <w:jc w:val="both"/>
        <w:rPr>
          <w:b/>
          <w:bCs/>
          <w:color w:val="2C307E"/>
        </w:rPr>
      </w:pPr>
      <w:r>
        <w:rPr>
          <w:b/>
          <w:bCs/>
          <w:color w:val="2C307E"/>
        </w:rPr>
        <w:t xml:space="preserve">Áls </w:t>
      </w:r>
      <w:r w:rsidR="00D8095C">
        <w:rPr>
          <w:b/>
          <w:bCs/>
          <w:color w:val="2C307E"/>
        </w:rPr>
        <w:t>de EV-rijder moet bijladen, gebeurt dat meestal bij een snellader onderweg. [N=3.915]</w:t>
      </w:r>
    </w:p>
    <w:p w14:paraId="1C9C6E3E" w14:textId="0F69B04E" w:rsidR="00D8095C" w:rsidRDefault="00D8095C" w:rsidP="00D8095C">
      <w:pPr>
        <w:spacing w:after="0" w:line="276" w:lineRule="auto"/>
        <w:jc w:val="both"/>
        <w:rPr>
          <w:b/>
          <w:bCs/>
          <w:color w:val="2C307E"/>
        </w:rPr>
      </w:pPr>
      <w:r>
        <w:rPr>
          <w:noProof/>
        </w:rPr>
        <w:drawing>
          <wp:inline distT="0" distB="0" distL="0" distR="0" wp14:anchorId="649D4712" wp14:editId="49597D79">
            <wp:extent cx="2655570" cy="3562350"/>
            <wp:effectExtent l="0" t="0" r="0" b="0"/>
            <wp:docPr id="620533569" name="Grafiek 1">
              <a:extLst xmlns:a="http://schemas.openxmlformats.org/drawingml/2006/main">
                <a:ext uri="{FF2B5EF4-FFF2-40B4-BE49-F238E27FC236}">
                  <a16:creationId xmlns:a16="http://schemas.microsoft.com/office/drawing/2014/main" id="{B2526188-8667-484F-A317-9863D4C52A2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0054EAEA" w14:textId="77777777" w:rsidR="00D8095C" w:rsidRDefault="00D8095C" w:rsidP="00D8095C">
      <w:pPr>
        <w:rPr>
          <w:rFonts w:cstheme="minorHAnsi"/>
          <w:b/>
          <w:bCs/>
          <w:color w:val="2C307E"/>
        </w:rPr>
      </w:pPr>
    </w:p>
    <w:p w14:paraId="1FCEB6BF" w14:textId="624C25A2" w:rsidR="00D8095C" w:rsidRDefault="00D8095C" w:rsidP="00D8095C">
      <w:pPr>
        <w:rPr>
          <w:rFonts w:cstheme="minorHAnsi"/>
          <w:b/>
          <w:bCs/>
          <w:color w:val="2C307E"/>
        </w:rPr>
      </w:pPr>
      <w:r>
        <w:rPr>
          <w:rFonts w:cstheme="minorHAnsi"/>
          <w:b/>
          <w:bCs/>
          <w:color w:val="2C307E"/>
        </w:rPr>
        <w:br w:type="page"/>
      </w:r>
    </w:p>
    <w:p w14:paraId="658579D5" w14:textId="041504AC" w:rsidR="00421823" w:rsidRDefault="00421823" w:rsidP="00421823">
      <w:pPr>
        <w:pStyle w:val="Kop2"/>
      </w:pPr>
      <w:bookmarkStart w:id="25" w:name="_Toc209710043"/>
      <w:r>
        <w:lastRenderedPageBreak/>
        <w:t>Laadmix</w:t>
      </w:r>
      <w:bookmarkEnd w:id="25"/>
    </w:p>
    <w:p w14:paraId="4A80F7A7" w14:textId="15A01B4D" w:rsidR="0094579C" w:rsidRPr="00FB15B4" w:rsidRDefault="0094579C" w:rsidP="00C13925">
      <w:pPr>
        <w:spacing w:after="0" w:line="276" w:lineRule="auto"/>
        <w:jc w:val="both"/>
        <w:rPr>
          <w:color w:val="2C307E"/>
        </w:rPr>
      </w:pPr>
      <w:r w:rsidRPr="2B30BEAA">
        <w:rPr>
          <w:b/>
          <w:color w:val="2C307E"/>
        </w:rPr>
        <w:t>Laadmix: meer thuis geladen ten opzichte van vorig jaar</w:t>
      </w:r>
      <w:r w:rsidR="003442E5" w:rsidRPr="2B30BEAA">
        <w:rPr>
          <w:b/>
          <w:color w:val="2C307E"/>
        </w:rPr>
        <w:t>.</w:t>
      </w:r>
      <w:r w:rsidRPr="2B30BEAA">
        <w:rPr>
          <w:color w:val="2C307E"/>
        </w:rPr>
        <w:t xml:space="preserve"> </w:t>
      </w:r>
      <w:r w:rsidRPr="2B30BEAA">
        <w:rPr>
          <w:b/>
          <w:color w:val="2C307E"/>
        </w:rPr>
        <w:t>[N=3.</w:t>
      </w:r>
      <w:r w:rsidR="00217831" w:rsidRPr="2B30BEAA">
        <w:rPr>
          <w:b/>
          <w:color w:val="2C307E"/>
        </w:rPr>
        <w:t>713</w:t>
      </w:r>
      <w:r w:rsidRPr="2B30BEAA">
        <w:rPr>
          <w:b/>
          <w:color w:val="2C307E"/>
        </w:rPr>
        <w:t>]</w:t>
      </w:r>
    </w:p>
    <w:p w14:paraId="62EAC49A" w14:textId="02A48062" w:rsidR="005A2612" w:rsidRDefault="0094579C" w:rsidP="00CB23F1">
      <w:pPr>
        <w:spacing w:after="0" w:line="276" w:lineRule="auto"/>
        <w:jc w:val="both"/>
        <w:rPr>
          <w:color w:val="2C307E"/>
        </w:rPr>
      </w:pPr>
      <w:r w:rsidRPr="00F34884">
        <w:rPr>
          <w:color w:val="2C307E"/>
        </w:rPr>
        <w:t xml:space="preserve">De EV-rijder laadt vooral thuis. </w:t>
      </w:r>
      <w:r w:rsidR="00F34884" w:rsidRPr="00F34884">
        <w:rPr>
          <w:color w:val="2C307E"/>
        </w:rPr>
        <w:t xml:space="preserve">Sinds 2022 neemt dat nog steeds ieder jaar toe. </w:t>
      </w:r>
      <w:r w:rsidRPr="00F34884">
        <w:rPr>
          <w:color w:val="2C307E"/>
        </w:rPr>
        <w:t xml:space="preserve">De toename in het thuisladen is mogelijk te verklaren doordat het financieel interessant is voor een groot deel van de </w:t>
      </w:r>
      <w:r w:rsidR="007079BC">
        <w:rPr>
          <w:color w:val="2C307E"/>
        </w:rPr>
        <w:t>EV-rijders</w:t>
      </w:r>
      <w:r w:rsidRPr="00F34884">
        <w:rPr>
          <w:color w:val="2C307E"/>
        </w:rPr>
        <w:t xml:space="preserve">, </w:t>
      </w:r>
      <w:r w:rsidR="00743C63">
        <w:rPr>
          <w:color w:val="2C307E"/>
        </w:rPr>
        <w:t xml:space="preserve">omdat zij </w:t>
      </w:r>
      <w:r w:rsidRPr="00F34884">
        <w:rPr>
          <w:color w:val="2C307E"/>
        </w:rPr>
        <w:t>bijvoorbeeld laden met zonnestroom</w:t>
      </w:r>
      <w:r w:rsidR="00743C63">
        <w:rPr>
          <w:color w:val="2C307E"/>
        </w:rPr>
        <w:t xml:space="preserve"> (90% van de thuisladers)</w:t>
      </w:r>
      <w:r w:rsidRPr="00F34884">
        <w:rPr>
          <w:color w:val="2C307E"/>
        </w:rPr>
        <w:t xml:space="preserve"> of via een dynamisch contract</w:t>
      </w:r>
      <w:r w:rsidR="00743C63">
        <w:rPr>
          <w:color w:val="2C307E"/>
        </w:rPr>
        <w:t xml:space="preserve"> (4</w:t>
      </w:r>
      <w:r w:rsidR="0028321E">
        <w:rPr>
          <w:color w:val="2C307E"/>
        </w:rPr>
        <w:t>1</w:t>
      </w:r>
      <w:r w:rsidR="00743C63">
        <w:rPr>
          <w:color w:val="2C307E"/>
        </w:rPr>
        <w:t>% van de thuisladers</w:t>
      </w:r>
      <w:r w:rsidR="00536FFA">
        <w:rPr>
          <w:color w:val="2C307E"/>
        </w:rPr>
        <w:t xml:space="preserve"> laadt met dynamische tarieven</w:t>
      </w:r>
      <w:r w:rsidR="00743C63">
        <w:rPr>
          <w:color w:val="2C307E"/>
        </w:rPr>
        <w:t>)</w:t>
      </w:r>
      <w:r w:rsidRPr="00F34884">
        <w:rPr>
          <w:color w:val="2C307E"/>
        </w:rPr>
        <w:t xml:space="preserve">. </w:t>
      </w:r>
      <w:r w:rsidR="00CB23F1">
        <w:rPr>
          <w:color w:val="2C307E"/>
        </w:rPr>
        <w:t>Daarnaast neemt het aandeel privé rijders toe, zij zijn doorgaans meer kostenbewust en kunnen vaker thuis laden.</w:t>
      </w:r>
    </w:p>
    <w:p w14:paraId="592E0B17" w14:textId="77777777" w:rsidR="005A2612" w:rsidRDefault="005A2612" w:rsidP="00CB23F1">
      <w:pPr>
        <w:spacing w:after="0" w:line="276" w:lineRule="auto"/>
        <w:jc w:val="both"/>
        <w:rPr>
          <w:color w:val="2C307E"/>
        </w:rPr>
      </w:pPr>
    </w:p>
    <w:p w14:paraId="30382521" w14:textId="77777777" w:rsidR="005A2612" w:rsidRDefault="005A2612" w:rsidP="005A2612">
      <w:pPr>
        <w:spacing w:after="0" w:line="276" w:lineRule="auto"/>
        <w:jc w:val="both"/>
        <w:rPr>
          <w:rFonts w:cstheme="minorHAnsi"/>
          <w:color w:val="2C307E"/>
        </w:rPr>
      </w:pPr>
      <w:r>
        <w:rPr>
          <w:rFonts w:cstheme="minorHAnsi"/>
          <w:b/>
          <w:bCs/>
          <w:color w:val="2C307E"/>
        </w:rPr>
        <w:t>EV-rijders zonder</w:t>
      </w:r>
      <w:r w:rsidRPr="002412DB">
        <w:rPr>
          <w:rFonts w:cstheme="minorHAnsi"/>
          <w:b/>
          <w:bCs/>
          <w:color w:val="2C307E"/>
        </w:rPr>
        <w:t xml:space="preserve"> privé laadvoorziening laden 5</w:t>
      </w:r>
      <w:r>
        <w:rPr>
          <w:rFonts w:cstheme="minorHAnsi"/>
          <w:b/>
          <w:bCs/>
          <w:color w:val="2C307E"/>
        </w:rPr>
        <w:t>4</w:t>
      </w:r>
      <w:r w:rsidRPr="002412DB">
        <w:rPr>
          <w:rFonts w:cstheme="minorHAnsi"/>
          <w:b/>
          <w:bCs/>
          <w:color w:val="2C307E"/>
        </w:rPr>
        <w:t xml:space="preserve">% </w:t>
      </w:r>
      <w:r>
        <w:rPr>
          <w:rFonts w:cstheme="minorHAnsi"/>
          <w:b/>
          <w:bCs/>
          <w:color w:val="2C307E"/>
        </w:rPr>
        <w:t xml:space="preserve">van de kilometers </w:t>
      </w:r>
      <w:r w:rsidRPr="002412DB">
        <w:rPr>
          <w:rFonts w:cstheme="minorHAnsi"/>
          <w:b/>
          <w:bCs/>
          <w:color w:val="2C307E"/>
        </w:rPr>
        <w:t>bij een openbare laadpaal in de buurt van de woning.</w:t>
      </w:r>
      <w:r w:rsidRPr="00FB15B4">
        <w:rPr>
          <w:rFonts w:cstheme="minorHAnsi"/>
          <w:color w:val="2C307E"/>
        </w:rPr>
        <w:t xml:space="preserve"> </w:t>
      </w:r>
    </w:p>
    <w:p w14:paraId="15EAAAC7" w14:textId="5E58A768" w:rsidR="005A2612" w:rsidRPr="005A2612" w:rsidRDefault="005A2612" w:rsidP="005A2612">
      <w:pPr>
        <w:spacing w:after="0" w:line="276" w:lineRule="auto"/>
        <w:jc w:val="both"/>
        <w:rPr>
          <w:color w:val="2C307E"/>
        </w:rPr>
      </w:pPr>
      <w:r>
        <w:rPr>
          <w:noProof/>
        </w:rPr>
        <w:drawing>
          <wp:anchor distT="0" distB="0" distL="114300" distR="114300" simplePos="0" relativeHeight="251658261" behindDoc="0" locked="0" layoutInCell="1" allowOverlap="1" wp14:anchorId="0D180CBD" wp14:editId="4131D970">
            <wp:simplePos x="0" y="0"/>
            <wp:positionH relativeFrom="margin">
              <wp:align>right</wp:align>
            </wp:positionH>
            <wp:positionV relativeFrom="paragraph">
              <wp:posOffset>2157730</wp:posOffset>
            </wp:positionV>
            <wp:extent cx="5760720" cy="3390900"/>
            <wp:effectExtent l="0" t="0" r="0" b="0"/>
            <wp:wrapSquare wrapText="bothSides"/>
            <wp:docPr id="100164382" name="Grafiek 1">
              <a:extLst xmlns:a="http://schemas.openxmlformats.org/drawingml/2006/main">
                <a:ext uri="{FF2B5EF4-FFF2-40B4-BE49-F238E27FC236}">
                  <a16:creationId xmlns:a16="http://schemas.microsoft.com/office/drawing/2014/main" id="{DC3DA469-BF6E-DBDD-42FD-D28C90D3AE3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14:sizeRelH relativeFrom="page">
              <wp14:pctWidth>0</wp14:pctWidth>
            </wp14:sizeRelH>
            <wp14:sizeRelV relativeFrom="page">
              <wp14:pctHeight>0</wp14:pctHeight>
            </wp14:sizeRelV>
          </wp:anchor>
        </w:drawing>
      </w:r>
      <w:r>
        <w:rPr>
          <w:rFonts w:cstheme="minorHAnsi"/>
          <w:color w:val="2C307E"/>
        </w:rPr>
        <w:t>Daarnaast wordt veel</w:t>
      </w:r>
      <w:r w:rsidRPr="00BE7252">
        <w:rPr>
          <w:rFonts w:cstheme="minorHAnsi"/>
          <w:color w:val="2C307E"/>
        </w:rPr>
        <w:t xml:space="preserve"> gebruik gemaakt van laadpalen op het werk</w:t>
      </w:r>
      <w:r>
        <w:rPr>
          <w:rFonts w:cstheme="minorHAnsi"/>
          <w:color w:val="2C307E"/>
        </w:rPr>
        <w:t xml:space="preserve"> (20% van de gereden kilometers). Ter vergelijking, </w:t>
      </w:r>
      <w:r w:rsidRPr="00BE7252">
        <w:rPr>
          <w:rFonts w:cstheme="minorHAnsi"/>
          <w:color w:val="2C307E"/>
        </w:rPr>
        <w:t xml:space="preserve">de </w:t>
      </w:r>
      <w:r>
        <w:rPr>
          <w:rFonts w:cstheme="minorHAnsi"/>
          <w:color w:val="2C307E"/>
        </w:rPr>
        <w:t>EV-rijder</w:t>
      </w:r>
      <w:r w:rsidRPr="00BE7252">
        <w:rPr>
          <w:rFonts w:cstheme="minorHAnsi"/>
          <w:color w:val="2C307E"/>
        </w:rPr>
        <w:t xml:space="preserve"> die wel thuis kan laden</w:t>
      </w:r>
      <w:r>
        <w:rPr>
          <w:rFonts w:cstheme="minorHAnsi"/>
          <w:color w:val="2C307E"/>
        </w:rPr>
        <w:t>, laadt maar 6% van de gereden kilometers op het werk</w:t>
      </w:r>
      <w:r w:rsidRPr="00BE7252">
        <w:rPr>
          <w:rFonts w:cstheme="minorHAnsi"/>
          <w:color w:val="2C307E"/>
        </w:rPr>
        <w:t xml:space="preserve">.  </w:t>
      </w:r>
      <w:r>
        <w:rPr>
          <w:rFonts w:cstheme="minorHAnsi"/>
          <w:color w:val="2C307E"/>
        </w:rPr>
        <w:t>Ook de snellader wordt vaker gebruikt door de EV-rijder die niet thuis kan laden (15%) vergeleken met de EV-rijder die wel thuis kan laden (7%). EV-rijders die laden via de eigen aansluiting,</w:t>
      </w:r>
      <w:r>
        <w:rPr>
          <w:color w:val="2C307E"/>
        </w:rPr>
        <w:t xml:space="preserve"> </w:t>
      </w:r>
      <w:r>
        <w:rPr>
          <w:rFonts w:cstheme="minorHAnsi"/>
          <w:color w:val="2C307E"/>
        </w:rPr>
        <w:t>maar in de openbare ruimte parkeren, tellen we hier bij de thuisladers.</w:t>
      </w:r>
    </w:p>
    <w:p w14:paraId="186F24A6" w14:textId="027FE778" w:rsidR="0094579C" w:rsidRPr="00FB15B4" w:rsidRDefault="005A2612" w:rsidP="00CB23F1">
      <w:pPr>
        <w:spacing w:after="0" w:line="276" w:lineRule="auto"/>
        <w:jc w:val="both"/>
        <w:rPr>
          <w:color w:val="2C307E"/>
        </w:rPr>
      </w:pPr>
      <w:r>
        <w:rPr>
          <w:noProof/>
        </w:rPr>
        <w:drawing>
          <wp:inline distT="0" distB="0" distL="0" distR="0" wp14:anchorId="7FDFAAC6" wp14:editId="144D401A">
            <wp:extent cx="2655570" cy="4905955"/>
            <wp:effectExtent l="0" t="0" r="0" b="0"/>
            <wp:docPr id="2056283966" name="Grafiek 1">
              <a:extLst xmlns:a="http://schemas.openxmlformats.org/drawingml/2006/main">
                <a:ext uri="{FF2B5EF4-FFF2-40B4-BE49-F238E27FC236}">
                  <a16:creationId xmlns:a16="http://schemas.microsoft.com/office/drawing/2014/main" id="{5764FDC3-6A61-9FC7-1192-AD9EA7E33A4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50AD94D8" w14:textId="0EF561CC" w:rsidR="005A2612" w:rsidRDefault="005A2612">
      <w:pPr>
        <w:rPr>
          <w:rFonts w:cstheme="minorHAnsi"/>
          <w:b/>
          <w:bCs/>
          <w:color w:val="2C307E"/>
        </w:rPr>
      </w:pPr>
      <w:r>
        <w:rPr>
          <w:rFonts w:cstheme="minorHAnsi"/>
          <w:b/>
          <w:bCs/>
          <w:color w:val="2C307E"/>
        </w:rPr>
        <w:br w:type="page"/>
      </w:r>
    </w:p>
    <w:p w14:paraId="2735B125" w14:textId="77777777" w:rsidR="00E31A69" w:rsidRDefault="00B671BF" w:rsidP="00000115">
      <w:pPr>
        <w:spacing w:after="0" w:line="276" w:lineRule="auto"/>
        <w:jc w:val="both"/>
        <w:rPr>
          <w:rFonts w:cstheme="minorHAnsi"/>
          <w:b/>
          <w:bCs/>
          <w:color w:val="2C307E"/>
        </w:rPr>
      </w:pPr>
      <w:r w:rsidRPr="00E31A69">
        <w:rPr>
          <w:rFonts w:cstheme="minorHAnsi"/>
          <w:b/>
          <w:bCs/>
          <w:noProof/>
          <w:color w:val="2C307E"/>
        </w:rPr>
        <w:lastRenderedPageBreak/>
        <w:drawing>
          <wp:anchor distT="0" distB="0" distL="114300" distR="114300" simplePos="0" relativeHeight="251658262" behindDoc="0" locked="0" layoutInCell="1" allowOverlap="1" wp14:anchorId="603AF1C8" wp14:editId="2DB0AAD1">
            <wp:simplePos x="0" y="0"/>
            <wp:positionH relativeFrom="margin">
              <wp:align>right</wp:align>
            </wp:positionH>
            <wp:positionV relativeFrom="paragraph">
              <wp:posOffset>1367155</wp:posOffset>
            </wp:positionV>
            <wp:extent cx="5762625" cy="2705100"/>
            <wp:effectExtent l="0" t="0" r="0" b="0"/>
            <wp:wrapSquare wrapText="bothSides"/>
            <wp:docPr id="1499281551" name="Grafiek 1">
              <a:extLst xmlns:a="http://schemas.openxmlformats.org/drawingml/2006/main">
                <a:ext uri="{FF2B5EF4-FFF2-40B4-BE49-F238E27FC236}">
                  <a16:creationId xmlns:a16="http://schemas.microsoft.com/office/drawing/2014/main" id="{EE9A1886-0CDB-4587-B2AB-477C0201EA4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14:sizeRelH relativeFrom="page">
              <wp14:pctWidth>0</wp14:pctWidth>
            </wp14:sizeRelH>
            <wp14:sizeRelV relativeFrom="page">
              <wp14:pctHeight>0</wp14:pctHeight>
            </wp14:sizeRelV>
          </wp:anchor>
        </w:drawing>
      </w:r>
      <w:r w:rsidR="001D19CC" w:rsidRPr="007654C2">
        <w:rPr>
          <w:rFonts w:cstheme="minorHAnsi"/>
          <w:b/>
          <w:bCs/>
          <w:color w:val="2C307E"/>
        </w:rPr>
        <w:t>V</w:t>
      </w:r>
      <w:r w:rsidR="008B476C">
        <w:rPr>
          <w:rFonts w:cstheme="minorHAnsi"/>
          <w:b/>
          <w:bCs/>
          <w:color w:val="2C307E"/>
        </w:rPr>
        <w:t>v</w:t>
      </w:r>
      <w:r w:rsidR="001D19CC" w:rsidRPr="007654C2">
        <w:rPr>
          <w:rFonts w:cstheme="minorHAnsi"/>
          <w:b/>
          <w:bCs/>
          <w:color w:val="2C307E"/>
        </w:rPr>
        <w:t>E bewoners laden relatief weinig thuis.</w:t>
      </w:r>
      <w:r w:rsidR="007654C2" w:rsidRPr="00000115">
        <w:rPr>
          <w:rFonts w:cstheme="minorHAnsi"/>
          <w:b/>
          <w:bCs/>
          <w:color w:val="2C307E"/>
        </w:rPr>
        <w:t xml:space="preserve"> </w:t>
      </w:r>
    </w:p>
    <w:p w14:paraId="1B15690F" w14:textId="7034733C" w:rsidR="00F272A3" w:rsidRPr="00E31A69" w:rsidRDefault="001D19CC" w:rsidP="00000115">
      <w:pPr>
        <w:spacing w:after="0" w:line="276" w:lineRule="auto"/>
        <w:jc w:val="both"/>
        <w:rPr>
          <w:rFonts w:cstheme="minorHAnsi"/>
          <w:color w:val="2C307E"/>
        </w:rPr>
      </w:pPr>
      <w:r w:rsidRPr="00E31A69">
        <w:rPr>
          <w:rFonts w:cstheme="minorHAnsi"/>
          <w:color w:val="2C307E"/>
        </w:rPr>
        <w:t>Ook als de EV-rijder onvoldoende eigen parkeergelegenheid heeft,</w:t>
      </w:r>
      <w:r w:rsidR="005E3343" w:rsidRPr="00E31A69">
        <w:rPr>
          <w:rFonts w:cstheme="minorHAnsi"/>
          <w:color w:val="2C307E"/>
        </w:rPr>
        <w:t xml:space="preserve"> wordt er nog veel thuis geladen via de eigen aansluiting</w:t>
      </w:r>
      <w:r w:rsidR="00EE750C" w:rsidRPr="00E31A69">
        <w:rPr>
          <w:rFonts w:cstheme="minorHAnsi"/>
          <w:color w:val="2C307E"/>
        </w:rPr>
        <w:t>. In die laatste groep laadt toch nog 22% op de eigen aansluiting, 6% zelfs via een gewoon stopcontact.</w:t>
      </w:r>
      <w:r w:rsidR="00B566D9" w:rsidRPr="00E31A69">
        <w:rPr>
          <w:rFonts w:cstheme="minorHAnsi"/>
          <w:b/>
          <w:bCs/>
          <w:color w:val="2C307E"/>
        </w:rPr>
        <w:t xml:space="preserve"> </w:t>
      </w:r>
    </w:p>
    <w:p w14:paraId="4A48AA8A" w14:textId="77777777" w:rsidR="00E31A69" w:rsidRDefault="00B70408" w:rsidP="00E31A69">
      <w:pPr>
        <w:rPr>
          <w:rFonts w:cstheme="minorHAnsi"/>
          <w:b/>
          <w:bCs/>
          <w:color w:val="2C307E"/>
        </w:rPr>
      </w:pPr>
      <w:r>
        <w:rPr>
          <w:rFonts w:cstheme="minorHAnsi"/>
          <w:b/>
          <w:bCs/>
          <w:color w:val="2C307E"/>
        </w:rPr>
        <w:t xml:space="preserve"> </w:t>
      </w:r>
    </w:p>
    <w:p w14:paraId="518C3B98" w14:textId="77777777" w:rsidR="00E31A69" w:rsidRDefault="00E31A69" w:rsidP="00E31A69">
      <w:pPr>
        <w:spacing w:after="0" w:line="276" w:lineRule="auto"/>
        <w:jc w:val="both"/>
        <w:rPr>
          <w:rFonts w:cstheme="minorHAnsi"/>
          <w:b/>
          <w:bCs/>
          <w:color w:val="2C307E"/>
        </w:rPr>
      </w:pPr>
      <w:r w:rsidRPr="00165DF9">
        <w:rPr>
          <w:rFonts w:cstheme="minorHAnsi"/>
          <w:b/>
          <w:bCs/>
          <w:color w:val="2C307E"/>
        </w:rPr>
        <w:t>Zakelijke leaserijder (als werknemer) laad</w:t>
      </w:r>
      <w:r>
        <w:rPr>
          <w:rFonts w:cstheme="minorHAnsi"/>
          <w:b/>
          <w:bCs/>
          <w:color w:val="2C307E"/>
        </w:rPr>
        <w:t>t</w:t>
      </w:r>
      <w:r w:rsidRPr="00165DF9">
        <w:rPr>
          <w:rFonts w:cstheme="minorHAnsi"/>
          <w:b/>
          <w:bCs/>
          <w:color w:val="2C307E"/>
        </w:rPr>
        <w:t xml:space="preserve"> vaker op het werk (2</w:t>
      </w:r>
      <w:r>
        <w:rPr>
          <w:rFonts w:cstheme="minorHAnsi"/>
          <w:b/>
          <w:bCs/>
          <w:color w:val="2C307E"/>
        </w:rPr>
        <w:t>1</w:t>
      </w:r>
      <w:r w:rsidRPr="00165DF9">
        <w:rPr>
          <w:rFonts w:cstheme="minorHAnsi"/>
          <w:b/>
          <w:bCs/>
          <w:color w:val="2C307E"/>
        </w:rPr>
        <w:t>%).</w:t>
      </w:r>
    </w:p>
    <w:p w14:paraId="55BF36C5" w14:textId="3807EB4F" w:rsidR="00E31A69" w:rsidRPr="00E31A69" w:rsidRDefault="00844425" w:rsidP="00E31A69">
      <w:pPr>
        <w:spacing w:after="0" w:line="276" w:lineRule="auto"/>
        <w:jc w:val="both"/>
        <w:rPr>
          <w:rFonts w:cstheme="minorHAnsi"/>
          <w:color w:val="2C307E"/>
        </w:rPr>
      </w:pPr>
      <w:r w:rsidRPr="00E31A69">
        <w:rPr>
          <w:noProof/>
          <w:color w:val="FFFFFF" w:themeColor="background1"/>
        </w:rPr>
        <w:drawing>
          <wp:anchor distT="0" distB="0" distL="114300" distR="114300" simplePos="0" relativeHeight="251658263" behindDoc="0" locked="0" layoutInCell="1" allowOverlap="1" wp14:anchorId="278CB2DE" wp14:editId="275647FA">
            <wp:simplePos x="0" y="0"/>
            <wp:positionH relativeFrom="margin">
              <wp:align>right</wp:align>
            </wp:positionH>
            <wp:positionV relativeFrom="paragraph">
              <wp:posOffset>826135</wp:posOffset>
            </wp:positionV>
            <wp:extent cx="5762625" cy="2924175"/>
            <wp:effectExtent l="0" t="0" r="0" b="0"/>
            <wp:wrapSquare wrapText="bothSides"/>
            <wp:docPr id="500125662" name="Grafiek 1">
              <a:extLst xmlns:a="http://schemas.openxmlformats.org/drawingml/2006/main">
                <a:ext uri="{FF2B5EF4-FFF2-40B4-BE49-F238E27FC236}">
                  <a16:creationId xmlns:a16="http://schemas.microsoft.com/office/drawing/2014/main" id="{45411370-03E7-D9A2-050D-8F07E48FB2D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14:sizeRelH relativeFrom="page">
              <wp14:pctWidth>0</wp14:pctWidth>
            </wp14:sizeRelH>
            <wp14:sizeRelV relativeFrom="page">
              <wp14:pctHeight>0</wp14:pctHeight>
            </wp14:sizeRelV>
          </wp:anchor>
        </w:drawing>
      </w:r>
      <w:r w:rsidR="00E31A69" w:rsidRPr="00E31A69">
        <w:rPr>
          <w:rFonts w:cstheme="minorHAnsi"/>
          <w:color w:val="2C307E"/>
        </w:rPr>
        <w:t>EV-rijders die de auto hebben gekocht (zakelijk of privé), maken het meest gebruik van de privé laadpaal thuis</w:t>
      </w:r>
      <w:r w:rsidR="000D256D">
        <w:rPr>
          <w:rFonts w:cstheme="minorHAnsi"/>
          <w:color w:val="2C307E"/>
        </w:rPr>
        <w:t xml:space="preserve">, </w:t>
      </w:r>
      <w:r>
        <w:rPr>
          <w:rFonts w:cstheme="minorHAnsi"/>
          <w:color w:val="2C307E"/>
        </w:rPr>
        <w:t>en</w:t>
      </w:r>
      <w:r w:rsidR="000D256D">
        <w:rPr>
          <w:rFonts w:cstheme="minorHAnsi"/>
          <w:color w:val="2C307E"/>
        </w:rPr>
        <w:t xml:space="preserve"> laden ook het vaakst via het stopcontact</w:t>
      </w:r>
      <w:r w:rsidR="00E31A69" w:rsidRPr="00E31A69">
        <w:rPr>
          <w:rFonts w:cstheme="minorHAnsi"/>
          <w:color w:val="2C307E"/>
        </w:rPr>
        <w:t xml:space="preserve">. </w:t>
      </w:r>
    </w:p>
    <w:p w14:paraId="0A092FBB" w14:textId="289940C1" w:rsidR="00E31A69" w:rsidRDefault="00E31A69">
      <w:pPr>
        <w:rPr>
          <w:rFonts w:cstheme="minorHAnsi"/>
          <w:b/>
          <w:bCs/>
          <w:color w:val="2C307E"/>
        </w:rPr>
      </w:pPr>
    </w:p>
    <w:p w14:paraId="095474CC" w14:textId="08116E89" w:rsidR="00B671BF" w:rsidRDefault="00B671BF">
      <w:pPr>
        <w:rPr>
          <w:rFonts w:cstheme="minorHAnsi"/>
          <w:color w:val="2C307E"/>
        </w:rPr>
      </w:pPr>
      <w:r>
        <w:rPr>
          <w:rFonts w:cstheme="minorHAnsi"/>
          <w:color w:val="2C307E"/>
        </w:rPr>
        <w:t>Als men de mogelijkheid heeft om op eigen terrein te parkeren, dan wordt 78% van de gereden kilometers via de eigen aansluiting geladen.</w:t>
      </w:r>
    </w:p>
    <w:p w14:paraId="6A82DA51" w14:textId="77777777" w:rsidR="000D256D" w:rsidRDefault="000D256D">
      <w:pPr>
        <w:rPr>
          <w:rFonts w:cstheme="minorHAnsi"/>
          <w:color w:val="2C307E"/>
        </w:rPr>
      </w:pPr>
    </w:p>
    <w:p w14:paraId="0F531CBC" w14:textId="77777777" w:rsidR="000D256D" w:rsidRDefault="000D256D">
      <w:pPr>
        <w:rPr>
          <w:rFonts w:cstheme="minorHAnsi"/>
          <w:color w:val="2C307E"/>
        </w:rPr>
      </w:pPr>
    </w:p>
    <w:p w14:paraId="51AE80BD" w14:textId="77777777" w:rsidR="000D256D" w:rsidRDefault="000D256D">
      <w:pPr>
        <w:rPr>
          <w:rFonts w:cstheme="minorHAnsi"/>
          <w:color w:val="2C307E"/>
        </w:rPr>
      </w:pPr>
    </w:p>
    <w:p w14:paraId="0E9236FC" w14:textId="50361BC3" w:rsidR="000D256D" w:rsidRDefault="00844425">
      <w:pPr>
        <w:rPr>
          <w:rFonts w:cstheme="minorHAnsi"/>
          <w:b/>
          <w:bCs/>
          <w:color w:val="2C307E"/>
        </w:rPr>
      </w:pPr>
      <w:r w:rsidRPr="00E31A69">
        <w:rPr>
          <w:rFonts w:cstheme="minorHAnsi"/>
          <w:color w:val="2C307E"/>
        </w:rPr>
        <w:t xml:space="preserve">Leaserijders, zowel privé als zakelijk, maken het vaakst gebruik van openbare laadpalen (17-20%). </w:t>
      </w:r>
      <w:r w:rsidR="000D256D">
        <w:rPr>
          <w:rFonts w:cstheme="minorHAnsi"/>
          <w:color w:val="2C307E"/>
        </w:rPr>
        <w:t>Snelladen wordt door alle groepen ongeveer evenveel gebruikt (8-10%)</w:t>
      </w:r>
    </w:p>
    <w:p w14:paraId="6EC6AE6B" w14:textId="77777777" w:rsidR="00B671BF" w:rsidRDefault="00B671BF">
      <w:pPr>
        <w:rPr>
          <w:rFonts w:cstheme="minorHAnsi"/>
          <w:b/>
          <w:bCs/>
          <w:color w:val="2C307E"/>
        </w:rPr>
      </w:pPr>
      <w:r>
        <w:rPr>
          <w:rFonts w:cstheme="minorHAnsi"/>
          <w:b/>
          <w:bCs/>
          <w:color w:val="2C307E"/>
        </w:rPr>
        <w:br w:type="page"/>
      </w:r>
    </w:p>
    <w:p w14:paraId="5DD91633" w14:textId="5B5DCDF6" w:rsidR="007A6B08" w:rsidRPr="00680E5D" w:rsidRDefault="007A6B08" w:rsidP="00C13925">
      <w:pPr>
        <w:spacing w:after="0" w:line="276" w:lineRule="auto"/>
        <w:jc w:val="both"/>
        <w:rPr>
          <w:rFonts w:cstheme="minorHAnsi"/>
          <w:b/>
          <w:bCs/>
          <w:color w:val="2C307E"/>
        </w:rPr>
      </w:pPr>
      <w:bookmarkStart w:id="26" w:name="_Hlk206686382"/>
      <w:r w:rsidRPr="00680E5D">
        <w:rPr>
          <w:rFonts w:cstheme="minorHAnsi"/>
          <w:b/>
          <w:bCs/>
          <w:color w:val="2C307E"/>
        </w:rPr>
        <w:lastRenderedPageBreak/>
        <w:t>De nieuwe generatie EV-rijders laadt relatief vak</w:t>
      </w:r>
      <w:r>
        <w:rPr>
          <w:rFonts w:cstheme="minorHAnsi"/>
          <w:b/>
          <w:bCs/>
          <w:color w:val="2C307E"/>
        </w:rPr>
        <w:t>er</w:t>
      </w:r>
      <w:r w:rsidRPr="00680E5D">
        <w:rPr>
          <w:rFonts w:cstheme="minorHAnsi"/>
          <w:b/>
          <w:bCs/>
          <w:color w:val="2C307E"/>
        </w:rPr>
        <w:t xml:space="preserve"> bij een openbare laadpaal. </w:t>
      </w:r>
    </w:p>
    <w:bookmarkEnd w:id="26"/>
    <w:p w14:paraId="6C359BFC" w14:textId="3ADBDBF5" w:rsidR="007A6B08" w:rsidRPr="00680E5D" w:rsidRDefault="007A6B08" w:rsidP="00C13925">
      <w:pPr>
        <w:spacing w:after="0" w:line="276" w:lineRule="auto"/>
        <w:jc w:val="both"/>
        <w:rPr>
          <w:color w:val="2C307E"/>
        </w:rPr>
      </w:pPr>
      <w:r w:rsidRPr="00953054">
        <w:rPr>
          <w:color w:val="2C307E"/>
        </w:rPr>
        <w:t xml:space="preserve">EV-rijders die </w:t>
      </w:r>
      <w:r w:rsidR="00BA21A6">
        <w:rPr>
          <w:color w:val="2C307E"/>
        </w:rPr>
        <w:t>recenter</w:t>
      </w:r>
      <w:r w:rsidRPr="00953054">
        <w:rPr>
          <w:color w:val="2C307E"/>
        </w:rPr>
        <w:t xml:space="preserve"> zijn gestart met elektrisch rijden, laden steeds minder vaak op bij een privé laadpaal thuis. In plaats daarvan wordt meer gebruik gemaakt van openbare laadpalen (in de buurt van de woning of elders). Dit komt ook omdat meer recente EV-rijders steeds minder vaak een privé laadmogelijkheid hebben, en dit dus niet langer als een randvoorwaarde zien om elektrisch te gaan rijden. 4</w:t>
      </w:r>
      <w:r w:rsidR="0009578E" w:rsidRPr="00953054">
        <w:rPr>
          <w:color w:val="2C307E"/>
        </w:rPr>
        <w:t>7</w:t>
      </w:r>
      <w:r w:rsidRPr="00953054">
        <w:rPr>
          <w:color w:val="2C307E"/>
        </w:rPr>
        <w:t>% van EV-rijders die in 202</w:t>
      </w:r>
      <w:r w:rsidR="0009578E" w:rsidRPr="00953054">
        <w:rPr>
          <w:color w:val="2C307E"/>
        </w:rPr>
        <w:t>5</w:t>
      </w:r>
      <w:r w:rsidRPr="00953054">
        <w:rPr>
          <w:color w:val="2C307E"/>
        </w:rPr>
        <w:t xml:space="preserve"> begonnen met elektrisch rijden heeft een eigen laadpaal bij de woning, tegenover </w:t>
      </w:r>
      <w:r w:rsidR="00953054" w:rsidRPr="00953054">
        <w:rPr>
          <w:color w:val="2C307E"/>
        </w:rPr>
        <w:t>57</w:t>
      </w:r>
      <w:r w:rsidRPr="00953054">
        <w:rPr>
          <w:color w:val="2C307E"/>
        </w:rPr>
        <w:t>% van de EV-rijders die al voor 20</w:t>
      </w:r>
      <w:r w:rsidR="00953054" w:rsidRPr="00953054">
        <w:rPr>
          <w:color w:val="2C307E"/>
        </w:rPr>
        <w:t>20</w:t>
      </w:r>
      <w:r w:rsidRPr="00953054">
        <w:rPr>
          <w:color w:val="2C307E"/>
        </w:rPr>
        <w:t xml:space="preserve"> elektrisch reden.</w:t>
      </w:r>
      <w:r w:rsidRPr="669FB9BC">
        <w:rPr>
          <w:color w:val="2C307E"/>
        </w:rPr>
        <w:t xml:space="preserve"> </w:t>
      </w:r>
    </w:p>
    <w:p w14:paraId="6EF0EF32" w14:textId="3CDDD6DE" w:rsidR="007A6B08" w:rsidRDefault="00E32AD0" w:rsidP="0094579C">
      <w:pPr>
        <w:spacing w:after="0" w:line="240" w:lineRule="auto"/>
        <w:jc w:val="both"/>
        <w:rPr>
          <w:color w:val="2C307E"/>
        </w:rPr>
      </w:pPr>
      <w:r>
        <w:rPr>
          <w:noProof/>
        </w:rPr>
        <w:drawing>
          <wp:inline distT="0" distB="0" distL="0" distR="0" wp14:anchorId="2588DAD7" wp14:editId="67B2A45D">
            <wp:extent cx="2762250" cy="3581400"/>
            <wp:effectExtent l="0" t="0" r="0" b="0"/>
            <wp:docPr id="293619185" name="Grafiek 1">
              <a:extLst xmlns:a="http://schemas.openxmlformats.org/drawingml/2006/main">
                <a:ext uri="{FF2B5EF4-FFF2-40B4-BE49-F238E27FC236}">
                  <a16:creationId xmlns:a16="http://schemas.microsoft.com/office/drawing/2014/main" id="{E9A0CA01-DEFB-4D94-9C19-4C92C2EB3F0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3E438517" w14:textId="3D4CD413" w:rsidR="00444FEC" w:rsidRDefault="00444FEC" w:rsidP="00C13925">
      <w:pPr>
        <w:spacing w:after="0" w:line="276" w:lineRule="auto"/>
        <w:jc w:val="both"/>
        <w:rPr>
          <w:rFonts w:cstheme="minorHAnsi"/>
          <w:b/>
          <w:bCs/>
          <w:noProof/>
          <w:color w:val="2C307E"/>
          <w:lang w:eastAsia="nl-NL"/>
        </w:rPr>
      </w:pPr>
      <w:r>
        <w:rPr>
          <w:rFonts w:cstheme="minorHAnsi"/>
          <w:b/>
          <w:bCs/>
          <w:noProof/>
          <w:color w:val="2C307E"/>
          <w:lang w:eastAsia="nl-NL"/>
        </w:rPr>
        <w:t>Hoe vaak maakt de EV-rijder gebruik van de laadvoorzieningen?</w:t>
      </w:r>
    </w:p>
    <w:p w14:paraId="45747151" w14:textId="45AE822E" w:rsidR="00513623" w:rsidRDefault="00444FEC" w:rsidP="00C13925">
      <w:pPr>
        <w:spacing w:after="0" w:line="276" w:lineRule="auto"/>
        <w:jc w:val="both"/>
        <w:rPr>
          <w:rFonts w:cstheme="minorHAnsi"/>
          <w:noProof/>
          <w:color w:val="2C307E"/>
          <w:lang w:eastAsia="nl-NL"/>
        </w:rPr>
      </w:pPr>
      <w:r>
        <w:rPr>
          <w:rFonts w:cstheme="minorHAnsi"/>
          <w:noProof/>
          <w:color w:val="2C307E"/>
          <w:lang w:eastAsia="nl-NL"/>
        </w:rPr>
        <w:t>Voor thuisladers</w:t>
      </w:r>
      <w:r w:rsidR="00513623">
        <w:rPr>
          <w:rFonts w:cstheme="minorHAnsi"/>
          <w:noProof/>
          <w:color w:val="2C307E"/>
          <w:lang w:eastAsia="nl-NL"/>
        </w:rPr>
        <w:t xml:space="preserve"> (de EV-rijder die het grootste aandeel van zijn k</w:t>
      </w:r>
      <w:r w:rsidR="00BA21A6">
        <w:rPr>
          <w:rFonts w:cstheme="minorHAnsi"/>
          <w:noProof/>
          <w:color w:val="2C307E"/>
          <w:lang w:eastAsia="nl-NL"/>
        </w:rPr>
        <w:t>ilometers</w:t>
      </w:r>
      <w:r w:rsidR="00513623">
        <w:rPr>
          <w:rFonts w:cstheme="minorHAnsi"/>
          <w:noProof/>
          <w:color w:val="2C307E"/>
          <w:lang w:eastAsia="nl-NL"/>
        </w:rPr>
        <w:t xml:space="preserve"> thuis </w:t>
      </w:r>
      <w:r w:rsidR="00040B4E">
        <w:rPr>
          <w:rFonts w:cstheme="minorHAnsi"/>
          <w:noProof/>
          <w:color w:val="2C307E"/>
          <w:lang w:eastAsia="nl-NL"/>
        </w:rPr>
        <w:t xml:space="preserve">aan de laadpaal </w:t>
      </w:r>
      <w:r w:rsidR="00513623">
        <w:rPr>
          <w:rFonts w:cstheme="minorHAnsi"/>
          <w:noProof/>
          <w:color w:val="2C307E"/>
          <w:lang w:eastAsia="nl-NL"/>
        </w:rPr>
        <w:t>laadt)</w:t>
      </w:r>
      <w:r>
        <w:rPr>
          <w:rFonts w:cstheme="minorHAnsi"/>
          <w:noProof/>
          <w:color w:val="2C307E"/>
          <w:lang w:eastAsia="nl-NL"/>
        </w:rPr>
        <w:t xml:space="preserve"> geldt dat zij 1</w:t>
      </w:r>
      <w:r w:rsidR="004A6D7E">
        <w:rPr>
          <w:rFonts w:cstheme="minorHAnsi"/>
          <w:noProof/>
          <w:color w:val="2C307E"/>
          <w:lang w:eastAsia="nl-NL"/>
        </w:rPr>
        <w:t>1,1</w:t>
      </w:r>
      <w:r>
        <w:rPr>
          <w:rFonts w:cstheme="minorHAnsi"/>
          <w:noProof/>
          <w:color w:val="2C307E"/>
          <w:lang w:eastAsia="nl-NL"/>
        </w:rPr>
        <w:t xml:space="preserve"> keer </w:t>
      </w:r>
      <w:r w:rsidR="00884211">
        <w:rPr>
          <w:rFonts w:cstheme="minorHAnsi"/>
          <w:noProof/>
          <w:color w:val="2C307E"/>
          <w:lang w:eastAsia="nl-NL"/>
        </w:rPr>
        <w:t xml:space="preserve">per maand </w:t>
      </w:r>
      <w:r>
        <w:rPr>
          <w:rFonts w:cstheme="minorHAnsi"/>
          <w:noProof/>
          <w:color w:val="2C307E"/>
          <w:lang w:eastAsia="nl-NL"/>
        </w:rPr>
        <w:t xml:space="preserve">thuis aan de laadpaal opladen. Een werklader laadt gemiddeld </w:t>
      </w:r>
      <w:r w:rsidR="00040B4E">
        <w:rPr>
          <w:rFonts w:cstheme="minorHAnsi"/>
          <w:noProof/>
          <w:color w:val="2C307E"/>
          <w:lang w:eastAsia="nl-NL"/>
        </w:rPr>
        <w:t>6,6</w:t>
      </w:r>
      <w:r>
        <w:rPr>
          <w:rFonts w:cstheme="minorHAnsi"/>
          <w:noProof/>
          <w:color w:val="2C307E"/>
          <w:lang w:eastAsia="nl-NL"/>
        </w:rPr>
        <w:t xml:space="preserve"> keer per maand op het werk en de EV-rijder die </w:t>
      </w:r>
      <w:r w:rsidR="00E319F2">
        <w:rPr>
          <w:rFonts w:cstheme="minorHAnsi"/>
          <w:noProof/>
          <w:color w:val="2C307E"/>
          <w:lang w:eastAsia="nl-NL"/>
        </w:rPr>
        <w:t>openbaar</w:t>
      </w:r>
      <w:r>
        <w:rPr>
          <w:rFonts w:cstheme="minorHAnsi"/>
          <w:noProof/>
          <w:color w:val="2C307E"/>
          <w:lang w:eastAsia="nl-NL"/>
        </w:rPr>
        <w:t xml:space="preserve"> laadt, doet dat </w:t>
      </w:r>
      <w:r w:rsidR="00040B4E">
        <w:rPr>
          <w:rFonts w:cstheme="minorHAnsi"/>
          <w:noProof/>
          <w:color w:val="2C307E"/>
          <w:lang w:eastAsia="nl-NL"/>
        </w:rPr>
        <w:t>6,7</w:t>
      </w:r>
      <w:r>
        <w:rPr>
          <w:rFonts w:cstheme="minorHAnsi"/>
          <w:noProof/>
          <w:color w:val="2C307E"/>
          <w:lang w:eastAsia="nl-NL"/>
        </w:rPr>
        <w:t xml:space="preserve"> keer per maand aan de openbare laadpaal in de buurt van de woning.</w:t>
      </w:r>
      <w:r w:rsidR="009B71D4">
        <w:rPr>
          <w:rFonts w:cstheme="minorHAnsi"/>
          <w:noProof/>
          <w:color w:val="2C307E"/>
          <w:lang w:eastAsia="nl-NL"/>
        </w:rPr>
        <w:t xml:space="preserve"> Een openbare laadpaal elders en de snellader worden beide 3,2 keer per maand gebruikt.</w:t>
      </w:r>
    </w:p>
    <w:p w14:paraId="177D8D8B" w14:textId="684FFE33" w:rsidR="003958B3" w:rsidRPr="00CA7077" w:rsidRDefault="003958B3" w:rsidP="00C13925">
      <w:pPr>
        <w:spacing w:after="0" w:line="276" w:lineRule="auto"/>
        <w:jc w:val="both"/>
        <w:rPr>
          <w:rFonts w:cstheme="minorHAnsi"/>
          <w:b/>
          <w:bCs/>
          <w:color w:val="2C307E"/>
        </w:rPr>
      </w:pPr>
      <w:r w:rsidRPr="00CA7077">
        <w:rPr>
          <w:rFonts w:cstheme="minorHAnsi"/>
          <w:b/>
          <w:bCs/>
          <w:color w:val="2C307E"/>
        </w:rPr>
        <w:t>Alle laadinfrastructuur in Nederland scoort een ruime voldoende</w:t>
      </w:r>
      <w:r w:rsidR="00BA21A6">
        <w:rPr>
          <w:rFonts w:cstheme="minorHAnsi"/>
          <w:b/>
          <w:bCs/>
          <w:color w:val="2C307E"/>
        </w:rPr>
        <w:t>.</w:t>
      </w:r>
      <w:r w:rsidRPr="00CA7077">
        <w:rPr>
          <w:rFonts w:cstheme="minorHAnsi"/>
          <w:b/>
          <w:bCs/>
          <w:color w:val="2C307E"/>
        </w:rPr>
        <w:t xml:space="preserve"> [N=3.</w:t>
      </w:r>
      <w:r w:rsidR="00C01E5E">
        <w:rPr>
          <w:rFonts w:cstheme="minorHAnsi"/>
          <w:b/>
          <w:bCs/>
          <w:color w:val="2C307E"/>
        </w:rPr>
        <w:t>713</w:t>
      </w:r>
      <w:r w:rsidRPr="00CA7077">
        <w:rPr>
          <w:rFonts w:cstheme="minorHAnsi"/>
          <w:b/>
          <w:bCs/>
          <w:color w:val="2C307E"/>
        </w:rPr>
        <w:t>]</w:t>
      </w:r>
    </w:p>
    <w:p w14:paraId="0D7C229D" w14:textId="6182F3CD" w:rsidR="00CC58AA" w:rsidRDefault="003958B3" w:rsidP="00C13925">
      <w:pPr>
        <w:spacing w:after="0" w:line="276" w:lineRule="auto"/>
        <w:jc w:val="both"/>
        <w:rPr>
          <w:rFonts w:cstheme="minorHAnsi"/>
          <w:color w:val="2C307E"/>
        </w:rPr>
      </w:pPr>
      <w:r w:rsidRPr="00953054">
        <w:rPr>
          <w:rFonts w:cstheme="minorHAnsi"/>
          <w:color w:val="2C307E"/>
        </w:rPr>
        <w:t xml:space="preserve">In de volgende paragrafen wordt per laadvoorziening dieper ingegaan op de knelpunten en ervaringen van EV-rijders. Vergeleken met vorig jaar is de beoordeling nagenoeg gelijk gebleven. </w:t>
      </w:r>
    </w:p>
    <w:p w14:paraId="34292309" w14:textId="77777777" w:rsidR="004A6D7E" w:rsidRDefault="004A6D7E" w:rsidP="00C13925">
      <w:pPr>
        <w:spacing w:after="0" w:line="276" w:lineRule="auto"/>
        <w:jc w:val="both"/>
        <w:rPr>
          <w:rFonts w:cstheme="minorHAnsi"/>
          <w:color w:val="2C307E"/>
        </w:rPr>
      </w:pPr>
    </w:p>
    <w:p w14:paraId="3949FDC7" w14:textId="61E89F03" w:rsidR="00444FEC" w:rsidRPr="00444FEC" w:rsidRDefault="003958B3" w:rsidP="00C13925">
      <w:pPr>
        <w:spacing w:after="0" w:line="276" w:lineRule="auto"/>
        <w:jc w:val="both"/>
        <w:rPr>
          <w:rFonts w:cstheme="minorHAnsi"/>
          <w:noProof/>
          <w:color w:val="2C307E"/>
          <w:lang w:eastAsia="nl-NL"/>
        </w:rPr>
      </w:pPr>
      <w:r w:rsidRPr="00023C9D">
        <w:rPr>
          <w:rFonts w:cstheme="minorHAnsi"/>
          <w:color w:val="2C307E"/>
        </w:rPr>
        <w:t>Als rapportcijfers worden uitgesplitst naar hoe lang men al elektrisch rijdt, zijn de verschillen klein. Over het algemeen is de meer recente EV-rijders een beetje kritischer, maar de verschillen zijn minimaal.</w:t>
      </w:r>
    </w:p>
    <w:p w14:paraId="72A8FC59" w14:textId="33875AE2" w:rsidR="0094579C" w:rsidRPr="00BD385A" w:rsidRDefault="004A6D7E" w:rsidP="0094579C">
      <w:pPr>
        <w:spacing w:after="0" w:line="240" w:lineRule="auto"/>
        <w:jc w:val="both"/>
        <w:rPr>
          <w:rFonts w:cstheme="minorHAnsi"/>
          <w:color w:val="2C307E"/>
          <w:highlight w:val="yellow"/>
        </w:rPr>
      </w:pPr>
      <w:r>
        <w:rPr>
          <w:noProof/>
        </w:rPr>
        <w:drawing>
          <wp:inline distT="0" distB="0" distL="0" distR="0" wp14:anchorId="6AB653AF" wp14:editId="04041BFC">
            <wp:extent cx="2655570" cy="4347210"/>
            <wp:effectExtent l="0" t="0" r="0" b="0"/>
            <wp:docPr id="1218737904" name="Grafiek 1">
              <a:extLst xmlns:a="http://schemas.openxmlformats.org/drawingml/2006/main">
                <a:ext uri="{FF2B5EF4-FFF2-40B4-BE49-F238E27FC236}">
                  <a16:creationId xmlns:a16="http://schemas.microsoft.com/office/drawing/2014/main" id="{5785B771-654E-69EE-501F-934C3B10F9C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6A4941D7" w14:textId="77777777" w:rsidR="004A6D7E" w:rsidRDefault="004A6D7E">
      <w:pPr>
        <w:rPr>
          <w:rFonts w:cstheme="minorHAnsi"/>
          <w:b/>
          <w:color w:val="2C307E"/>
        </w:rPr>
      </w:pPr>
      <w:r>
        <w:rPr>
          <w:rFonts w:cstheme="minorHAnsi"/>
          <w:b/>
          <w:color w:val="2C307E"/>
        </w:rPr>
        <w:br w:type="page"/>
      </w:r>
    </w:p>
    <w:p w14:paraId="154747D7" w14:textId="282704AE" w:rsidR="0094579C" w:rsidRPr="00504444" w:rsidRDefault="00F31A11" w:rsidP="00CB3F4F">
      <w:pPr>
        <w:spacing w:after="0"/>
        <w:jc w:val="both"/>
        <w:rPr>
          <w:rFonts w:cstheme="minorHAnsi"/>
          <w:b/>
          <w:bCs/>
          <w:color w:val="2C307E"/>
        </w:rPr>
      </w:pPr>
      <w:r>
        <w:rPr>
          <w:rFonts w:cstheme="minorHAnsi"/>
          <w:b/>
          <w:color w:val="2C307E"/>
        </w:rPr>
        <w:lastRenderedPageBreak/>
        <w:t>H</w:t>
      </w:r>
      <w:r w:rsidR="0094579C" w:rsidRPr="00504444">
        <w:rPr>
          <w:rFonts w:cstheme="minorHAnsi"/>
          <w:b/>
          <w:bCs/>
          <w:color w:val="2C307E"/>
        </w:rPr>
        <w:t>oe ziet laden er in de toekomst uit? [N=</w:t>
      </w:r>
      <w:r w:rsidR="00504444" w:rsidRPr="00504444">
        <w:rPr>
          <w:rFonts w:cstheme="minorHAnsi"/>
          <w:b/>
          <w:bCs/>
          <w:color w:val="2C307E"/>
        </w:rPr>
        <w:t>1.974</w:t>
      </w:r>
      <w:r w:rsidR="0094579C" w:rsidRPr="00504444">
        <w:rPr>
          <w:rFonts w:cstheme="minorHAnsi"/>
          <w:b/>
          <w:bCs/>
          <w:color w:val="2C307E"/>
        </w:rPr>
        <w:t>]</w:t>
      </w:r>
    </w:p>
    <w:p w14:paraId="6A30C974" w14:textId="3244DAF1" w:rsidR="00471F8C" w:rsidRPr="00714AE2" w:rsidRDefault="00C15569" w:rsidP="00CB3F4F">
      <w:pPr>
        <w:spacing w:after="0" w:line="276" w:lineRule="auto"/>
        <w:jc w:val="both"/>
        <w:rPr>
          <w:rFonts w:cstheme="minorHAnsi"/>
          <w:color w:val="2C307E"/>
        </w:rPr>
      </w:pPr>
      <w:r w:rsidRPr="00DA4A6B">
        <w:rPr>
          <w:noProof/>
          <w:color w:val="2C307E"/>
        </w:rPr>
        <w:drawing>
          <wp:anchor distT="0" distB="0" distL="114300" distR="114300" simplePos="0" relativeHeight="251658254" behindDoc="0" locked="0" layoutInCell="1" allowOverlap="1" wp14:anchorId="4ED33EBD" wp14:editId="78E98C47">
            <wp:simplePos x="0" y="0"/>
            <wp:positionH relativeFrom="margin">
              <wp:align>right</wp:align>
            </wp:positionH>
            <wp:positionV relativeFrom="paragraph">
              <wp:posOffset>1852930</wp:posOffset>
            </wp:positionV>
            <wp:extent cx="5806440" cy="5267325"/>
            <wp:effectExtent l="0" t="0" r="0" b="0"/>
            <wp:wrapSquare wrapText="bothSides"/>
            <wp:docPr id="2074114608" name="Grafiek 1">
              <a:extLst xmlns:a="http://schemas.openxmlformats.org/drawingml/2006/main">
                <a:ext uri="{FF2B5EF4-FFF2-40B4-BE49-F238E27FC236}">
                  <a16:creationId xmlns:a16="http://schemas.microsoft.com/office/drawing/2014/main" id="{E8AD35EB-4128-69B5-3284-637A6F62FEA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14:sizeRelH relativeFrom="page">
              <wp14:pctWidth>0</wp14:pctWidth>
            </wp14:sizeRelH>
            <wp14:sizeRelV relativeFrom="page">
              <wp14:pctHeight>0</wp14:pctHeight>
            </wp14:sizeRelV>
          </wp:anchor>
        </w:drawing>
      </w:r>
      <w:r w:rsidR="0094579C" w:rsidRPr="00714AE2">
        <w:rPr>
          <w:rFonts w:cstheme="minorHAnsi"/>
          <w:color w:val="2C307E"/>
        </w:rPr>
        <w:t xml:space="preserve">We vroegen de </w:t>
      </w:r>
      <w:r w:rsidR="00CB3F4F">
        <w:rPr>
          <w:rFonts w:cstheme="minorHAnsi"/>
          <w:color w:val="2C307E"/>
        </w:rPr>
        <w:t>EV-</w:t>
      </w:r>
      <w:r w:rsidR="0094579C" w:rsidRPr="00714AE2">
        <w:rPr>
          <w:rFonts w:cstheme="minorHAnsi"/>
          <w:color w:val="2C307E"/>
        </w:rPr>
        <w:t xml:space="preserve">rijder hoe </w:t>
      </w:r>
      <w:r w:rsidR="00CB3F4F">
        <w:rPr>
          <w:rFonts w:cstheme="minorHAnsi"/>
          <w:color w:val="2C307E"/>
        </w:rPr>
        <w:t>die</w:t>
      </w:r>
      <w:r w:rsidR="0094579C" w:rsidRPr="00714AE2">
        <w:rPr>
          <w:rFonts w:cstheme="minorHAnsi"/>
          <w:color w:val="2C307E"/>
        </w:rPr>
        <w:t xml:space="preserve"> denkt dat laden er in de toekomst uit gaat zien (over </w:t>
      </w:r>
      <w:r w:rsidR="00E2009E">
        <w:rPr>
          <w:rFonts w:cstheme="minorHAnsi"/>
          <w:color w:val="2C307E"/>
        </w:rPr>
        <w:t>vijf</w:t>
      </w:r>
      <w:r w:rsidR="0094579C" w:rsidRPr="00714AE2">
        <w:rPr>
          <w:rFonts w:cstheme="minorHAnsi"/>
          <w:color w:val="2C307E"/>
        </w:rPr>
        <w:t xml:space="preserve"> tot </w:t>
      </w:r>
      <w:r w:rsidR="00E2009E">
        <w:rPr>
          <w:rFonts w:cstheme="minorHAnsi"/>
          <w:color w:val="2C307E"/>
        </w:rPr>
        <w:t>tien</w:t>
      </w:r>
      <w:r w:rsidR="0094579C" w:rsidRPr="00714AE2">
        <w:rPr>
          <w:rFonts w:cstheme="minorHAnsi"/>
          <w:color w:val="2C307E"/>
        </w:rPr>
        <w:t xml:space="preserve"> jaar). De antwoorden zijn ingevuld op een schaal van </w:t>
      </w:r>
      <w:r w:rsidR="00CB3F4F">
        <w:rPr>
          <w:rFonts w:cstheme="minorHAnsi"/>
          <w:color w:val="2C307E"/>
        </w:rPr>
        <w:t>1</w:t>
      </w:r>
      <w:r w:rsidR="0094579C" w:rsidRPr="00714AE2">
        <w:rPr>
          <w:rFonts w:cstheme="minorHAnsi"/>
          <w:color w:val="2C307E"/>
        </w:rPr>
        <w:t xml:space="preserve"> (heel onwaarschijnlijk) tot </w:t>
      </w:r>
      <w:r w:rsidR="00CB3F4F">
        <w:rPr>
          <w:rFonts w:cstheme="minorHAnsi"/>
          <w:color w:val="2C307E"/>
        </w:rPr>
        <w:t>5</w:t>
      </w:r>
      <w:r w:rsidR="0094579C" w:rsidRPr="00714AE2">
        <w:rPr>
          <w:rFonts w:cstheme="minorHAnsi"/>
          <w:color w:val="2C307E"/>
        </w:rPr>
        <w:t xml:space="preserve"> (heel waarschijnlijk)</w:t>
      </w:r>
      <w:r w:rsidR="007561E0" w:rsidRPr="00714AE2">
        <w:rPr>
          <w:rFonts w:cstheme="minorHAnsi"/>
          <w:color w:val="2C307E"/>
        </w:rPr>
        <w:t>.</w:t>
      </w:r>
      <w:r w:rsidR="00513623" w:rsidRPr="00714AE2">
        <w:rPr>
          <w:rFonts w:cstheme="minorHAnsi"/>
          <w:color w:val="2C307E"/>
        </w:rPr>
        <w:t xml:space="preserve"> </w:t>
      </w:r>
      <w:r w:rsidR="00505F37">
        <w:rPr>
          <w:rFonts w:cstheme="minorHAnsi"/>
          <w:color w:val="2C307E"/>
        </w:rPr>
        <w:t xml:space="preserve">Drie van de vijf stellingen worden overwegend </w:t>
      </w:r>
      <w:r w:rsidR="0072694F">
        <w:rPr>
          <w:rFonts w:cstheme="minorHAnsi"/>
          <w:color w:val="2C307E"/>
        </w:rPr>
        <w:t xml:space="preserve">als waarschijnlijk of </w:t>
      </w:r>
      <w:r w:rsidR="00E85A38">
        <w:rPr>
          <w:rFonts w:cstheme="minorHAnsi"/>
          <w:color w:val="2C307E"/>
        </w:rPr>
        <w:t>heel</w:t>
      </w:r>
      <w:r w:rsidR="0072694F">
        <w:rPr>
          <w:rFonts w:cstheme="minorHAnsi"/>
          <w:color w:val="2C307E"/>
        </w:rPr>
        <w:t xml:space="preserve"> waarschijnlijk ingeschat: </w:t>
      </w:r>
      <w:r w:rsidR="00471F8C" w:rsidRPr="00714AE2">
        <w:rPr>
          <w:rFonts w:cstheme="minorHAnsi"/>
          <w:color w:val="2C307E"/>
        </w:rPr>
        <w:t xml:space="preserve">Men verwacht dat de EV een heel belangrijk onderdeel van de energietransitie </w:t>
      </w:r>
      <w:r w:rsidR="00743C63">
        <w:rPr>
          <w:rFonts w:cstheme="minorHAnsi"/>
          <w:color w:val="2C307E"/>
        </w:rPr>
        <w:t>gaat zijn</w:t>
      </w:r>
      <w:r w:rsidR="00471F8C" w:rsidRPr="00714AE2">
        <w:rPr>
          <w:rFonts w:cstheme="minorHAnsi"/>
          <w:color w:val="2C307E"/>
        </w:rPr>
        <w:t xml:space="preserve">. </w:t>
      </w:r>
    </w:p>
    <w:p w14:paraId="564E1965" w14:textId="7C86952F" w:rsidR="00B43AFC" w:rsidRPr="00714AE2" w:rsidRDefault="00B43AFC" w:rsidP="00B43AFC">
      <w:pPr>
        <w:spacing w:after="0" w:line="276" w:lineRule="auto"/>
        <w:jc w:val="both"/>
        <w:rPr>
          <w:rFonts w:cstheme="minorHAnsi"/>
          <w:color w:val="2C307E"/>
        </w:rPr>
      </w:pPr>
    </w:p>
    <w:p w14:paraId="595378AE" w14:textId="7EA2452D" w:rsidR="00B43AFC" w:rsidRDefault="00B43AFC" w:rsidP="00B43AFC">
      <w:pPr>
        <w:spacing w:after="0" w:line="276" w:lineRule="auto"/>
        <w:jc w:val="both"/>
        <w:rPr>
          <w:rFonts w:cstheme="minorHAnsi"/>
          <w:b/>
          <w:bCs/>
          <w:color w:val="2C307E"/>
        </w:rPr>
      </w:pPr>
    </w:p>
    <w:p w14:paraId="7A02AB9F" w14:textId="77777777" w:rsidR="00C15569" w:rsidRDefault="00C15569" w:rsidP="00B43AFC">
      <w:pPr>
        <w:spacing w:after="0" w:line="276" w:lineRule="auto"/>
        <w:jc w:val="both"/>
        <w:rPr>
          <w:rFonts w:cstheme="minorHAnsi"/>
          <w:color w:val="2C307E"/>
        </w:rPr>
      </w:pPr>
    </w:p>
    <w:p w14:paraId="45955E00" w14:textId="77777777" w:rsidR="00C15569" w:rsidRDefault="00C15569" w:rsidP="00B43AFC">
      <w:pPr>
        <w:spacing w:after="0" w:line="276" w:lineRule="auto"/>
        <w:jc w:val="both"/>
        <w:rPr>
          <w:rFonts w:cstheme="minorHAnsi"/>
          <w:color w:val="2C307E"/>
        </w:rPr>
      </w:pPr>
    </w:p>
    <w:p w14:paraId="5EFA6C76" w14:textId="77777777" w:rsidR="00C15569" w:rsidRDefault="00C15569" w:rsidP="00B43AFC">
      <w:pPr>
        <w:spacing w:after="0" w:line="276" w:lineRule="auto"/>
        <w:jc w:val="both"/>
        <w:rPr>
          <w:rFonts w:cstheme="minorHAnsi"/>
          <w:color w:val="2C307E"/>
        </w:rPr>
      </w:pPr>
    </w:p>
    <w:p w14:paraId="5B5B2313" w14:textId="77777777" w:rsidR="00160BDA" w:rsidRDefault="00160BDA" w:rsidP="00B43AFC">
      <w:pPr>
        <w:spacing w:after="0" w:line="276" w:lineRule="auto"/>
        <w:jc w:val="both"/>
        <w:rPr>
          <w:rFonts w:cstheme="minorHAnsi"/>
          <w:color w:val="2C307E"/>
        </w:rPr>
      </w:pPr>
    </w:p>
    <w:p w14:paraId="1F75AC47" w14:textId="0C740E74" w:rsidR="00B43AFC" w:rsidRDefault="00C15569" w:rsidP="00B43AFC">
      <w:pPr>
        <w:spacing w:after="0" w:line="276" w:lineRule="auto"/>
        <w:jc w:val="both"/>
        <w:rPr>
          <w:rFonts w:cstheme="minorHAnsi"/>
          <w:b/>
          <w:bCs/>
          <w:color w:val="2C307E"/>
        </w:rPr>
      </w:pPr>
      <w:r w:rsidRPr="00714AE2">
        <w:rPr>
          <w:rFonts w:cstheme="minorHAnsi"/>
          <w:color w:val="2C307E"/>
        </w:rPr>
        <w:t xml:space="preserve">Daarbij is de verwachting dat snelladen steeds sneller wordt, en dat de </w:t>
      </w:r>
      <w:r>
        <w:rPr>
          <w:rFonts w:cstheme="minorHAnsi"/>
          <w:color w:val="2C307E"/>
        </w:rPr>
        <w:t>laadprijzen gaan dalen</w:t>
      </w:r>
      <w:r w:rsidRPr="00714AE2">
        <w:rPr>
          <w:rFonts w:cstheme="minorHAnsi"/>
          <w:color w:val="2C307E"/>
        </w:rPr>
        <w:t>.</w:t>
      </w:r>
      <w:r w:rsidRPr="00714AE2">
        <w:rPr>
          <w:noProof/>
        </w:rPr>
        <w:t xml:space="preserve"> </w:t>
      </w:r>
      <w:r>
        <w:rPr>
          <w:rFonts w:cstheme="minorHAnsi"/>
          <w:color w:val="2C307E"/>
        </w:rPr>
        <w:t xml:space="preserve">De meningen lopen meer uiteen over de overige twee stellingen. </w:t>
      </w:r>
      <w:r w:rsidRPr="00714AE2">
        <w:rPr>
          <w:rFonts w:cstheme="minorHAnsi"/>
          <w:color w:val="2C307E"/>
        </w:rPr>
        <w:t xml:space="preserve">Geld verdienen door de EV als rijdende batterij </w:t>
      </w:r>
      <w:r>
        <w:rPr>
          <w:rFonts w:cstheme="minorHAnsi"/>
          <w:color w:val="2C307E"/>
        </w:rPr>
        <w:t>te gebruiken ziet de EV-rijder steeds meer als een realistisch scenario. 35% denkt dat opladen in de nabije toekomst alleen nog buiten de spitsuren mogelijk is</w:t>
      </w:r>
      <w:r w:rsidRPr="00714AE2">
        <w:rPr>
          <w:rFonts w:cstheme="minorHAnsi"/>
          <w:color w:val="2C307E"/>
        </w:rPr>
        <w:t xml:space="preserve">..  </w:t>
      </w:r>
    </w:p>
    <w:p w14:paraId="53C16E5F" w14:textId="77777777" w:rsidR="00B43AFC" w:rsidRDefault="00B43AFC" w:rsidP="00B43AFC">
      <w:pPr>
        <w:spacing w:after="0" w:line="276" w:lineRule="auto"/>
        <w:jc w:val="both"/>
        <w:rPr>
          <w:rFonts w:cstheme="minorHAnsi"/>
          <w:b/>
          <w:bCs/>
          <w:color w:val="2C307E"/>
        </w:rPr>
      </w:pPr>
    </w:p>
    <w:p w14:paraId="1DDD26A6" w14:textId="77777777" w:rsidR="00B43AFC" w:rsidRDefault="00B43AFC" w:rsidP="00B43AFC">
      <w:pPr>
        <w:spacing w:after="0" w:line="276" w:lineRule="auto"/>
        <w:jc w:val="both"/>
        <w:rPr>
          <w:rFonts w:cstheme="minorHAnsi"/>
          <w:b/>
          <w:bCs/>
          <w:color w:val="2C307E"/>
        </w:rPr>
      </w:pPr>
    </w:p>
    <w:p w14:paraId="221110C1" w14:textId="77777777" w:rsidR="00B43AFC" w:rsidRDefault="00B43AFC" w:rsidP="00B43AFC">
      <w:pPr>
        <w:spacing w:after="0" w:line="276" w:lineRule="auto"/>
        <w:jc w:val="both"/>
        <w:rPr>
          <w:rFonts w:cstheme="minorHAnsi"/>
          <w:b/>
          <w:bCs/>
          <w:color w:val="2C307E"/>
        </w:rPr>
      </w:pPr>
    </w:p>
    <w:p w14:paraId="72D79A12" w14:textId="77777777" w:rsidR="00B43AFC" w:rsidRDefault="00B43AFC" w:rsidP="00B43AFC">
      <w:pPr>
        <w:spacing w:after="0" w:line="276" w:lineRule="auto"/>
        <w:jc w:val="both"/>
        <w:rPr>
          <w:rFonts w:cstheme="minorHAnsi"/>
          <w:b/>
          <w:bCs/>
          <w:color w:val="2C307E"/>
        </w:rPr>
      </w:pPr>
    </w:p>
    <w:p w14:paraId="01A7A5C2" w14:textId="77777777" w:rsidR="00B43AFC" w:rsidRDefault="00B43AFC" w:rsidP="00B43AFC">
      <w:pPr>
        <w:spacing w:after="0" w:line="276" w:lineRule="auto"/>
        <w:jc w:val="both"/>
        <w:rPr>
          <w:rFonts w:cstheme="minorHAnsi"/>
          <w:b/>
          <w:bCs/>
          <w:color w:val="2C307E"/>
        </w:rPr>
      </w:pPr>
    </w:p>
    <w:p w14:paraId="58E26241" w14:textId="77777777" w:rsidR="00B43AFC" w:rsidRDefault="00B43AFC" w:rsidP="00B43AFC">
      <w:pPr>
        <w:spacing w:after="0" w:line="276" w:lineRule="auto"/>
        <w:jc w:val="both"/>
        <w:rPr>
          <w:rFonts w:cstheme="minorHAnsi"/>
          <w:b/>
          <w:bCs/>
          <w:color w:val="2C307E"/>
        </w:rPr>
      </w:pPr>
    </w:p>
    <w:p w14:paraId="5641F76F" w14:textId="77777777" w:rsidR="00B43AFC" w:rsidRDefault="00B43AFC" w:rsidP="00B43AFC">
      <w:pPr>
        <w:spacing w:after="0" w:line="276" w:lineRule="auto"/>
        <w:jc w:val="both"/>
        <w:rPr>
          <w:rFonts w:cstheme="minorHAnsi"/>
          <w:b/>
          <w:bCs/>
          <w:color w:val="2C307E"/>
        </w:rPr>
      </w:pPr>
    </w:p>
    <w:p w14:paraId="417A50A1" w14:textId="77777777" w:rsidR="00160BDA" w:rsidRDefault="00160BDA">
      <w:pPr>
        <w:rPr>
          <w:rFonts w:cstheme="minorHAnsi"/>
          <w:b/>
          <w:bCs/>
          <w:color w:val="2C307E"/>
        </w:rPr>
      </w:pPr>
      <w:bookmarkStart w:id="27" w:name="_Hlk206686481"/>
      <w:r>
        <w:rPr>
          <w:rFonts w:cstheme="minorHAnsi"/>
          <w:b/>
          <w:bCs/>
          <w:color w:val="2C307E"/>
        </w:rPr>
        <w:br w:type="page"/>
      </w:r>
    </w:p>
    <w:p w14:paraId="1EA4DF2B" w14:textId="32B76A6B" w:rsidR="003958B3" w:rsidRPr="00933D2A" w:rsidRDefault="00F1286C" w:rsidP="00513623">
      <w:pPr>
        <w:spacing w:after="0" w:line="276" w:lineRule="auto"/>
        <w:jc w:val="both"/>
        <w:rPr>
          <w:rFonts w:cstheme="minorHAnsi"/>
          <w:b/>
          <w:bCs/>
          <w:color w:val="2C307E"/>
        </w:rPr>
      </w:pPr>
      <w:r>
        <w:rPr>
          <w:rFonts w:cstheme="minorHAnsi"/>
          <w:b/>
          <w:bCs/>
          <w:color w:val="2C307E"/>
        </w:rPr>
        <w:lastRenderedPageBreak/>
        <w:t>Laadsessies spreiden zich meer uit over de dag</w:t>
      </w:r>
      <w:r w:rsidR="007D2831">
        <w:rPr>
          <w:rFonts w:cstheme="minorHAnsi"/>
          <w:b/>
          <w:bCs/>
          <w:color w:val="2C307E"/>
        </w:rPr>
        <w:t>, de spits wordt gemeden</w:t>
      </w:r>
      <w:r w:rsidR="003958B3" w:rsidRPr="00933D2A">
        <w:rPr>
          <w:rFonts w:cstheme="minorHAnsi"/>
          <w:b/>
          <w:bCs/>
          <w:color w:val="2C307E"/>
        </w:rPr>
        <w:t xml:space="preserve"> </w:t>
      </w:r>
      <w:bookmarkEnd w:id="27"/>
      <w:r w:rsidR="003958B3" w:rsidRPr="00933D2A">
        <w:rPr>
          <w:rFonts w:cstheme="minorHAnsi"/>
          <w:b/>
          <w:bCs/>
          <w:color w:val="2C307E"/>
        </w:rPr>
        <w:t>[N=</w:t>
      </w:r>
      <w:r w:rsidR="00933D2A" w:rsidRPr="00933D2A">
        <w:rPr>
          <w:rFonts w:cstheme="minorHAnsi"/>
          <w:b/>
          <w:bCs/>
          <w:color w:val="2C307E"/>
        </w:rPr>
        <w:t>1.</w:t>
      </w:r>
      <w:r>
        <w:rPr>
          <w:rFonts w:cstheme="minorHAnsi"/>
          <w:b/>
          <w:bCs/>
          <w:color w:val="2C307E"/>
        </w:rPr>
        <w:t>497</w:t>
      </w:r>
      <w:r w:rsidR="003958B3" w:rsidRPr="00933D2A">
        <w:rPr>
          <w:rFonts w:cstheme="minorHAnsi"/>
          <w:b/>
          <w:bCs/>
          <w:color w:val="2C307E"/>
        </w:rPr>
        <w:t>]</w:t>
      </w:r>
    </w:p>
    <w:p w14:paraId="6C2F98C2" w14:textId="2A544FB5" w:rsidR="00F31A11" w:rsidRDefault="00160BDA" w:rsidP="005C0172">
      <w:pPr>
        <w:spacing w:after="0" w:line="276" w:lineRule="auto"/>
        <w:jc w:val="both"/>
        <w:rPr>
          <w:rFonts w:cstheme="minorHAnsi"/>
          <w:color w:val="2C307E"/>
        </w:rPr>
      </w:pPr>
      <w:r>
        <w:rPr>
          <w:noProof/>
        </w:rPr>
        <w:drawing>
          <wp:anchor distT="0" distB="0" distL="114300" distR="114300" simplePos="0" relativeHeight="251658264" behindDoc="0" locked="0" layoutInCell="1" allowOverlap="1" wp14:anchorId="4D4FFCFA" wp14:editId="486C3EBE">
            <wp:simplePos x="0" y="0"/>
            <wp:positionH relativeFrom="margin">
              <wp:align>right</wp:align>
            </wp:positionH>
            <wp:positionV relativeFrom="paragraph">
              <wp:posOffset>5295265</wp:posOffset>
            </wp:positionV>
            <wp:extent cx="5759450" cy="1620000"/>
            <wp:effectExtent l="0" t="0" r="0" b="0"/>
            <wp:wrapSquare wrapText="bothSides"/>
            <wp:docPr id="658343003" name="Grafiek 1">
              <a:extLst xmlns:a="http://schemas.openxmlformats.org/drawingml/2006/main">
                <a:ext uri="{FF2B5EF4-FFF2-40B4-BE49-F238E27FC236}">
                  <a16:creationId xmlns:a16="http://schemas.microsoft.com/office/drawing/2014/main" id="{B8D8BB8F-9604-4230-8D72-97EF84E4EEF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52" behindDoc="0" locked="0" layoutInCell="1" allowOverlap="1" wp14:anchorId="4DCB7578" wp14:editId="528E6EEA">
            <wp:simplePos x="0" y="0"/>
            <wp:positionH relativeFrom="margin">
              <wp:align>right</wp:align>
            </wp:positionH>
            <wp:positionV relativeFrom="paragraph">
              <wp:posOffset>3723005</wp:posOffset>
            </wp:positionV>
            <wp:extent cx="5760720" cy="1619885"/>
            <wp:effectExtent l="0" t="0" r="0" b="0"/>
            <wp:wrapSquare wrapText="bothSides"/>
            <wp:docPr id="849163485" name="Grafiek 1">
              <a:extLst xmlns:a="http://schemas.openxmlformats.org/drawingml/2006/main">
                <a:ext uri="{FF2B5EF4-FFF2-40B4-BE49-F238E27FC236}">
                  <a16:creationId xmlns:a16="http://schemas.microsoft.com/office/drawing/2014/main" id="{27DF2163-7533-4EAA-A125-9329B82F688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14:sizeRelH relativeFrom="page">
              <wp14:pctWidth>0</wp14:pctWidth>
            </wp14:sizeRelH>
            <wp14:sizeRelV relativeFrom="page">
              <wp14:pctHeight>0</wp14:pctHeight>
            </wp14:sizeRelV>
          </wp:anchor>
        </w:drawing>
      </w:r>
      <w:r w:rsidR="00E72117">
        <w:rPr>
          <w:noProof/>
        </w:rPr>
        <w:drawing>
          <wp:anchor distT="0" distB="0" distL="114300" distR="114300" simplePos="0" relativeHeight="251658251" behindDoc="0" locked="0" layoutInCell="1" allowOverlap="1" wp14:anchorId="0BC99313" wp14:editId="61617681">
            <wp:simplePos x="0" y="0"/>
            <wp:positionH relativeFrom="margin">
              <wp:align>right</wp:align>
            </wp:positionH>
            <wp:positionV relativeFrom="paragraph">
              <wp:posOffset>6871970</wp:posOffset>
            </wp:positionV>
            <wp:extent cx="5760085" cy="1620000"/>
            <wp:effectExtent l="0" t="0" r="0" b="0"/>
            <wp:wrapSquare wrapText="bothSides"/>
            <wp:docPr id="2042489515" name="Grafiek 1">
              <a:extLst xmlns:a="http://schemas.openxmlformats.org/drawingml/2006/main">
                <a:ext uri="{FF2B5EF4-FFF2-40B4-BE49-F238E27FC236}">
                  <a16:creationId xmlns:a16="http://schemas.microsoft.com/office/drawing/2014/main" id="{D844A35E-6520-4393-844F-CEFFCC64174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14:sizeRelH relativeFrom="page">
              <wp14:pctWidth>0</wp14:pctWidth>
            </wp14:sizeRelH>
            <wp14:sizeRelV relativeFrom="page">
              <wp14:pctHeight>0</wp14:pctHeight>
            </wp14:sizeRelV>
          </wp:anchor>
        </w:drawing>
      </w:r>
      <w:r w:rsidR="00365640">
        <w:rPr>
          <w:noProof/>
        </w:rPr>
        <w:drawing>
          <wp:anchor distT="0" distB="0" distL="114300" distR="114300" simplePos="0" relativeHeight="251658255" behindDoc="0" locked="0" layoutInCell="1" allowOverlap="1" wp14:anchorId="147E9E2C" wp14:editId="617F6293">
            <wp:simplePos x="0" y="0"/>
            <wp:positionH relativeFrom="margin">
              <wp:align>left</wp:align>
            </wp:positionH>
            <wp:positionV relativeFrom="paragraph">
              <wp:posOffset>2186821</wp:posOffset>
            </wp:positionV>
            <wp:extent cx="5760000" cy="1620000"/>
            <wp:effectExtent l="0" t="0" r="0" b="0"/>
            <wp:wrapSquare wrapText="bothSides"/>
            <wp:docPr id="980383287" name="Grafiek 1">
              <a:extLst xmlns:a="http://schemas.openxmlformats.org/drawingml/2006/main">
                <a:ext uri="{FF2B5EF4-FFF2-40B4-BE49-F238E27FC236}">
                  <a16:creationId xmlns:a16="http://schemas.microsoft.com/office/drawing/2014/main" id="{19214757-E0F8-49B4-A859-DF4BDC211A6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14:sizeRelH relativeFrom="page">
              <wp14:pctWidth>0</wp14:pctWidth>
            </wp14:sizeRelH>
            <wp14:sizeRelV relativeFrom="page">
              <wp14:pctHeight>0</wp14:pctHeight>
            </wp14:sizeRelV>
          </wp:anchor>
        </w:drawing>
      </w:r>
      <w:r w:rsidR="003958B3" w:rsidRPr="00920957">
        <w:rPr>
          <w:rFonts w:cstheme="minorHAnsi"/>
          <w:color w:val="2C307E"/>
        </w:rPr>
        <w:t>7</w:t>
      </w:r>
      <w:r w:rsidR="00920957" w:rsidRPr="00920957">
        <w:rPr>
          <w:rFonts w:cstheme="minorHAnsi"/>
          <w:color w:val="2C307E"/>
        </w:rPr>
        <w:t>8</w:t>
      </w:r>
      <w:r w:rsidR="003958B3" w:rsidRPr="00920957">
        <w:rPr>
          <w:rFonts w:cstheme="minorHAnsi"/>
          <w:color w:val="2C307E"/>
        </w:rPr>
        <w:t>% van de EV-rijders geeft aan een vast moment te hebben waarop gestart wordt met laden, en 7</w:t>
      </w:r>
      <w:r w:rsidR="00920957">
        <w:rPr>
          <w:rFonts w:cstheme="minorHAnsi"/>
          <w:color w:val="2C307E"/>
        </w:rPr>
        <w:t>7</w:t>
      </w:r>
      <w:r w:rsidR="003958B3" w:rsidRPr="00920957">
        <w:rPr>
          <w:rFonts w:cstheme="minorHAnsi"/>
          <w:color w:val="2C307E"/>
        </w:rPr>
        <w:t>% geeft aan dat er op vaste tijden wordt gestopt met laden.</w:t>
      </w:r>
      <w:r w:rsidR="003958B3" w:rsidRPr="007658B5">
        <w:rPr>
          <w:rFonts w:cstheme="minorHAnsi"/>
          <w:color w:val="2C307E"/>
        </w:rPr>
        <w:t xml:space="preserve"> </w:t>
      </w:r>
      <w:r w:rsidR="007340F2">
        <w:rPr>
          <w:rFonts w:cstheme="minorHAnsi"/>
          <w:color w:val="2C307E"/>
        </w:rPr>
        <w:t>Bij thuisladers zien we een verschuiving in de starttijden ten opzichte van vorig</w:t>
      </w:r>
      <w:r w:rsidR="009B4A7A">
        <w:rPr>
          <w:rFonts w:cstheme="minorHAnsi"/>
          <w:color w:val="2C307E"/>
        </w:rPr>
        <w:t>e</w:t>
      </w:r>
      <w:r w:rsidR="007340F2">
        <w:rPr>
          <w:rFonts w:cstheme="minorHAnsi"/>
          <w:color w:val="2C307E"/>
        </w:rPr>
        <w:t xml:space="preserve"> jar</w:t>
      </w:r>
      <w:r w:rsidR="009B4A7A">
        <w:rPr>
          <w:rFonts w:cstheme="minorHAnsi"/>
          <w:color w:val="2C307E"/>
        </w:rPr>
        <w:t>en</w:t>
      </w:r>
      <w:r w:rsidR="007340F2">
        <w:rPr>
          <w:rFonts w:cstheme="minorHAnsi"/>
          <w:color w:val="2C307E"/>
        </w:rPr>
        <w:t xml:space="preserve">. Er starten relatief </w:t>
      </w:r>
      <w:r w:rsidR="001E7B3E">
        <w:rPr>
          <w:rFonts w:cstheme="minorHAnsi"/>
          <w:color w:val="2C307E"/>
        </w:rPr>
        <w:t xml:space="preserve">meer sessies overdag (tussen </w:t>
      </w:r>
      <w:r w:rsidR="00206AAD">
        <w:rPr>
          <w:rFonts w:cstheme="minorHAnsi"/>
          <w:color w:val="2C307E"/>
        </w:rPr>
        <w:t>9:00-13:00</w:t>
      </w:r>
      <w:r w:rsidR="00E2009E">
        <w:rPr>
          <w:rFonts w:cstheme="minorHAnsi"/>
          <w:color w:val="2C307E"/>
        </w:rPr>
        <w:t>u</w:t>
      </w:r>
      <w:r w:rsidR="00206AAD">
        <w:rPr>
          <w:rFonts w:cstheme="minorHAnsi"/>
          <w:color w:val="2C307E"/>
        </w:rPr>
        <w:t>) en minder ’s avonds (tussen 17:00-</w:t>
      </w:r>
      <w:r w:rsidR="00CE4428">
        <w:rPr>
          <w:rFonts w:cstheme="minorHAnsi"/>
          <w:color w:val="2C307E"/>
        </w:rPr>
        <w:t>23:00</w:t>
      </w:r>
      <w:r w:rsidR="00E2009E">
        <w:rPr>
          <w:rFonts w:cstheme="minorHAnsi"/>
          <w:color w:val="2C307E"/>
        </w:rPr>
        <w:t>u</w:t>
      </w:r>
      <w:r w:rsidR="00CE4428">
        <w:rPr>
          <w:rFonts w:cstheme="minorHAnsi"/>
          <w:color w:val="2C307E"/>
        </w:rPr>
        <w:t>) daarnaast zien we ook meer sessies eindigen tussen 16:00-17:00</w:t>
      </w:r>
      <w:r w:rsidR="00E2009E">
        <w:rPr>
          <w:rFonts w:cstheme="minorHAnsi"/>
          <w:color w:val="2C307E"/>
        </w:rPr>
        <w:t>u</w:t>
      </w:r>
      <w:r w:rsidR="00EA0A03">
        <w:rPr>
          <w:rFonts w:cstheme="minorHAnsi"/>
          <w:color w:val="2C307E"/>
        </w:rPr>
        <w:t xml:space="preserve"> in vergelijking met vorig jaar. </w:t>
      </w:r>
    </w:p>
    <w:p w14:paraId="29A813C7" w14:textId="10DF1A6B" w:rsidR="000D37BF" w:rsidRDefault="00F31A11" w:rsidP="00F133E6">
      <w:pPr>
        <w:jc w:val="both"/>
      </w:pPr>
      <w:r w:rsidRPr="00AE7E69">
        <w:rPr>
          <w:rFonts w:cstheme="minorHAnsi"/>
          <w:color w:val="2C307E"/>
        </w:rPr>
        <w:t>4</w:t>
      </w:r>
      <w:r w:rsidR="00BF2AAB">
        <w:rPr>
          <w:rFonts w:cstheme="minorHAnsi"/>
          <w:color w:val="2C307E"/>
        </w:rPr>
        <w:t>1</w:t>
      </w:r>
      <w:r w:rsidRPr="00AE7E69">
        <w:rPr>
          <w:rFonts w:cstheme="minorHAnsi"/>
          <w:color w:val="2C307E"/>
        </w:rPr>
        <w:t xml:space="preserve">% van de thuisladers geeft aan te laden met dynamische stroomtarieven, dit heeft invloed op het laadpatroon. </w:t>
      </w:r>
      <w:r w:rsidRPr="007340F2">
        <w:rPr>
          <w:rFonts w:cstheme="minorHAnsi"/>
          <w:color w:val="2C307E"/>
        </w:rPr>
        <w:t>29% van de thuisladers met dynamische stroomtarieven geeft aan geen vast startmoment te hebben</w:t>
      </w:r>
      <w:r>
        <w:rPr>
          <w:rFonts w:cstheme="minorHAnsi"/>
          <w:color w:val="2C307E"/>
        </w:rPr>
        <w:t xml:space="preserve">, tegenover 17% van de groep zonder </w:t>
      </w:r>
      <w:r w:rsidRPr="007340F2">
        <w:rPr>
          <w:rFonts w:cstheme="minorHAnsi"/>
          <w:color w:val="2C307E"/>
        </w:rPr>
        <w:t>dynamisch energiecontract</w:t>
      </w:r>
      <w:r>
        <w:rPr>
          <w:rFonts w:cstheme="minorHAnsi"/>
          <w:color w:val="2C307E"/>
        </w:rPr>
        <w:t>.</w:t>
      </w:r>
      <w:r w:rsidR="00365640">
        <w:rPr>
          <w:rFonts w:cstheme="minorHAnsi"/>
          <w:color w:val="2C307E"/>
        </w:rPr>
        <w:t xml:space="preserve"> </w:t>
      </w:r>
      <w:r w:rsidR="00365640" w:rsidRPr="0013690F">
        <w:rPr>
          <w:rFonts w:cstheme="minorHAnsi"/>
          <w:bCs/>
          <w:color w:val="2C307E"/>
        </w:rPr>
        <w:t xml:space="preserve">Voor de niet thuislader </w:t>
      </w:r>
      <w:r w:rsidR="00365640">
        <w:rPr>
          <w:rFonts w:cstheme="minorHAnsi"/>
          <w:bCs/>
          <w:color w:val="2C307E"/>
        </w:rPr>
        <w:t xml:space="preserve">is er dit jaar meer spreiding in zowel het starten als het stoppen. Er </w:t>
      </w:r>
      <w:r w:rsidR="00365640" w:rsidRPr="0013690F">
        <w:rPr>
          <w:rFonts w:cstheme="minorHAnsi"/>
          <w:bCs/>
          <w:color w:val="2C307E"/>
        </w:rPr>
        <w:t>starten minder sessies tussen 17:00-19:00</w:t>
      </w:r>
      <w:r w:rsidR="00365640">
        <w:rPr>
          <w:rFonts w:cstheme="minorHAnsi"/>
          <w:bCs/>
          <w:color w:val="2C307E"/>
        </w:rPr>
        <w:t xml:space="preserve">u. In plaats daarvan starten steeds meer sessies in de ochtend en begin van de middag (7:00-13:00u). </w:t>
      </w:r>
      <w:r w:rsidR="00365640">
        <w:rPr>
          <w:rFonts w:cstheme="minorHAnsi"/>
          <w:color w:val="2C307E"/>
        </w:rPr>
        <w:t xml:space="preserve">Het lijkt erop dat zowel de thuislader als de niet thuislader de spits op het elektriciteitsnet (16:00-21:00u) mijdt. </w:t>
      </w:r>
      <w:bookmarkStart w:id="28" w:name="_Toc143700617"/>
      <w:bookmarkStart w:id="29" w:name="_Toc176513691"/>
      <w:bookmarkStart w:id="30" w:name="_Toc176537570"/>
    </w:p>
    <w:p w14:paraId="5F9DE76A" w14:textId="194970C4" w:rsidR="0094579C" w:rsidRPr="004B4173" w:rsidRDefault="0094579C" w:rsidP="00B826F0">
      <w:pPr>
        <w:pStyle w:val="Kop2"/>
        <w:jc w:val="both"/>
      </w:pPr>
      <w:bookmarkStart w:id="31" w:name="_Toc208498173"/>
      <w:bookmarkStart w:id="32" w:name="_Toc209710044"/>
      <w:r w:rsidRPr="004B4173">
        <w:lastRenderedPageBreak/>
        <w:t>Laden in het buitenland</w:t>
      </w:r>
      <w:bookmarkEnd w:id="28"/>
      <w:bookmarkEnd w:id="29"/>
      <w:bookmarkEnd w:id="30"/>
      <w:bookmarkEnd w:id="31"/>
      <w:bookmarkEnd w:id="32"/>
    </w:p>
    <w:p w14:paraId="47C3B92E" w14:textId="1665001C" w:rsidR="0094579C" w:rsidRDefault="00E17182" w:rsidP="00A26094">
      <w:pPr>
        <w:spacing w:after="0" w:line="276" w:lineRule="auto"/>
        <w:jc w:val="both"/>
        <w:rPr>
          <w:rFonts w:eastAsia="Calibri" w:cstheme="minorHAnsi"/>
          <w:b/>
          <w:bCs/>
          <w:color w:val="2C307E"/>
        </w:rPr>
      </w:pPr>
      <w:r w:rsidRPr="004B4173">
        <w:rPr>
          <w:rFonts w:eastAsia="Calibri" w:cstheme="minorHAnsi"/>
          <w:b/>
          <w:bCs/>
          <w:color w:val="2C307E"/>
        </w:rPr>
        <w:t>78</w:t>
      </w:r>
      <w:r w:rsidR="00EA2AE6" w:rsidRPr="004B4173">
        <w:rPr>
          <w:rFonts w:eastAsia="Calibri" w:cstheme="minorHAnsi"/>
          <w:b/>
          <w:bCs/>
          <w:color w:val="2C307E"/>
        </w:rPr>
        <w:t>%</w:t>
      </w:r>
      <w:r w:rsidR="0094579C" w:rsidRPr="004B4173">
        <w:rPr>
          <w:rFonts w:eastAsia="Calibri" w:cstheme="minorHAnsi"/>
          <w:b/>
          <w:bCs/>
          <w:color w:val="2C307E"/>
        </w:rPr>
        <w:t xml:space="preserve"> van de EV-rijders gaat weleens met hun auto naar het buitenland (voor vakantie of werk</w:t>
      </w:r>
      <w:r w:rsidR="001B3FDF" w:rsidRPr="004B4173">
        <w:rPr>
          <w:rFonts w:eastAsia="Calibri" w:cstheme="minorHAnsi"/>
          <w:b/>
          <w:bCs/>
          <w:color w:val="2C307E"/>
        </w:rPr>
        <w:t>)</w:t>
      </w:r>
      <w:r w:rsidR="00E2009E">
        <w:rPr>
          <w:rFonts w:eastAsia="Calibri" w:cstheme="minorHAnsi"/>
          <w:b/>
          <w:bCs/>
          <w:color w:val="2C307E"/>
        </w:rPr>
        <w:t>.</w:t>
      </w:r>
      <w:r w:rsidR="00EA2AE6" w:rsidRPr="004B4173">
        <w:rPr>
          <w:rFonts w:eastAsia="Calibri" w:cstheme="minorHAnsi"/>
          <w:b/>
          <w:bCs/>
          <w:color w:val="2C307E"/>
        </w:rPr>
        <w:t xml:space="preserve"> [N=</w:t>
      </w:r>
      <w:r w:rsidR="001B3FDF" w:rsidRPr="004B4173">
        <w:rPr>
          <w:rFonts w:eastAsia="Calibri" w:cstheme="minorHAnsi"/>
          <w:b/>
          <w:bCs/>
          <w:color w:val="2C307E"/>
        </w:rPr>
        <w:t>2.017]</w:t>
      </w:r>
    </w:p>
    <w:p w14:paraId="5568DB6A" w14:textId="4F11D4C3" w:rsidR="00571CCA" w:rsidRPr="004B4173" w:rsidRDefault="0094579C" w:rsidP="00A26094">
      <w:pPr>
        <w:spacing w:after="0" w:line="276" w:lineRule="auto"/>
        <w:jc w:val="both"/>
        <w:rPr>
          <w:rFonts w:eastAsia="Calibri" w:cstheme="minorHAnsi"/>
          <w:color w:val="2C307E"/>
        </w:rPr>
      </w:pPr>
      <w:r w:rsidRPr="004B4173">
        <w:rPr>
          <w:rFonts w:eastAsia="Calibri" w:cstheme="minorHAnsi"/>
          <w:color w:val="2C307E"/>
        </w:rPr>
        <w:t>Dat is een toename ten opzichte van vorig jaar, toen gaf 6</w:t>
      </w:r>
      <w:r w:rsidR="00571CCA" w:rsidRPr="004B4173">
        <w:rPr>
          <w:rFonts w:eastAsia="Calibri" w:cstheme="minorHAnsi"/>
          <w:color w:val="2C307E"/>
        </w:rPr>
        <w:t>9</w:t>
      </w:r>
      <w:r w:rsidRPr="004B4173">
        <w:rPr>
          <w:rFonts w:eastAsia="Calibri" w:cstheme="minorHAnsi"/>
          <w:color w:val="2C307E"/>
        </w:rPr>
        <w:t xml:space="preserve">% aan weleens met de auto naar het buitenland te gaan. </w:t>
      </w:r>
    </w:p>
    <w:p w14:paraId="17781B5E" w14:textId="677B7EB6" w:rsidR="00571CCA" w:rsidRPr="004B4173" w:rsidRDefault="004B0D0A" w:rsidP="00A26094">
      <w:pPr>
        <w:spacing w:after="0" w:line="276" w:lineRule="auto"/>
        <w:jc w:val="both"/>
        <w:rPr>
          <w:rFonts w:eastAsia="Calibri" w:cstheme="minorHAnsi"/>
          <w:color w:val="2C307E"/>
        </w:rPr>
      </w:pPr>
      <w:r>
        <w:rPr>
          <w:noProof/>
        </w:rPr>
        <w:drawing>
          <wp:inline distT="0" distB="0" distL="0" distR="0" wp14:anchorId="07B90A13" wp14:editId="493C655C">
            <wp:extent cx="2655570" cy="1714500"/>
            <wp:effectExtent l="0" t="0" r="0" b="0"/>
            <wp:docPr id="2028416497" name="Grafiek 1">
              <a:extLst xmlns:a="http://schemas.openxmlformats.org/drawingml/2006/main">
                <a:ext uri="{FF2B5EF4-FFF2-40B4-BE49-F238E27FC236}">
                  <a16:creationId xmlns:a16="http://schemas.microsoft.com/office/drawing/2014/main" id="{8D3F625B-71CC-82A0-D677-6649329D38B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3AA3F43A" w14:textId="277704C6" w:rsidR="0094579C" w:rsidRPr="004B4173" w:rsidRDefault="0094579C" w:rsidP="00A26094">
      <w:pPr>
        <w:spacing w:after="0" w:line="276" w:lineRule="auto"/>
        <w:jc w:val="both"/>
        <w:rPr>
          <w:rFonts w:eastAsia="Calibri" w:cstheme="minorHAnsi"/>
          <w:color w:val="2C307E"/>
        </w:rPr>
      </w:pPr>
      <w:r w:rsidRPr="004B4173">
        <w:rPr>
          <w:rFonts w:eastAsia="Calibri" w:cstheme="minorHAnsi"/>
          <w:color w:val="2C307E"/>
        </w:rPr>
        <w:t xml:space="preserve">Slechts </w:t>
      </w:r>
      <w:r w:rsidR="001B3FDF" w:rsidRPr="004B4173">
        <w:rPr>
          <w:rFonts w:eastAsia="Calibri" w:cstheme="minorHAnsi"/>
          <w:color w:val="2C307E"/>
        </w:rPr>
        <w:t>8</w:t>
      </w:r>
      <w:r w:rsidRPr="004B4173">
        <w:rPr>
          <w:rFonts w:eastAsia="Calibri" w:cstheme="minorHAnsi"/>
          <w:color w:val="2C307E"/>
        </w:rPr>
        <w:t xml:space="preserve">% zegt de benzineauto te gebruiken om naar het buitenland te gaan, een </w:t>
      </w:r>
      <w:r w:rsidR="00AB53BD">
        <w:rPr>
          <w:rFonts w:eastAsia="Calibri" w:cstheme="minorHAnsi"/>
          <w:color w:val="2C307E"/>
        </w:rPr>
        <w:t xml:space="preserve">bijna even grote </w:t>
      </w:r>
      <w:r w:rsidRPr="004B4173">
        <w:rPr>
          <w:rFonts w:eastAsia="Calibri" w:cstheme="minorHAnsi"/>
          <w:color w:val="2C307E"/>
        </w:rPr>
        <w:t>groep heeft de kans nog niet gehad om naar het buitenland te gaan (</w:t>
      </w:r>
      <w:r w:rsidR="009D392F" w:rsidRPr="004B4173">
        <w:rPr>
          <w:rFonts w:eastAsia="Calibri" w:cstheme="minorHAnsi"/>
          <w:color w:val="2C307E"/>
        </w:rPr>
        <w:t>7</w:t>
      </w:r>
      <w:r w:rsidRPr="004B4173">
        <w:rPr>
          <w:rFonts w:eastAsia="Calibri" w:cstheme="minorHAnsi"/>
          <w:color w:val="2C307E"/>
        </w:rPr>
        <w:t xml:space="preserve">%). </w:t>
      </w:r>
      <w:r w:rsidR="009D392F" w:rsidRPr="004B4173">
        <w:rPr>
          <w:rFonts w:eastAsia="Calibri" w:cstheme="minorHAnsi"/>
          <w:color w:val="2C307E"/>
        </w:rPr>
        <w:t>3</w:t>
      </w:r>
      <w:r w:rsidRPr="004B4173">
        <w:rPr>
          <w:rFonts w:eastAsia="Calibri" w:cstheme="minorHAnsi"/>
          <w:color w:val="2C307E"/>
        </w:rPr>
        <w:t>% gaat met een ander vervoersmiddel de landsgrenzen over.</w:t>
      </w:r>
    </w:p>
    <w:p w14:paraId="4ED43639" w14:textId="291C076F" w:rsidR="00337771" w:rsidRPr="002C1A66" w:rsidRDefault="00337771" w:rsidP="00A26094">
      <w:pPr>
        <w:spacing w:after="0" w:line="276" w:lineRule="auto"/>
        <w:jc w:val="both"/>
        <w:rPr>
          <w:rFonts w:eastAsia="Calibri" w:cstheme="minorHAnsi"/>
          <w:color w:val="2C307E"/>
          <w:highlight w:val="yellow"/>
        </w:rPr>
      </w:pPr>
      <w:r>
        <w:rPr>
          <w:noProof/>
        </w:rPr>
        <w:drawing>
          <wp:inline distT="0" distB="0" distL="0" distR="0" wp14:anchorId="33560238" wp14:editId="49C6FDB2">
            <wp:extent cx="2655570" cy="3686175"/>
            <wp:effectExtent l="0" t="0" r="0" b="0"/>
            <wp:docPr id="497127206" name="Grafiek 1">
              <a:extLst xmlns:a="http://schemas.openxmlformats.org/drawingml/2006/main">
                <a:ext uri="{FF2B5EF4-FFF2-40B4-BE49-F238E27FC236}">
                  <a16:creationId xmlns:a16="http://schemas.microsoft.com/office/drawing/2014/main" id="{2B5D10AC-3031-461A-AB8F-CBE3EE1546D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57683A88" w14:textId="77777777" w:rsidR="004A6D7E" w:rsidRDefault="004A6D7E" w:rsidP="0094579C">
      <w:pPr>
        <w:spacing w:after="0" w:line="240" w:lineRule="auto"/>
        <w:jc w:val="both"/>
        <w:rPr>
          <w:rFonts w:eastAsia="Calibri"/>
          <w:b/>
          <w:bCs/>
          <w:color w:val="2C307E"/>
        </w:rPr>
      </w:pPr>
    </w:p>
    <w:p w14:paraId="3FA90F04" w14:textId="77777777" w:rsidR="004A6D7E" w:rsidRDefault="004A6D7E" w:rsidP="0094579C">
      <w:pPr>
        <w:spacing w:after="0" w:line="240" w:lineRule="auto"/>
        <w:jc w:val="both"/>
        <w:rPr>
          <w:rFonts w:eastAsia="Calibri"/>
          <w:b/>
          <w:bCs/>
          <w:color w:val="2C307E"/>
        </w:rPr>
      </w:pPr>
    </w:p>
    <w:p w14:paraId="6861597F" w14:textId="77777777" w:rsidR="004A6D7E" w:rsidRDefault="004A6D7E" w:rsidP="0094579C">
      <w:pPr>
        <w:spacing w:after="0" w:line="240" w:lineRule="auto"/>
        <w:jc w:val="both"/>
        <w:rPr>
          <w:rFonts w:eastAsia="Calibri"/>
          <w:b/>
          <w:bCs/>
          <w:color w:val="2C307E"/>
        </w:rPr>
      </w:pPr>
    </w:p>
    <w:p w14:paraId="1470B1CD" w14:textId="77777777" w:rsidR="00697070" w:rsidRDefault="00697070" w:rsidP="0094579C">
      <w:pPr>
        <w:spacing w:after="0" w:line="240" w:lineRule="auto"/>
        <w:jc w:val="both"/>
        <w:rPr>
          <w:rFonts w:eastAsia="Calibri"/>
          <w:b/>
          <w:bCs/>
          <w:color w:val="2C307E"/>
        </w:rPr>
      </w:pPr>
    </w:p>
    <w:p w14:paraId="3BDB5E9C" w14:textId="77777777" w:rsidR="00697070" w:rsidRDefault="00697070" w:rsidP="0094579C">
      <w:pPr>
        <w:spacing w:after="0" w:line="240" w:lineRule="auto"/>
        <w:jc w:val="both"/>
        <w:rPr>
          <w:rFonts w:eastAsia="Calibri"/>
          <w:b/>
          <w:bCs/>
          <w:color w:val="2C307E"/>
        </w:rPr>
      </w:pPr>
    </w:p>
    <w:p w14:paraId="6DDBAB40" w14:textId="4261C550" w:rsidR="00697070" w:rsidRDefault="00851FAA" w:rsidP="0094579C">
      <w:pPr>
        <w:spacing w:after="0" w:line="240" w:lineRule="auto"/>
        <w:jc w:val="both"/>
        <w:rPr>
          <w:rFonts w:eastAsia="Calibri"/>
          <w:b/>
          <w:bCs/>
          <w:color w:val="2C307E"/>
        </w:rPr>
      </w:pPr>
      <w:r w:rsidRPr="00851FAA">
        <w:rPr>
          <w:rFonts w:eastAsia="Calibri"/>
          <w:b/>
          <w:bCs/>
          <w:color w:val="2C307E"/>
        </w:rPr>
        <w:t xml:space="preserve">De meeste ritten naar het buitenland zijn </w:t>
      </w:r>
    </w:p>
    <w:p w14:paraId="430A9899" w14:textId="1F45AB37" w:rsidR="0094579C" w:rsidRPr="00851FAA" w:rsidRDefault="00851FAA" w:rsidP="0094579C">
      <w:pPr>
        <w:spacing w:after="0" w:line="240" w:lineRule="auto"/>
        <w:jc w:val="both"/>
        <w:rPr>
          <w:rFonts w:eastAsia="Calibri"/>
          <w:b/>
          <w:bCs/>
          <w:color w:val="2C307E"/>
        </w:rPr>
      </w:pPr>
      <w:r w:rsidRPr="00851FAA">
        <w:rPr>
          <w:rFonts w:eastAsia="Calibri"/>
          <w:b/>
          <w:bCs/>
          <w:color w:val="2C307E"/>
        </w:rPr>
        <w:t>verder dan 500 km.</w:t>
      </w:r>
      <w:r w:rsidR="003D5427">
        <w:rPr>
          <w:rFonts w:eastAsia="Calibri"/>
          <w:b/>
          <w:bCs/>
          <w:color w:val="2C307E"/>
        </w:rPr>
        <w:t xml:space="preserve"> [N=1.571]</w:t>
      </w:r>
    </w:p>
    <w:p w14:paraId="7D803AD3" w14:textId="3CE9BE2A" w:rsidR="00851FAA" w:rsidRDefault="00851FAA" w:rsidP="0094579C">
      <w:pPr>
        <w:spacing w:after="0" w:line="240" w:lineRule="auto"/>
        <w:jc w:val="both"/>
        <w:rPr>
          <w:rFonts w:eastAsia="Calibri"/>
          <w:color w:val="2C307E"/>
        </w:rPr>
      </w:pPr>
      <w:r>
        <w:rPr>
          <w:rFonts w:eastAsia="Calibri"/>
          <w:color w:val="2C307E"/>
        </w:rPr>
        <w:t xml:space="preserve">69% van de EV-rijders maakt ritten waar men twee keer of vaker moet laden onderweg. </w:t>
      </w:r>
    </w:p>
    <w:p w14:paraId="515F4E42" w14:textId="5EB6E459" w:rsidR="00350A6B" w:rsidRDefault="00350A6B" w:rsidP="00A26094">
      <w:pPr>
        <w:spacing w:after="0" w:line="276" w:lineRule="auto"/>
        <w:jc w:val="both"/>
        <w:rPr>
          <w:rFonts w:eastAsia="Calibri"/>
          <w:b/>
          <w:color w:val="2C307E"/>
          <w:highlight w:val="yellow"/>
        </w:rPr>
      </w:pPr>
      <w:r>
        <w:rPr>
          <w:noProof/>
        </w:rPr>
        <w:drawing>
          <wp:inline distT="0" distB="0" distL="0" distR="0" wp14:anchorId="2963218B" wp14:editId="7A0D4C69">
            <wp:extent cx="2790825" cy="2428875"/>
            <wp:effectExtent l="0" t="0" r="0" b="0"/>
            <wp:docPr id="1729951137" name="Grafiek 1">
              <a:extLst xmlns:a="http://schemas.openxmlformats.org/drawingml/2006/main">
                <a:ext uri="{FF2B5EF4-FFF2-40B4-BE49-F238E27FC236}">
                  <a16:creationId xmlns:a16="http://schemas.microsoft.com/office/drawing/2014/main" id="{B3257E51-7131-441F-9F5C-311C3BEAB0A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1CF8A21A" w14:textId="0E60128E" w:rsidR="003B52D4" w:rsidRPr="007832C3" w:rsidRDefault="003B52D4" w:rsidP="00A26094">
      <w:pPr>
        <w:spacing w:after="0" w:line="276" w:lineRule="auto"/>
        <w:jc w:val="both"/>
        <w:rPr>
          <w:rFonts w:eastAsia="Calibri"/>
          <w:b/>
          <w:color w:val="2C307E"/>
        </w:rPr>
      </w:pPr>
      <w:r w:rsidRPr="007832C3">
        <w:rPr>
          <w:rFonts w:eastAsia="Calibri"/>
          <w:b/>
          <w:color w:val="2C307E"/>
        </w:rPr>
        <w:t xml:space="preserve">Met een beperkt </w:t>
      </w:r>
      <w:r w:rsidR="007A0A06">
        <w:rPr>
          <w:rFonts w:eastAsia="Calibri"/>
          <w:b/>
          <w:color w:val="2C307E"/>
        </w:rPr>
        <w:t>bereik</w:t>
      </w:r>
      <w:r w:rsidRPr="007832C3">
        <w:rPr>
          <w:rFonts w:eastAsia="Calibri"/>
          <w:b/>
          <w:color w:val="2C307E"/>
        </w:rPr>
        <w:t xml:space="preserve"> (100-199 km) gaat nog steeds 4</w:t>
      </w:r>
      <w:r w:rsidR="007832C3" w:rsidRPr="007832C3">
        <w:rPr>
          <w:rFonts w:eastAsia="Calibri"/>
          <w:b/>
          <w:color w:val="2C307E"/>
        </w:rPr>
        <w:t>1</w:t>
      </w:r>
      <w:r w:rsidRPr="007832C3">
        <w:rPr>
          <w:rFonts w:eastAsia="Calibri"/>
          <w:b/>
          <w:color w:val="2C307E"/>
        </w:rPr>
        <w:t>% met de elektrische auto naar het buitenland op vakantie</w:t>
      </w:r>
      <w:r w:rsidR="00AB0F67" w:rsidRPr="007832C3">
        <w:rPr>
          <w:rFonts w:eastAsia="Calibri"/>
          <w:b/>
          <w:color w:val="2C307E"/>
        </w:rPr>
        <w:t>. [N=</w:t>
      </w:r>
      <w:r w:rsidR="007832C3" w:rsidRPr="007832C3">
        <w:rPr>
          <w:rFonts w:eastAsia="Calibri"/>
          <w:b/>
          <w:color w:val="2C307E"/>
        </w:rPr>
        <w:t>1.679]</w:t>
      </w:r>
    </w:p>
    <w:p w14:paraId="093320BB" w14:textId="46891520" w:rsidR="003B52D4" w:rsidRPr="007832C3" w:rsidRDefault="003B52D4" w:rsidP="00A26094">
      <w:pPr>
        <w:spacing w:after="0" w:line="276" w:lineRule="auto"/>
        <w:jc w:val="both"/>
        <w:rPr>
          <w:rFonts w:eastAsia="Calibri" w:cstheme="minorHAnsi"/>
          <w:color w:val="2C307E"/>
        </w:rPr>
      </w:pPr>
      <w:r w:rsidRPr="007832C3">
        <w:rPr>
          <w:rFonts w:eastAsia="Calibri" w:cstheme="minorHAnsi"/>
          <w:color w:val="2C307E"/>
        </w:rPr>
        <w:t xml:space="preserve">Hoe groter </w:t>
      </w:r>
      <w:r w:rsidR="007A0A06">
        <w:rPr>
          <w:rFonts w:eastAsia="Calibri" w:cstheme="minorHAnsi"/>
          <w:color w:val="2C307E"/>
        </w:rPr>
        <w:t>het bereik</w:t>
      </w:r>
      <w:r w:rsidRPr="007832C3">
        <w:rPr>
          <w:rFonts w:eastAsia="Calibri" w:cstheme="minorHAnsi"/>
          <w:color w:val="2C307E"/>
        </w:rPr>
        <w:t xml:space="preserve">, hoe groter het aandeel </w:t>
      </w:r>
      <w:r w:rsidR="00417887" w:rsidRPr="007832C3">
        <w:rPr>
          <w:rFonts w:eastAsia="Calibri" w:cstheme="minorHAnsi"/>
          <w:color w:val="2C307E"/>
        </w:rPr>
        <w:t>EV-rijders dat met de elektrische auto naar het buitenland gaat.</w:t>
      </w:r>
    </w:p>
    <w:p w14:paraId="63517DDC" w14:textId="504A8A6B" w:rsidR="003B52D4" w:rsidRPr="002C1A66" w:rsidRDefault="00737053" w:rsidP="0094579C">
      <w:pPr>
        <w:spacing w:after="0" w:line="240" w:lineRule="auto"/>
        <w:jc w:val="both"/>
        <w:rPr>
          <w:rFonts w:eastAsia="Calibri"/>
          <w:color w:val="2C307E"/>
          <w:highlight w:val="yellow"/>
        </w:rPr>
      </w:pPr>
      <w:r>
        <w:rPr>
          <w:noProof/>
        </w:rPr>
        <w:drawing>
          <wp:inline distT="0" distB="0" distL="0" distR="0" wp14:anchorId="56AD08AE" wp14:editId="69C96AA0">
            <wp:extent cx="2655570" cy="1809750"/>
            <wp:effectExtent l="0" t="0" r="0" b="0"/>
            <wp:docPr id="880265655" name="Grafiek 1">
              <a:extLst xmlns:a="http://schemas.openxmlformats.org/drawingml/2006/main">
                <a:ext uri="{FF2B5EF4-FFF2-40B4-BE49-F238E27FC236}">
                  <a16:creationId xmlns:a16="http://schemas.microsoft.com/office/drawing/2014/main" id="{6B6222E6-C859-43E1-8456-867680B6040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7CCE5231" w14:textId="77777777" w:rsidR="00697070" w:rsidRDefault="00697070" w:rsidP="00A26094">
      <w:pPr>
        <w:spacing w:after="0" w:line="276" w:lineRule="auto"/>
        <w:jc w:val="both"/>
        <w:rPr>
          <w:rFonts w:eastAsia="Calibri" w:cstheme="minorHAnsi"/>
          <w:b/>
          <w:bCs/>
          <w:color w:val="2C307E"/>
        </w:rPr>
      </w:pPr>
    </w:p>
    <w:p w14:paraId="22F37222" w14:textId="2389E977" w:rsidR="0094579C" w:rsidRPr="00EC5F8C" w:rsidRDefault="0094579C" w:rsidP="00A26094">
      <w:pPr>
        <w:spacing w:after="0" w:line="276" w:lineRule="auto"/>
        <w:jc w:val="both"/>
        <w:rPr>
          <w:rFonts w:eastAsia="Calibri" w:cstheme="minorHAnsi"/>
          <w:b/>
          <w:bCs/>
          <w:color w:val="2C307E"/>
        </w:rPr>
      </w:pPr>
      <w:r w:rsidRPr="00EC5F8C">
        <w:rPr>
          <w:rFonts w:eastAsia="Calibri" w:cstheme="minorHAnsi"/>
          <w:b/>
          <w:bCs/>
          <w:color w:val="2C307E"/>
        </w:rPr>
        <w:t xml:space="preserve">Tijdverlies door uitzoekwerk wordt als belangrijkste reden gegeven om niet met de elektrische auto op vakantie te gaan. </w:t>
      </w:r>
    </w:p>
    <w:p w14:paraId="706E54B2" w14:textId="463F9275" w:rsidR="0094579C" w:rsidRDefault="0094579C" w:rsidP="00A26094">
      <w:pPr>
        <w:spacing w:after="0" w:line="276" w:lineRule="auto"/>
        <w:jc w:val="both"/>
        <w:rPr>
          <w:rFonts w:eastAsia="Calibri" w:cstheme="minorHAnsi"/>
          <w:color w:val="2C307E"/>
        </w:rPr>
      </w:pPr>
      <w:r w:rsidRPr="00EC5F8C">
        <w:rPr>
          <w:rFonts w:eastAsia="Calibri" w:cstheme="minorHAnsi"/>
          <w:color w:val="2C307E"/>
        </w:rPr>
        <w:t>Dat kan zijn door het uitzoeken van waar je kunt laden onderweg, omrijden voor laden, of door laden zelf. 3</w:t>
      </w:r>
      <w:r w:rsidR="00EC5F8C">
        <w:rPr>
          <w:rFonts w:eastAsia="Calibri" w:cstheme="minorHAnsi"/>
          <w:color w:val="2C307E"/>
        </w:rPr>
        <w:t>3</w:t>
      </w:r>
      <w:r w:rsidRPr="00EC5F8C">
        <w:rPr>
          <w:rFonts w:eastAsia="Calibri" w:cstheme="minorHAnsi"/>
          <w:color w:val="2C307E"/>
        </w:rPr>
        <w:t>% van de elektrische rijders die niet met de elektrische auto op vakantie gaan geeft dit argument op. Opvallend is dat dit door slechts 1</w:t>
      </w:r>
      <w:r w:rsidR="00A268EF">
        <w:rPr>
          <w:rFonts w:eastAsia="Calibri" w:cstheme="minorHAnsi"/>
          <w:color w:val="2C307E"/>
        </w:rPr>
        <w:t>4</w:t>
      </w:r>
      <w:r w:rsidRPr="00EC5F8C">
        <w:rPr>
          <w:rFonts w:eastAsia="Calibri" w:cstheme="minorHAnsi"/>
          <w:color w:val="2C307E"/>
        </w:rPr>
        <w:t>% van de elektrische rijders die weleens met de elektrische auto op vakantie gaan daadwerkelijk als hinderlijk wordt ervaren</w:t>
      </w:r>
      <w:r w:rsidR="003D5427">
        <w:rPr>
          <w:rFonts w:eastAsia="Calibri" w:cstheme="minorHAnsi"/>
          <w:color w:val="2C307E"/>
        </w:rPr>
        <w:t>, en daarmee buiten de top 5 knelpunt</w:t>
      </w:r>
      <w:r w:rsidR="004A6D7E">
        <w:rPr>
          <w:rFonts w:eastAsia="Calibri" w:cstheme="minorHAnsi"/>
          <w:color w:val="2C307E"/>
        </w:rPr>
        <w:t>e</w:t>
      </w:r>
      <w:r w:rsidR="003D5427">
        <w:rPr>
          <w:rFonts w:eastAsia="Calibri" w:cstheme="minorHAnsi"/>
          <w:color w:val="2C307E"/>
        </w:rPr>
        <w:t>n valt</w:t>
      </w:r>
      <w:r w:rsidRPr="00EC5F8C">
        <w:rPr>
          <w:rFonts w:eastAsia="Calibri" w:cstheme="minorHAnsi"/>
          <w:color w:val="2C307E"/>
        </w:rPr>
        <w:t xml:space="preserve">. </w:t>
      </w:r>
    </w:p>
    <w:p w14:paraId="4098BF6E" w14:textId="37C44AD7" w:rsidR="0094579C" w:rsidRPr="00441669" w:rsidRDefault="00455FE9" w:rsidP="00A26094">
      <w:pPr>
        <w:spacing w:after="0" w:line="276" w:lineRule="auto"/>
        <w:jc w:val="both"/>
        <w:rPr>
          <w:rFonts w:eastAsia="Calibri"/>
          <w:color w:val="2C307E"/>
        </w:rPr>
      </w:pPr>
      <w:r>
        <w:rPr>
          <w:rFonts w:eastAsia="Calibri"/>
          <w:b/>
          <w:bCs/>
          <w:color w:val="2C307E"/>
        </w:rPr>
        <w:lastRenderedPageBreak/>
        <w:t>40</w:t>
      </w:r>
      <w:r w:rsidR="7C2D6A88" w:rsidRPr="00441669">
        <w:rPr>
          <w:rFonts w:eastAsia="Calibri"/>
          <w:b/>
          <w:bCs/>
          <w:color w:val="2C307E"/>
        </w:rPr>
        <w:t>%</w:t>
      </w:r>
      <w:r w:rsidR="0094579C" w:rsidRPr="00441669">
        <w:rPr>
          <w:rFonts w:eastAsia="Calibri"/>
          <w:b/>
          <w:color w:val="2C307E"/>
        </w:rPr>
        <w:t xml:space="preserve"> ervaart weleens knelpunten bij het laden in het buitenland</w:t>
      </w:r>
      <w:r w:rsidR="008675B6" w:rsidRPr="00441669">
        <w:rPr>
          <w:rFonts w:eastAsia="Calibri"/>
          <w:b/>
          <w:color w:val="2C307E"/>
        </w:rPr>
        <w:t>.</w:t>
      </w:r>
      <w:r w:rsidR="0094579C" w:rsidRPr="00441669">
        <w:rPr>
          <w:rFonts w:eastAsia="Calibri"/>
          <w:b/>
          <w:color w:val="2C307E"/>
        </w:rPr>
        <w:t xml:space="preserve"> [N=</w:t>
      </w:r>
      <w:r w:rsidR="00441669" w:rsidRPr="00441669">
        <w:rPr>
          <w:rFonts w:eastAsia="Calibri"/>
          <w:b/>
          <w:color w:val="2C307E"/>
        </w:rPr>
        <w:t>1.424</w:t>
      </w:r>
      <w:r w:rsidR="0094579C" w:rsidRPr="00441669">
        <w:rPr>
          <w:rFonts w:eastAsia="Calibri"/>
          <w:b/>
          <w:color w:val="2C307E"/>
        </w:rPr>
        <w:t>]</w:t>
      </w:r>
      <w:r w:rsidR="0094579C" w:rsidRPr="00441669">
        <w:rPr>
          <w:rFonts w:eastAsia="Calibri"/>
          <w:color w:val="2C307E"/>
        </w:rPr>
        <w:t xml:space="preserve"> </w:t>
      </w:r>
    </w:p>
    <w:p w14:paraId="3EF4BC06" w14:textId="03434F24" w:rsidR="0094579C" w:rsidRPr="00441669" w:rsidRDefault="0094579C" w:rsidP="00A26094">
      <w:pPr>
        <w:spacing w:after="0" w:line="276" w:lineRule="auto"/>
        <w:jc w:val="both"/>
        <w:rPr>
          <w:rFonts w:eastAsia="Calibri" w:cstheme="minorHAnsi"/>
          <w:color w:val="2C307E"/>
        </w:rPr>
      </w:pPr>
      <w:r w:rsidRPr="00441669">
        <w:rPr>
          <w:rFonts w:eastAsia="Calibri" w:cstheme="minorHAnsi"/>
          <w:color w:val="2C307E"/>
        </w:rPr>
        <w:t xml:space="preserve">Dat is een </w:t>
      </w:r>
      <w:r w:rsidR="00441669" w:rsidRPr="00441669">
        <w:rPr>
          <w:rFonts w:eastAsia="Calibri" w:cstheme="minorHAnsi"/>
          <w:color w:val="2C307E"/>
        </w:rPr>
        <w:t>lichte toename</w:t>
      </w:r>
      <w:r w:rsidRPr="00441669">
        <w:rPr>
          <w:rFonts w:eastAsia="Calibri" w:cstheme="minorHAnsi"/>
          <w:color w:val="2C307E"/>
        </w:rPr>
        <w:t xml:space="preserve"> ten opzichte van vorig jaar, toen </w:t>
      </w:r>
      <w:r w:rsidR="00441669" w:rsidRPr="00441669">
        <w:rPr>
          <w:rFonts w:eastAsia="Calibri" w:cstheme="minorHAnsi"/>
          <w:color w:val="2C307E"/>
        </w:rPr>
        <w:t>38</w:t>
      </w:r>
      <w:r w:rsidRPr="00441669">
        <w:rPr>
          <w:rFonts w:eastAsia="Calibri" w:cstheme="minorHAnsi"/>
          <w:color w:val="2C307E"/>
        </w:rPr>
        <w:t>% knelpunten ervaarde</w:t>
      </w:r>
      <w:r w:rsidR="00AB53BD">
        <w:rPr>
          <w:rFonts w:eastAsia="Calibri" w:cstheme="minorHAnsi"/>
          <w:color w:val="2C307E"/>
        </w:rPr>
        <w:t>, maar een kleinere groep dan in 2023 en 2022.</w:t>
      </w:r>
    </w:p>
    <w:p w14:paraId="4DDDFC95" w14:textId="2BDE6118" w:rsidR="0094579C" w:rsidRPr="002C1A66" w:rsidRDefault="00441669" w:rsidP="0094579C">
      <w:pPr>
        <w:spacing w:after="0" w:line="240" w:lineRule="auto"/>
        <w:jc w:val="both"/>
        <w:rPr>
          <w:rFonts w:eastAsia="Calibri"/>
          <w:color w:val="2C307E"/>
          <w:highlight w:val="yellow"/>
        </w:rPr>
      </w:pPr>
      <w:r>
        <w:rPr>
          <w:noProof/>
        </w:rPr>
        <w:drawing>
          <wp:inline distT="0" distB="0" distL="0" distR="0" wp14:anchorId="0D3FB0D6" wp14:editId="503C11CC">
            <wp:extent cx="2655570" cy="1333500"/>
            <wp:effectExtent l="0" t="0" r="0" b="0"/>
            <wp:docPr id="2036797650" name="Grafiek 1">
              <a:extLst xmlns:a="http://schemas.openxmlformats.org/drawingml/2006/main">
                <a:ext uri="{FF2B5EF4-FFF2-40B4-BE49-F238E27FC236}">
                  <a16:creationId xmlns:a16="http://schemas.microsoft.com/office/drawing/2014/main" id="{D1BFFF31-05ED-0AF0-C9B5-269BB62DE2B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4710984C" w14:textId="77777777" w:rsidR="00782567" w:rsidRDefault="004A6D7E" w:rsidP="00A26094">
      <w:pPr>
        <w:spacing w:after="0" w:line="276" w:lineRule="auto"/>
        <w:jc w:val="both"/>
        <w:rPr>
          <w:rFonts w:eastAsia="Calibri" w:cstheme="minorHAnsi"/>
          <w:b/>
          <w:bCs/>
          <w:color w:val="2C307E"/>
        </w:rPr>
      </w:pPr>
      <w:r>
        <w:rPr>
          <w:rFonts w:eastAsia="Calibri" w:cstheme="minorHAnsi"/>
          <w:b/>
          <w:color w:val="2C307E"/>
        </w:rPr>
        <w:t>Defecte laadpalen is het meest ervaren knelpunt (24%)</w:t>
      </w:r>
      <w:r w:rsidR="0094579C" w:rsidRPr="008A3E6C">
        <w:rPr>
          <w:rFonts w:eastAsia="Calibri" w:cstheme="minorHAnsi"/>
          <w:b/>
          <w:color w:val="2C307E"/>
        </w:rPr>
        <w:t>.</w:t>
      </w:r>
      <w:r w:rsidR="0094579C" w:rsidRPr="008A3E6C">
        <w:rPr>
          <w:rFonts w:eastAsia="Calibri" w:cstheme="minorHAnsi"/>
          <w:color w:val="2C307E"/>
        </w:rPr>
        <w:t xml:space="preserve"> </w:t>
      </w:r>
      <w:r w:rsidR="00332B54" w:rsidRPr="008D3051">
        <w:rPr>
          <w:rFonts w:eastAsia="Calibri" w:cstheme="minorHAnsi"/>
          <w:b/>
          <w:bCs/>
          <w:color w:val="2C307E"/>
        </w:rPr>
        <w:t>[N=</w:t>
      </w:r>
      <w:r w:rsidR="00793F46" w:rsidRPr="008D3051">
        <w:rPr>
          <w:rFonts w:eastAsia="Calibri" w:cstheme="minorHAnsi"/>
          <w:b/>
          <w:bCs/>
          <w:color w:val="2C307E"/>
        </w:rPr>
        <w:t>567</w:t>
      </w:r>
      <w:r w:rsidR="00332B54" w:rsidRPr="008D3051">
        <w:rPr>
          <w:rFonts w:eastAsia="Calibri" w:cstheme="minorHAnsi"/>
          <w:b/>
          <w:bCs/>
          <w:color w:val="2C307E"/>
        </w:rPr>
        <w:t>]</w:t>
      </w:r>
    </w:p>
    <w:p w14:paraId="519DD5ED" w14:textId="3E4A64FA" w:rsidR="0094579C" w:rsidRPr="00782567" w:rsidRDefault="000A1570" w:rsidP="00A26094">
      <w:pPr>
        <w:spacing w:after="0" w:line="276" w:lineRule="auto"/>
        <w:jc w:val="both"/>
        <w:rPr>
          <w:rFonts w:eastAsia="Calibri" w:cstheme="minorHAnsi"/>
          <w:b/>
          <w:bCs/>
          <w:color w:val="2C307E"/>
          <w:highlight w:val="yellow"/>
        </w:rPr>
      </w:pPr>
      <w:r>
        <w:rPr>
          <w:rFonts w:eastAsia="Calibri" w:cstheme="minorHAnsi"/>
          <w:color w:val="2C307E"/>
        </w:rPr>
        <w:t>‘</w:t>
      </w:r>
      <w:r w:rsidR="0094579C" w:rsidRPr="008D3051">
        <w:rPr>
          <w:rFonts w:eastAsia="Calibri" w:cstheme="minorHAnsi"/>
          <w:color w:val="2C307E"/>
        </w:rPr>
        <w:t>Defecte laadpalen</w:t>
      </w:r>
      <w:r>
        <w:rPr>
          <w:rFonts w:eastAsia="Calibri" w:cstheme="minorHAnsi"/>
          <w:color w:val="2C307E"/>
        </w:rPr>
        <w:t>’ en ‘</w:t>
      </w:r>
      <w:r w:rsidR="00630AFF">
        <w:rPr>
          <w:rFonts w:eastAsia="Calibri" w:cstheme="minorHAnsi"/>
          <w:color w:val="2C307E"/>
        </w:rPr>
        <w:t>T</w:t>
      </w:r>
      <w:r w:rsidRPr="008D3051">
        <w:rPr>
          <w:rFonts w:eastAsia="Calibri" w:cstheme="minorHAnsi"/>
          <w:color w:val="2C307E"/>
        </w:rPr>
        <w:t>e veel drukte bij (snel)laadpunten onderweg</w:t>
      </w:r>
      <w:r>
        <w:rPr>
          <w:rFonts w:eastAsia="Calibri" w:cstheme="minorHAnsi"/>
          <w:color w:val="2C307E"/>
        </w:rPr>
        <w:t>’</w:t>
      </w:r>
      <w:r w:rsidR="0094579C" w:rsidRPr="008D3051">
        <w:rPr>
          <w:rFonts w:eastAsia="Calibri" w:cstheme="minorHAnsi"/>
          <w:color w:val="2C307E"/>
        </w:rPr>
        <w:t xml:space="preserve"> </w:t>
      </w:r>
      <w:r w:rsidR="003D5427">
        <w:rPr>
          <w:rFonts w:eastAsia="Calibri" w:cstheme="minorHAnsi"/>
          <w:color w:val="2C307E"/>
        </w:rPr>
        <w:t>zijn</w:t>
      </w:r>
      <w:r w:rsidR="0094579C" w:rsidRPr="008D3051">
        <w:rPr>
          <w:rFonts w:eastAsia="Calibri" w:cstheme="minorHAnsi"/>
          <w:color w:val="2C307E"/>
        </w:rPr>
        <w:t xml:space="preserve"> in 2022 niet uitgevraagd als knelpunt.</w:t>
      </w:r>
    </w:p>
    <w:tbl>
      <w:tblPr>
        <w:tblStyle w:val="Tabelraster"/>
        <w:tblpPr w:leftFromText="141" w:rightFromText="141" w:vertAnchor="page" w:horzAnchor="margin" w:tblpY="6661"/>
        <w:tblW w:w="9565" w:type="dxa"/>
        <w:shd w:val="clear" w:color="auto" w:fill="DEEAF6" w:themeFill="accent5" w:themeFillTint="33"/>
        <w:tblLook w:val="04A0" w:firstRow="1" w:lastRow="0" w:firstColumn="1" w:lastColumn="0" w:noHBand="0" w:noVBand="1"/>
      </w:tblPr>
      <w:tblGrid>
        <w:gridCol w:w="3939"/>
        <w:gridCol w:w="1577"/>
        <w:gridCol w:w="1318"/>
        <w:gridCol w:w="1318"/>
        <w:gridCol w:w="1413"/>
      </w:tblGrid>
      <w:tr w:rsidR="002D4265" w:rsidRPr="002C1A66" w14:paraId="64941FAB" w14:textId="77777777" w:rsidTr="002D4265">
        <w:trPr>
          <w:trHeight w:val="274"/>
        </w:trPr>
        <w:tc>
          <w:tcPr>
            <w:tcW w:w="3939" w:type="dxa"/>
            <w:shd w:val="clear" w:color="auto" w:fill="DEEAF6" w:themeFill="accent5" w:themeFillTint="33"/>
          </w:tcPr>
          <w:p w14:paraId="7047F332" w14:textId="77777777" w:rsidR="002D4265" w:rsidRPr="00782567" w:rsidRDefault="002D4265" w:rsidP="002D4265">
            <w:pPr>
              <w:jc w:val="both"/>
              <w:rPr>
                <w:rFonts w:eastAsia="Calibri" w:cstheme="minorHAnsi"/>
                <w:b/>
                <w:bCs/>
                <w:color w:val="2C307E"/>
                <w:sz w:val="20"/>
                <w:szCs w:val="20"/>
              </w:rPr>
            </w:pPr>
            <w:r w:rsidRPr="00782567">
              <w:rPr>
                <w:rFonts w:eastAsia="Calibri" w:cstheme="minorHAnsi"/>
                <w:b/>
                <w:bCs/>
                <w:color w:val="2C307E"/>
                <w:sz w:val="20"/>
                <w:szCs w:val="20"/>
              </w:rPr>
              <w:t>Top 5 knelpunten laden in het buitenland</w:t>
            </w:r>
          </w:p>
        </w:tc>
        <w:tc>
          <w:tcPr>
            <w:tcW w:w="1577" w:type="dxa"/>
            <w:shd w:val="clear" w:color="auto" w:fill="DEEAF6" w:themeFill="accent5" w:themeFillTint="33"/>
          </w:tcPr>
          <w:p w14:paraId="1349C2E6" w14:textId="77777777" w:rsidR="002D4265" w:rsidRPr="00782567" w:rsidRDefault="002D4265" w:rsidP="002D4265">
            <w:pPr>
              <w:jc w:val="both"/>
              <w:rPr>
                <w:rFonts w:eastAsia="Calibri" w:cstheme="minorHAnsi"/>
                <w:b/>
                <w:bCs/>
                <w:color w:val="2C307E"/>
                <w:sz w:val="20"/>
                <w:szCs w:val="20"/>
              </w:rPr>
            </w:pPr>
            <w:r w:rsidRPr="00782567">
              <w:rPr>
                <w:rFonts w:eastAsia="Calibri" w:cstheme="minorHAnsi"/>
                <w:b/>
                <w:bCs/>
                <w:color w:val="2C307E"/>
                <w:sz w:val="20"/>
                <w:szCs w:val="20"/>
              </w:rPr>
              <w:t>2022</w:t>
            </w:r>
          </w:p>
        </w:tc>
        <w:tc>
          <w:tcPr>
            <w:tcW w:w="1318" w:type="dxa"/>
            <w:shd w:val="clear" w:color="auto" w:fill="DEEAF6" w:themeFill="accent5" w:themeFillTint="33"/>
          </w:tcPr>
          <w:p w14:paraId="0FC69D3E" w14:textId="77777777" w:rsidR="002D4265" w:rsidRPr="00782567" w:rsidRDefault="002D4265" w:rsidP="002D4265">
            <w:pPr>
              <w:jc w:val="both"/>
              <w:rPr>
                <w:rFonts w:eastAsia="Calibri" w:cstheme="minorHAnsi"/>
                <w:b/>
                <w:bCs/>
                <w:color w:val="2C307E"/>
                <w:sz w:val="20"/>
                <w:szCs w:val="20"/>
              </w:rPr>
            </w:pPr>
            <w:r w:rsidRPr="00782567">
              <w:rPr>
                <w:rFonts w:eastAsia="Calibri" w:cstheme="minorHAnsi"/>
                <w:b/>
                <w:bCs/>
                <w:color w:val="2C307E"/>
                <w:sz w:val="20"/>
                <w:szCs w:val="20"/>
              </w:rPr>
              <w:t>2023</w:t>
            </w:r>
          </w:p>
        </w:tc>
        <w:tc>
          <w:tcPr>
            <w:tcW w:w="1318" w:type="dxa"/>
            <w:shd w:val="clear" w:color="auto" w:fill="DEEAF6" w:themeFill="accent5" w:themeFillTint="33"/>
          </w:tcPr>
          <w:p w14:paraId="518B0307" w14:textId="77777777" w:rsidR="002D4265" w:rsidRPr="00782567" w:rsidRDefault="002D4265" w:rsidP="002D4265">
            <w:pPr>
              <w:jc w:val="both"/>
              <w:rPr>
                <w:rFonts w:eastAsia="Calibri" w:cstheme="minorHAnsi"/>
                <w:b/>
                <w:bCs/>
                <w:color w:val="2C307E"/>
                <w:sz w:val="20"/>
                <w:szCs w:val="20"/>
              </w:rPr>
            </w:pPr>
            <w:r w:rsidRPr="00782567">
              <w:rPr>
                <w:rFonts w:eastAsia="Calibri" w:cstheme="minorHAnsi"/>
                <w:b/>
                <w:bCs/>
                <w:color w:val="2C307E"/>
                <w:sz w:val="20"/>
                <w:szCs w:val="20"/>
              </w:rPr>
              <w:t>2024</w:t>
            </w:r>
          </w:p>
        </w:tc>
        <w:tc>
          <w:tcPr>
            <w:tcW w:w="1413" w:type="dxa"/>
            <w:shd w:val="clear" w:color="auto" w:fill="DEEAF6" w:themeFill="accent5" w:themeFillTint="33"/>
          </w:tcPr>
          <w:p w14:paraId="5D000386" w14:textId="77777777" w:rsidR="002D4265" w:rsidRPr="00782567" w:rsidRDefault="002D4265" w:rsidP="002D4265">
            <w:pPr>
              <w:jc w:val="both"/>
              <w:rPr>
                <w:rFonts w:eastAsia="Calibri" w:cstheme="minorHAnsi"/>
                <w:b/>
                <w:bCs/>
                <w:color w:val="2C307E"/>
                <w:sz w:val="20"/>
                <w:szCs w:val="20"/>
              </w:rPr>
            </w:pPr>
            <w:r w:rsidRPr="00782567">
              <w:rPr>
                <w:rFonts w:eastAsia="Calibri" w:cstheme="minorHAnsi"/>
                <w:b/>
                <w:bCs/>
                <w:color w:val="2C307E"/>
                <w:sz w:val="20"/>
                <w:szCs w:val="20"/>
              </w:rPr>
              <w:t>2025</w:t>
            </w:r>
          </w:p>
        </w:tc>
      </w:tr>
      <w:tr w:rsidR="002D4265" w:rsidRPr="002C1A66" w14:paraId="68269823" w14:textId="77777777" w:rsidTr="002D4265">
        <w:trPr>
          <w:trHeight w:val="337"/>
        </w:trPr>
        <w:tc>
          <w:tcPr>
            <w:tcW w:w="3939" w:type="dxa"/>
            <w:shd w:val="clear" w:color="auto" w:fill="DEEAF6" w:themeFill="accent5" w:themeFillTint="33"/>
          </w:tcPr>
          <w:p w14:paraId="218FC3DB" w14:textId="77777777" w:rsidR="002D4265" w:rsidRPr="00782567" w:rsidRDefault="002D4265" w:rsidP="002D4265">
            <w:pPr>
              <w:jc w:val="both"/>
              <w:rPr>
                <w:rFonts w:eastAsia="Calibri" w:cstheme="minorHAnsi"/>
                <w:color w:val="2C307E"/>
                <w:sz w:val="20"/>
                <w:szCs w:val="20"/>
              </w:rPr>
            </w:pPr>
            <w:r w:rsidRPr="00782567">
              <w:rPr>
                <w:rFonts w:eastAsia="Calibri" w:cstheme="minorHAnsi"/>
                <w:color w:val="2C307E"/>
                <w:sz w:val="20"/>
                <w:szCs w:val="20"/>
              </w:rPr>
              <w:t>Te weinig (snel)laadpalen onderweg</w:t>
            </w:r>
          </w:p>
        </w:tc>
        <w:tc>
          <w:tcPr>
            <w:tcW w:w="1577" w:type="dxa"/>
            <w:shd w:val="clear" w:color="auto" w:fill="DEEAF6" w:themeFill="accent5" w:themeFillTint="33"/>
          </w:tcPr>
          <w:p w14:paraId="23596F25" w14:textId="77777777" w:rsidR="002D4265" w:rsidRPr="00782567" w:rsidRDefault="002D4265" w:rsidP="002D4265">
            <w:pPr>
              <w:jc w:val="both"/>
              <w:rPr>
                <w:rFonts w:eastAsia="Calibri" w:cstheme="minorHAnsi"/>
                <w:color w:val="2C307E"/>
                <w:sz w:val="20"/>
                <w:szCs w:val="20"/>
              </w:rPr>
            </w:pPr>
            <w:r w:rsidRPr="00782567">
              <w:rPr>
                <w:rFonts w:eastAsia="Calibri" w:cstheme="minorHAnsi"/>
                <w:color w:val="2C307E"/>
                <w:sz w:val="20"/>
                <w:szCs w:val="20"/>
              </w:rPr>
              <w:t>25%</w:t>
            </w:r>
          </w:p>
        </w:tc>
        <w:tc>
          <w:tcPr>
            <w:tcW w:w="1318" w:type="dxa"/>
            <w:shd w:val="clear" w:color="auto" w:fill="DEEAF6" w:themeFill="accent5" w:themeFillTint="33"/>
          </w:tcPr>
          <w:p w14:paraId="390995F7" w14:textId="77777777" w:rsidR="002D4265" w:rsidRPr="00782567" w:rsidRDefault="002D4265" w:rsidP="002D4265">
            <w:pPr>
              <w:jc w:val="both"/>
              <w:rPr>
                <w:rFonts w:eastAsia="Calibri" w:cstheme="minorHAnsi"/>
                <w:color w:val="2C307E"/>
                <w:sz w:val="20"/>
                <w:szCs w:val="20"/>
              </w:rPr>
            </w:pPr>
            <w:r w:rsidRPr="00782567">
              <w:rPr>
                <w:rFonts w:eastAsia="Calibri" w:cstheme="minorHAnsi"/>
                <w:color w:val="2C307E"/>
                <w:sz w:val="20"/>
                <w:szCs w:val="20"/>
              </w:rPr>
              <w:t>29%</w:t>
            </w:r>
          </w:p>
        </w:tc>
        <w:tc>
          <w:tcPr>
            <w:tcW w:w="1318" w:type="dxa"/>
            <w:shd w:val="clear" w:color="auto" w:fill="DEEAF6" w:themeFill="accent5" w:themeFillTint="33"/>
          </w:tcPr>
          <w:p w14:paraId="3FCAEF0F" w14:textId="77777777" w:rsidR="002D4265" w:rsidRPr="00782567" w:rsidRDefault="002D4265" w:rsidP="002D4265">
            <w:pPr>
              <w:jc w:val="both"/>
              <w:rPr>
                <w:rFonts w:eastAsia="Calibri" w:cstheme="minorHAnsi"/>
                <w:color w:val="2C307E"/>
                <w:sz w:val="20"/>
                <w:szCs w:val="20"/>
              </w:rPr>
            </w:pPr>
            <w:r w:rsidRPr="00782567">
              <w:rPr>
                <w:rFonts w:eastAsia="Calibri" w:cstheme="minorHAnsi"/>
                <w:color w:val="2C307E"/>
                <w:sz w:val="20"/>
                <w:szCs w:val="20"/>
              </w:rPr>
              <w:t>20%</w:t>
            </w:r>
          </w:p>
        </w:tc>
        <w:tc>
          <w:tcPr>
            <w:tcW w:w="1413" w:type="dxa"/>
            <w:shd w:val="clear" w:color="auto" w:fill="DEEAF6" w:themeFill="accent5" w:themeFillTint="33"/>
          </w:tcPr>
          <w:p w14:paraId="6741F37B" w14:textId="77777777" w:rsidR="002D4265" w:rsidRPr="00782567" w:rsidRDefault="002D4265" w:rsidP="002D4265">
            <w:pPr>
              <w:jc w:val="both"/>
              <w:rPr>
                <w:rFonts w:eastAsia="Calibri" w:cstheme="minorHAnsi"/>
                <w:color w:val="2C307E"/>
                <w:sz w:val="20"/>
                <w:szCs w:val="20"/>
              </w:rPr>
            </w:pPr>
            <w:r w:rsidRPr="00782567">
              <w:rPr>
                <w:rFonts w:eastAsia="Calibri" w:cstheme="minorHAnsi"/>
                <w:color w:val="2C307E"/>
                <w:sz w:val="20"/>
                <w:szCs w:val="20"/>
              </w:rPr>
              <w:t>19%</w:t>
            </w:r>
          </w:p>
        </w:tc>
      </w:tr>
      <w:tr w:rsidR="002D4265" w:rsidRPr="002C1A66" w14:paraId="4F243E18" w14:textId="77777777" w:rsidTr="002D4265">
        <w:trPr>
          <w:trHeight w:val="473"/>
        </w:trPr>
        <w:tc>
          <w:tcPr>
            <w:tcW w:w="3939" w:type="dxa"/>
            <w:shd w:val="clear" w:color="auto" w:fill="DEEAF6" w:themeFill="accent5" w:themeFillTint="33"/>
          </w:tcPr>
          <w:p w14:paraId="2BA76A7B" w14:textId="77777777" w:rsidR="002D4265" w:rsidRPr="00782567" w:rsidRDefault="002D4265" w:rsidP="002D4265">
            <w:pPr>
              <w:jc w:val="both"/>
              <w:rPr>
                <w:rFonts w:eastAsia="Calibri" w:cstheme="minorHAnsi"/>
                <w:color w:val="2C307E"/>
                <w:sz w:val="20"/>
                <w:szCs w:val="20"/>
              </w:rPr>
            </w:pPr>
            <w:r w:rsidRPr="00782567">
              <w:rPr>
                <w:rFonts w:eastAsia="Calibri" w:cstheme="minorHAnsi"/>
                <w:color w:val="2C307E"/>
                <w:sz w:val="20"/>
                <w:szCs w:val="20"/>
              </w:rPr>
              <w:t>laadpas/laadapp werkt niet in het buitenland</w:t>
            </w:r>
          </w:p>
        </w:tc>
        <w:tc>
          <w:tcPr>
            <w:tcW w:w="1577" w:type="dxa"/>
            <w:shd w:val="clear" w:color="auto" w:fill="DEEAF6" w:themeFill="accent5" w:themeFillTint="33"/>
          </w:tcPr>
          <w:p w14:paraId="50ACBC83" w14:textId="77777777" w:rsidR="002D4265" w:rsidRPr="00782567" w:rsidRDefault="002D4265" w:rsidP="002D4265">
            <w:pPr>
              <w:jc w:val="both"/>
              <w:rPr>
                <w:rFonts w:eastAsia="Calibri" w:cstheme="minorHAnsi"/>
                <w:color w:val="2C307E"/>
                <w:sz w:val="20"/>
                <w:szCs w:val="20"/>
              </w:rPr>
            </w:pPr>
            <w:r w:rsidRPr="00782567">
              <w:rPr>
                <w:rFonts w:eastAsia="Calibri" w:cstheme="minorHAnsi"/>
                <w:color w:val="2C307E"/>
                <w:sz w:val="20"/>
                <w:szCs w:val="20"/>
              </w:rPr>
              <w:t>22%</w:t>
            </w:r>
          </w:p>
        </w:tc>
        <w:tc>
          <w:tcPr>
            <w:tcW w:w="1318" w:type="dxa"/>
            <w:shd w:val="clear" w:color="auto" w:fill="DEEAF6" w:themeFill="accent5" w:themeFillTint="33"/>
          </w:tcPr>
          <w:p w14:paraId="0DC8C08A" w14:textId="77777777" w:rsidR="002D4265" w:rsidRPr="00782567" w:rsidRDefault="002D4265" w:rsidP="002D4265">
            <w:pPr>
              <w:jc w:val="both"/>
              <w:rPr>
                <w:rFonts w:eastAsia="Calibri" w:cstheme="minorHAnsi"/>
                <w:color w:val="2C307E"/>
                <w:sz w:val="20"/>
                <w:szCs w:val="20"/>
              </w:rPr>
            </w:pPr>
            <w:r w:rsidRPr="00782567">
              <w:rPr>
                <w:rFonts w:eastAsia="Calibri" w:cstheme="minorHAnsi"/>
                <w:color w:val="2C307E"/>
                <w:sz w:val="20"/>
                <w:szCs w:val="20"/>
              </w:rPr>
              <w:t>27%</w:t>
            </w:r>
          </w:p>
        </w:tc>
        <w:tc>
          <w:tcPr>
            <w:tcW w:w="1318" w:type="dxa"/>
            <w:shd w:val="clear" w:color="auto" w:fill="DEEAF6" w:themeFill="accent5" w:themeFillTint="33"/>
          </w:tcPr>
          <w:p w14:paraId="698F2487" w14:textId="77777777" w:rsidR="002D4265" w:rsidRPr="00782567" w:rsidRDefault="002D4265" w:rsidP="002D4265">
            <w:pPr>
              <w:jc w:val="both"/>
              <w:rPr>
                <w:rFonts w:eastAsia="Calibri" w:cstheme="minorHAnsi"/>
                <w:color w:val="2C307E"/>
                <w:sz w:val="20"/>
                <w:szCs w:val="20"/>
              </w:rPr>
            </w:pPr>
            <w:r w:rsidRPr="00782567">
              <w:rPr>
                <w:rFonts w:eastAsia="Calibri" w:cstheme="minorHAnsi"/>
                <w:color w:val="2C307E"/>
                <w:sz w:val="20"/>
                <w:szCs w:val="20"/>
              </w:rPr>
              <w:t>21%</w:t>
            </w:r>
          </w:p>
        </w:tc>
        <w:tc>
          <w:tcPr>
            <w:tcW w:w="1413" w:type="dxa"/>
            <w:shd w:val="clear" w:color="auto" w:fill="DEEAF6" w:themeFill="accent5" w:themeFillTint="33"/>
          </w:tcPr>
          <w:p w14:paraId="33794A4D" w14:textId="77777777" w:rsidR="002D4265" w:rsidRPr="00782567" w:rsidRDefault="002D4265" w:rsidP="002D4265">
            <w:pPr>
              <w:jc w:val="both"/>
              <w:rPr>
                <w:rFonts w:eastAsia="Calibri" w:cstheme="minorHAnsi"/>
                <w:color w:val="2C307E"/>
                <w:sz w:val="20"/>
                <w:szCs w:val="20"/>
              </w:rPr>
            </w:pPr>
            <w:r w:rsidRPr="00782567">
              <w:rPr>
                <w:rFonts w:eastAsia="Calibri" w:cstheme="minorHAnsi"/>
                <w:color w:val="2C307E"/>
                <w:sz w:val="20"/>
                <w:szCs w:val="20"/>
              </w:rPr>
              <w:t>21%</w:t>
            </w:r>
          </w:p>
        </w:tc>
      </w:tr>
      <w:tr w:rsidR="002D4265" w:rsidRPr="002C1A66" w14:paraId="5ECD89A6" w14:textId="77777777" w:rsidTr="002D4265">
        <w:trPr>
          <w:trHeight w:val="274"/>
        </w:trPr>
        <w:tc>
          <w:tcPr>
            <w:tcW w:w="3939" w:type="dxa"/>
            <w:shd w:val="clear" w:color="auto" w:fill="DEEAF6" w:themeFill="accent5" w:themeFillTint="33"/>
          </w:tcPr>
          <w:p w14:paraId="3C6EFB8E" w14:textId="77777777" w:rsidR="002D4265" w:rsidRPr="00782567" w:rsidRDefault="002D4265" w:rsidP="002D4265">
            <w:pPr>
              <w:jc w:val="both"/>
              <w:rPr>
                <w:rFonts w:eastAsia="Calibri" w:cstheme="minorHAnsi"/>
                <w:color w:val="2C307E"/>
                <w:sz w:val="20"/>
                <w:szCs w:val="20"/>
              </w:rPr>
            </w:pPr>
            <w:r w:rsidRPr="00782567">
              <w:rPr>
                <w:rFonts w:eastAsia="Calibri" w:cstheme="minorHAnsi"/>
                <w:color w:val="2C307E"/>
                <w:sz w:val="20"/>
                <w:szCs w:val="20"/>
              </w:rPr>
              <w:t>Defecte laadpalen</w:t>
            </w:r>
          </w:p>
        </w:tc>
        <w:tc>
          <w:tcPr>
            <w:tcW w:w="1577" w:type="dxa"/>
            <w:shd w:val="clear" w:color="auto" w:fill="DEEAF6" w:themeFill="accent5" w:themeFillTint="33"/>
          </w:tcPr>
          <w:p w14:paraId="08B55274" w14:textId="77777777" w:rsidR="002D4265" w:rsidRPr="00782567" w:rsidRDefault="002D4265" w:rsidP="002D4265">
            <w:pPr>
              <w:jc w:val="both"/>
              <w:rPr>
                <w:rFonts w:eastAsia="Calibri" w:cstheme="minorHAnsi"/>
                <w:color w:val="2C307E"/>
                <w:sz w:val="20"/>
                <w:szCs w:val="20"/>
              </w:rPr>
            </w:pPr>
            <w:r w:rsidRPr="00782567">
              <w:rPr>
                <w:rFonts w:eastAsia="Calibri" w:cstheme="minorHAnsi"/>
                <w:color w:val="2C307E"/>
                <w:sz w:val="20"/>
                <w:szCs w:val="20"/>
              </w:rPr>
              <w:t>-</w:t>
            </w:r>
          </w:p>
        </w:tc>
        <w:tc>
          <w:tcPr>
            <w:tcW w:w="1318" w:type="dxa"/>
            <w:shd w:val="clear" w:color="auto" w:fill="DEEAF6" w:themeFill="accent5" w:themeFillTint="33"/>
          </w:tcPr>
          <w:p w14:paraId="2F28D3C7" w14:textId="77777777" w:rsidR="002D4265" w:rsidRPr="00782567" w:rsidRDefault="002D4265" w:rsidP="002D4265">
            <w:pPr>
              <w:jc w:val="both"/>
              <w:rPr>
                <w:rFonts w:eastAsia="Calibri" w:cstheme="minorHAnsi"/>
                <w:color w:val="2C307E"/>
                <w:sz w:val="20"/>
                <w:szCs w:val="20"/>
              </w:rPr>
            </w:pPr>
            <w:r w:rsidRPr="00782567">
              <w:rPr>
                <w:rFonts w:eastAsia="Calibri" w:cstheme="minorHAnsi"/>
                <w:color w:val="2C307E"/>
                <w:sz w:val="20"/>
                <w:szCs w:val="20"/>
              </w:rPr>
              <w:t>26%</w:t>
            </w:r>
          </w:p>
        </w:tc>
        <w:tc>
          <w:tcPr>
            <w:tcW w:w="1318" w:type="dxa"/>
            <w:shd w:val="clear" w:color="auto" w:fill="DEEAF6" w:themeFill="accent5" w:themeFillTint="33"/>
          </w:tcPr>
          <w:p w14:paraId="4C515681" w14:textId="77777777" w:rsidR="002D4265" w:rsidRPr="00782567" w:rsidRDefault="002D4265" w:rsidP="002D4265">
            <w:pPr>
              <w:jc w:val="both"/>
              <w:rPr>
                <w:rFonts w:eastAsia="Calibri" w:cstheme="minorHAnsi"/>
                <w:color w:val="2C307E"/>
                <w:sz w:val="20"/>
                <w:szCs w:val="20"/>
              </w:rPr>
            </w:pPr>
            <w:r w:rsidRPr="00782567">
              <w:rPr>
                <w:rFonts w:eastAsia="Calibri" w:cstheme="minorHAnsi"/>
                <w:color w:val="2C307E"/>
                <w:sz w:val="20"/>
                <w:szCs w:val="20"/>
              </w:rPr>
              <w:t>20%</w:t>
            </w:r>
          </w:p>
        </w:tc>
        <w:tc>
          <w:tcPr>
            <w:tcW w:w="1413" w:type="dxa"/>
            <w:shd w:val="clear" w:color="auto" w:fill="DEEAF6" w:themeFill="accent5" w:themeFillTint="33"/>
          </w:tcPr>
          <w:p w14:paraId="67706B34" w14:textId="77777777" w:rsidR="002D4265" w:rsidRPr="00782567" w:rsidRDefault="002D4265" w:rsidP="002D4265">
            <w:pPr>
              <w:jc w:val="both"/>
              <w:rPr>
                <w:rFonts w:eastAsia="Calibri" w:cstheme="minorHAnsi"/>
                <w:color w:val="2C307E"/>
                <w:sz w:val="20"/>
                <w:szCs w:val="20"/>
              </w:rPr>
            </w:pPr>
            <w:r w:rsidRPr="00782567">
              <w:rPr>
                <w:rFonts w:eastAsia="Calibri" w:cstheme="minorHAnsi"/>
                <w:color w:val="2C307E"/>
                <w:sz w:val="20"/>
                <w:szCs w:val="20"/>
              </w:rPr>
              <w:t>24%</w:t>
            </w:r>
          </w:p>
        </w:tc>
      </w:tr>
      <w:tr w:rsidR="002D4265" w:rsidRPr="002C1A66" w14:paraId="46C18B9A" w14:textId="77777777" w:rsidTr="002D4265">
        <w:trPr>
          <w:trHeight w:val="433"/>
        </w:trPr>
        <w:tc>
          <w:tcPr>
            <w:tcW w:w="3939" w:type="dxa"/>
            <w:shd w:val="clear" w:color="auto" w:fill="DEEAF6" w:themeFill="accent5" w:themeFillTint="33"/>
          </w:tcPr>
          <w:p w14:paraId="0E268464" w14:textId="77777777" w:rsidR="002D4265" w:rsidRPr="00782567" w:rsidRDefault="002D4265" w:rsidP="002D4265">
            <w:pPr>
              <w:jc w:val="both"/>
              <w:rPr>
                <w:rFonts w:eastAsia="Calibri" w:cstheme="minorHAnsi"/>
                <w:color w:val="2C307E"/>
                <w:sz w:val="20"/>
                <w:szCs w:val="20"/>
              </w:rPr>
            </w:pPr>
            <w:r w:rsidRPr="00782567">
              <w:rPr>
                <w:rFonts w:eastAsia="Calibri" w:cstheme="minorHAnsi"/>
                <w:color w:val="2C307E"/>
                <w:sz w:val="20"/>
                <w:szCs w:val="20"/>
              </w:rPr>
              <w:t>Te weinig laadpalen op bestemming</w:t>
            </w:r>
          </w:p>
        </w:tc>
        <w:tc>
          <w:tcPr>
            <w:tcW w:w="1577" w:type="dxa"/>
            <w:shd w:val="clear" w:color="auto" w:fill="DEEAF6" w:themeFill="accent5" w:themeFillTint="33"/>
          </w:tcPr>
          <w:p w14:paraId="76B1B70F" w14:textId="77777777" w:rsidR="002D4265" w:rsidRPr="00782567" w:rsidRDefault="002D4265" w:rsidP="002D4265">
            <w:pPr>
              <w:jc w:val="both"/>
              <w:rPr>
                <w:rFonts w:eastAsia="Calibri" w:cstheme="minorHAnsi"/>
                <w:color w:val="2C307E"/>
                <w:sz w:val="20"/>
                <w:szCs w:val="20"/>
              </w:rPr>
            </w:pPr>
            <w:r w:rsidRPr="00782567">
              <w:rPr>
                <w:rFonts w:eastAsia="Calibri" w:cstheme="minorHAnsi"/>
                <w:color w:val="2C307E"/>
                <w:sz w:val="20"/>
                <w:szCs w:val="20"/>
              </w:rPr>
              <w:t>24%</w:t>
            </w:r>
          </w:p>
        </w:tc>
        <w:tc>
          <w:tcPr>
            <w:tcW w:w="1318" w:type="dxa"/>
            <w:shd w:val="clear" w:color="auto" w:fill="DEEAF6" w:themeFill="accent5" w:themeFillTint="33"/>
          </w:tcPr>
          <w:p w14:paraId="1AC8A646" w14:textId="77777777" w:rsidR="002D4265" w:rsidRPr="00782567" w:rsidRDefault="002D4265" w:rsidP="002D4265">
            <w:pPr>
              <w:jc w:val="both"/>
              <w:rPr>
                <w:rFonts w:eastAsia="Calibri" w:cstheme="minorHAnsi"/>
                <w:color w:val="2C307E"/>
                <w:sz w:val="20"/>
                <w:szCs w:val="20"/>
              </w:rPr>
            </w:pPr>
            <w:r w:rsidRPr="00782567">
              <w:rPr>
                <w:rFonts w:eastAsia="Calibri" w:cstheme="minorHAnsi"/>
                <w:color w:val="2C307E"/>
                <w:sz w:val="20"/>
                <w:szCs w:val="20"/>
              </w:rPr>
              <w:t>26%</w:t>
            </w:r>
          </w:p>
        </w:tc>
        <w:tc>
          <w:tcPr>
            <w:tcW w:w="1318" w:type="dxa"/>
            <w:shd w:val="clear" w:color="auto" w:fill="DEEAF6" w:themeFill="accent5" w:themeFillTint="33"/>
          </w:tcPr>
          <w:p w14:paraId="1E9F8D98" w14:textId="77777777" w:rsidR="002D4265" w:rsidRPr="00782567" w:rsidRDefault="002D4265" w:rsidP="002D4265">
            <w:pPr>
              <w:jc w:val="both"/>
              <w:rPr>
                <w:rFonts w:eastAsia="Calibri" w:cstheme="minorHAnsi"/>
                <w:color w:val="2C307E"/>
                <w:sz w:val="20"/>
                <w:szCs w:val="20"/>
              </w:rPr>
            </w:pPr>
            <w:r w:rsidRPr="00782567">
              <w:rPr>
                <w:rFonts w:eastAsia="Calibri" w:cstheme="minorHAnsi"/>
                <w:color w:val="2C307E"/>
                <w:sz w:val="20"/>
                <w:szCs w:val="20"/>
              </w:rPr>
              <w:t>19%</w:t>
            </w:r>
          </w:p>
        </w:tc>
        <w:tc>
          <w:tcPr>
            <w:tcW w:w="1413" w:type="dxa"/>
            <w:shd w:val="clear" w:color="auto" w:fill="DEEAF6" w:themeFill="accent5" w:themeFillTint="33"/>
          </w:tcPr>
          <w:p w14:paraId="6A07C29A" w14:textId="77777777" w:rsidR="002D4265" w:rsidRPr="00782567" w:rsidRDefault="002D4265" w:rsidP="002D4265">
            <w:pPr>
              <w:jc w:val="both"/>
              <w:rPr>
                <w:rFonts w:eastAsia="Calibri" w:cstheme="minorHAnsi"/>
                <w:color w:val="2C307E"/>
                <w:sz w:val="20"/>
                <w:szCs w:val="20"/>
              </w:rPr>
            </w:pPr>
            <w:r w:rsidRPr="00782567">
              <w:rPr>
                <w:rFonts w:eastAsia="Calibri" w:cstheme="minorHAnsi"/>
                <w:color w:val="2C307E"/>
                <w:sz w:val="20"/>
                <w:szCs w:val="20"/>
              </w:rPr>
              <w:t>19%</w:t>
            </w:r>
          </w:p>
        </w:tc>
      </w:tr>
      <w:tr w:rsidR="002D4265" w:rsidRPr="002C1A66" w14:paraId="7DC4F85A" w14:textId="77777777" w:rsidTr="002D4265">
        <w:trPr>
          <w:trHeight w:val="322"/>
        </w:trPr>
        <w:tc>
          <w:tcPr>
            <w:tcW w:w="3939" w:type="dxa"/>
            <w:shd w:val="clear" w:color="auto" w:fill="DEEAF6" w:themeFill="accent5" w:themeFillTint="33"/>
          </w:tcPr>
          <w:p w14:paraId="0A155DE1" w14:textId="77777777" w:rsidR="002D4265" w:rsidRPr="00782567" w:rsidRDefault="002D4265" w:rsidP="002D4265">
            <w:pPr>
              <w:jc w:val="both"/>
              <w:rPr>
                <w:rFonts w:eastAsia="Calibri" w:cstheme="minorHAnsi"/>
                <w:color w:val="2C307E"/>
                <w:sz w:val="20"/>
                <w:szCs w:val="20"/>
              </w:rPr>
            </w:pPr>
            <w:r w:rsidRPr="00782567">
              <w:rPr>
                <w:rFonts w:eastAsia="Calibri" w:cstheme="minorHAnsi"/>
                <w:color w:val="2C307E"/>
                <w:sz w:val="20"/>
                <w:szCs w:val="20"/>
              </w:rPr>
              <w:t>Te veel drukte bij (snel)laadpunten onderweg</w:t>
            </w:r>
          </w:p>
        </w:tc>
        <w:tc>
          <w:tcPr>
            <w:tcW w:w="1577" w:type="dxa"/>
            <w:shd w:val="clear" w:color="auto" w:fill="DEEAF6" w:themeFill="accent5" w:themeFillTint="33"/>
          </w:tcPr>
          <w:p w14:paraId="70BF266D" w14:textId="77777777" w:rsidR="002D4265" w:rsidRPr="00782567" w:rsidRDefault="002D4265" w:rsidP="002D4265">
            <w:pPr>
              <w:jc w:val="both"/>
              <w:rPr>
                <w:rFonts w:eastAsia="Calibri" w:cstheme="minorHAnsi"/>
                <w:color w:val="2C307E"/>
                <w:sz w:val="20"/>
                <w:szCs w:val="20"/>
              </w:rPr>
            </w:pPr>
            <w:r w:rsidRPr="00782567">
              <w:rPr>
                <w:rFonts w:eastAsia="Calibri" w:cstheme="minorHAnsi"/>
                <w:color w:val="2C307E"/>
                <w:sz w:val="20"/>
                <w:szCs w:val="20"/>
              </w:rPr>
              <w:t>-</w:t>
            </w:r>
          </w:p>
        </w:tc>
        <w:tc>
          <w:tcPr>
            <w:tcW w:w="1318" w:type="dxa"/>
            <w:shd w:val="clear" w:color="auto" w:fill="DEEAF6" w:themeFill="accent5" w:themeFillTint="33"/>
          </w:tcPr>
          <w:p w14:paraId="70320B72" w14:textId="77777777" w:rsidR="002D4265" w:rsidRPr="00782567" w:rsidRDefault="002D4265" w:rsidP="002D4265">
            <w:pPr>
              <w:jc w:val="both"/>
              <w:rPr>
                <w:rFonts w:eastAsia="Calibri" w:cstheme="minorHAnsi"/>
                <w:color w:val="2C307E"/>
                <w:sz w:val="20"/>
                <w:szCs w:val="20"/>
              </w:rPr>
            </w:pPr>
            <w:r w:rsidRPr="00782567">
              <w:rPr>
                <w:rFonts w:eastAsia="Calibri" w:cstheme="minorHAnsi"/>
                <w:color w:val="2C307E"/>
                <w:sz w:val="20"/>
                <w:szCs w:val="20"/>
              </w:rPr>
              <w:t>16%</w:t>
            </w:r>
          </w:p>
        </w:tc>
        <w:tc>
          <w:tcPr>
            <w:tcW w:w="1318" w:type="dxa"/>
            <w:shd w:val="clear" w:color="auto" w:fill="DEEAF6" w:themeFill="accent5" w:themeFillTint="33"/>
          </w:tcPr>
          <w:p w14:paraId="4AEE0B53" w14:textId="77777777" w:rsidR="002D4265" w:rsidRPr="00782567" w:rsidRDefault="002D4265" w:rsidP="002D4265">
            <w:pPr>
              <w:jc w:val="both"/>
              <w:rPr>
                <w:rFonts w:eastAsia="Calibri" w:cstheme="minorHAnsi"/>
                <w:color w:val="2C307E"/>
                <w:sz w:val="20"/>
                <w:szCs w:val="20"/>
              </w:rPr>
            </w:pPr>
            <w:r w:rsidRPr="00782567">
              <w:rPr>
                <w:rFonts w:eastAsia="Calibri" w:cstheme="minorHAnsi"/>
                <w:color w:val="2C307E"/>
                <w:sz w:val="20"/>
                <w:szCs w:val="20"/>
              </w:rPr>
              <w:t>12%</w:t>
            </w:r>
          </w:p>
        </w:tc>
        <w:tc>
          <w:tcPr>
            <w:tcW w:w="1413" w:type="dxa"/>
            <w:shd w:val="clear" w:color="auto" w:fill="DEEAF6" w:themeFill="accent5" w:themeFillTint="33"/>
          </w:tcPr>
          <w:p w14:paraId="2935532F" w14:textId="77777777" w:rsidR="002D4265" w:rsidRPr="00782567" w:rsidRDefault="002D4265" w:rsidP="002D4265">
            <w:pPr>
              <w:jc w:val="both"/>
              <w:rPr>
                <w:rFonts w:eastAsia="Calibri" w:cstheme="minorHAnsi"/>
                <w:color w:val="2C307E"/>
                <w:sz w:val="20"/>
                <w:szCs w:val="20"/>
              </w:rPr>
            </w:pPr>
            <w:r w:rsidRPr="00782567">
              <w:rPr>
                <w:rFonts w:eastAsia="Calibri" w:cstheme="minorHAnsi"/>
                <w:color w:val="2C307E"/>
                <w:sz w:val="20"/>
                <w:szCs w:val="20"/>
              </w:rPr>
              <w:t>16%</w:t>
            </w:r>
          </w:p>
        </w:tc>
      </w:tr>
    </w:tbl>
    <w:p w14:paraId="740AE2E0" w14:textId="77777777" w:rsidR="002D4265" w:rsidRDefault="002D4265" w:rsidP="00782567">
      <w:pPr>
        <w:pStyle w:val="Kop2"/>
        <w:jc w:val="both"/>
      </w:pPr>
    </w:p>
    <w:p w14:paraId="498DA1C8" w14:textId="2B83A2D7" w:rsidR="00782567" w:rsidRPr="004B4173" w:rsidRDefault="00782567" w:rsidP="00782567">
      <w:pPr>
        <w:pStyle w:val="Kop2"/>
        <w:jc w:val="both"/>
      </w:pPr>
      <w:bookmarkStart w:id="33" w:name="_Toc209702570"/>
      <w:bookmarkStart w:id="34" w:name="_Toc209710045"/>
      <w:r>
        <w:t>Aanhangers</w:t>
      </w:r>
      <w:bookmarkEnd w:id="33"/>
      <w:bookmarkEnd w:id="34"/>
    </w:p>
    <w:p w14:paraId="59844DFF" w14:textId="77777777" w:rsidR="00782567" w:rsidRDefault="00782567" w:rsidP="00782567">
      <w:pPr>
        <w:spacing w:after="0" w:line="240" w:lineRule="auto"/>
        <w:jc w:val="both"/>
        <w:rPr>
          <w:rFonts w:cstheme="minorHAnsi"/>
          <w:b/>
          <w:bCs/>
          <w:color w:val="2C307E"/>
        </w:rPr>
      </w:pPr>
      <w:r w:rsidRPr="00AE0676">
        <w:rPr>
          <w:rFonts w:cstheme="minorHAnsi"/>
          <w:b/>
          <w:bCs/>
          <w:color w:val="2C307E"/>
        </w:rPr>
        <w:t>4</w:t>
      </w:r>
      <w:r>
        <w:rPr>
          <w:rFonts w:cstheme="minorHAnsi"/>
          <w:b/>
          <w:bCs/>
          <w:color w:val="2C307E"/>
        </w:rPr>
        <w:t>0</w:t>
      </w:r>
      <w:r w:rsidRPr="00AE0676">
        <w:rPr>
          <w:rFonts w:cstheme="minorHAnsi"/>
          <w:b/>
          <w:bCs/>
          <w:color w:val="2C307E"/>
        </w:rPr>
        <w:t>% van de EV-rijders rijdt weleens met een aanhanger, fietsdrager, of iets dergelijks achter de auto.</w:t>
      </w:r>
      <w:r>
        <w:rPr>
          <w:rFonts w:cstheme="minorHAnsi"/>
          <w:b/>
          <w:bCs/>
          <w:color w:val="2C307E"/>
        </w:rPr>
        <w:t xml:space="preserve"> [N=2.011]</w:t>
      </w:r>
    </w:p>
    <w:p w14:paraId="43B10F65" w14:textId="5DEB8D4D" w:rsidR="00782567" w:rsidRDefault="00782567" w:rsidP="00782567">
      <w:pPr>
        <w:spacing w:after="0" w:line="240" w:lineRule="auto"/>
        <w:jc w:val="both"/>
        <w:rPr>
          <w:rFonts w:cstheme="minorHAnsi"/>
          <w:color w:val="2C307E"/>
        </w:rPr>
      </w:pPr>
      <w:r>
        <w:rPr>
          <w:rFonts w:cstheme="minorHAnsi"/>
          <w:color w:val="2C307E"/>
        </w:rPr>
        <w:t>Vaak is dat een fietsendrager. 20% rijdt weleens met een aanhanger of caravan. De categorie ‘anders’ bestaat voornamelijk uit vouwwagens en dakkoffers.</w:t>
      </w:r>
    </w:p>
    <w:p w14:paraId="485E530A" w14:textId="77777777" w:rsidR="00782567" w:rsidRPr="007A392B" w:rsidRDefault="00782567" w:rsidP="00782567">
      <w:pPr>
        <w:spacing w:after="0" w:line="240" w:lineRule="auto"/>
        <w:jc w:val="both"/>
        <w:rPr>
          <w:rFonts w:cstheme="minorHAnsi"/>
          <w:color w:val="2C307E"/>
        </w:rPr>
      </w:pPr>
    </w:p>
    <w:p w14:paraId="629614AE" w14:textId="77777777" w:rsidR="002D4265" w:rsidRDefault="00782567" w:rsidP="00782567">
      <w:pPr>
        <w:spacing w:after="0" w:line="240" w:lineRule="auto"/>
        <w:jc w:val="both"/>
        <w:rPr>
          <w:rFonts w:cstheme="minorHAnsi"/>
          <w:b/>
          <w:bCs/>
          <w:color w:val="2C307E"/>
        </w:rPr>
      </w:pPr>
      <w:r w:rsidRPr="00AE0676">
        <w:rPr>
          <w:rFonts w:cstheme="minorHAnsi"/>
          <w:b/>
          <w:bCs/>
          <w:color w:val="2C307E"/>
        </w:rPr>
        <w:t>33% van de EV-rijders die weleens met een caravan of aanhanger rijdt, ervaart weleens knelpunten</w:t>
      </w:r>
      <w:r>
        <w:rPr>
          <w:rFonts w:cstheme="minorHAnsi"/>
          <w:b/>
          <w:bCs/>
          <w:color w:val="2C307E"/>
        </w:rPr>
        <w:t>. [N=377]</w:t>
      </w:r>
    </w:p>
    <w:p w14:paraId="6239A092" w14:textId="22248D2E" w:rsidR="00782567" w:rsidRPr="002D4265" w:rsidRDefault="00782567" w:rsidP="00782567">
      <w:pPr>
        <w:spacing w:after="0" w:line="240" w:lineRule="auto"/>
        <w:jc w:val="both"/>
        <w:rPr>
          <w:rFonts w:cstheme="minorHAnsi"/>
          <w:b/>
          <w:bCs/>
          <w:color w:val="2C307E"/>
        </w:rPr>
      </w:pPr>
      <w:r>
        <w:rPr>
          <w:rFonts w:cstheme="minorHAnsi"/>
          <w:color w:val="2C307E"/>
        </w:rPr>
        <w:t>Deze knelpunten hebben meestal betrekking op het laad- of parkeervak.</w:t>
      </w:r>
      <w:r w:rsidR="003F33E6">
        <w:rPr>
          <w:rFonts w:cstheme="minorHAnsi"/>
          <w:color w:val="2C307E"/>
        </w:rPr>
        <w:t xml:space="preserve"> 27% ervaart </w:t>
      </w:r>
      <w:r w:rsidR="002D4265">
        <w:rPr>
          <w:rFonts w:cstheme="minorHAnsi"/>
          <w:color w:val="2C307E"/>
        </w:rPr>
        <w:t xml:space="preserve">het ontbreken van een doorrijvak als knelpunt en 22% komt weleens een te kort </w:t>
      </w:r>
      <w:r w:rsidR="00D20AA4">
        <w:rPr>
          <w:rFonts w:cstheme="minorHAnsi"/>
          <w:color w:val="2C307E"/>
        </w:rPr>
        <w:t>parkeer</w:t>
      </w:r>
      <w:r w:rsidR="002D4265">
        <w:rPr>
          <w:rFonts w:cstheme="minorHAnsi"/>
          <w:color w:val="2C307E"/>
        </w:rPr>
        <w:t xml:space="preserve">vak tegen met de aanhanger. </w:t>
      </w:r>
      <w:r>
        <w:rPr>
          <w:rFonts w:cstheme="minorHAnsi"/>
          <w:color w:val="2C307E"/>
        </w:rPr>
        <w:t>In de categorie ‘anders namelijk’ komt ‘Aanhanger kan niet afkoppelen’ het vaakst voor.</w:t>
      </w:r>
    </w:p>
    <w:p w14:paraId="076E99B5" w14:textId="77777777" w:rsidR="00A30DC9" w:rsidRDefault="00A30DC9" w:rsidP="00A30DC9">
      <w:pPr>
        <w:rPr>
          <w:rFonts w:eastAsia="Calibri" w:cstheme="minorHAnsi"/>
          <w:b/>
          <w:color w:val="2C307E"/>
          <w:highlight w:val="yellow"/>
        </w:rPr>
      </w:pPr>
    </w:p>
    <w:p w14:paraId="048AFE0B" w14:textId="77777777" w:rsidR="00A30DC9" w:rsidRDefault="00A30DC9" w:rsidP="00A30DC9">
      <w:pPr>
        <w:rPr>
          <w:rFonts w:eastAsia="Calibri" w:cstheme="minorHAnsi"/>
          <w:b/>
          <w:color w:val="2C307E"/>
          <w:highlight w:val="yellow"/>
        </w:rPr>
      </w:pPr>
    </w:p>
    <w:p w14:paraId="7DFFA90E" w14:textId="77777777" w:rsidR="00782567" w:rsidRDefault="00A30DC9" w:rsidP="00782567">
      <w:pPr>
        <w:spacing w:after="0" w:line="276" w:lineRule="auto"/>
        <w:jc w:val="both"/>
        <w:rPr>
          <w:rFonts w:eastAsia="Calibri" w:cstheme="minorHAnsi"/>
          <w:b/>
          <w:color w:val="2C307E"/>
        </w:rPr>
      </w:pPr>
      <w:r w:rsidRPr="00A60B13">
        <w:rPr>
          <w:rFonts w:eastAsia="Calibri" w:cstheme="minorHAnsi"/>
          <w:b/>
          <w:color w:val="2C307E"/>
        </w:rPr>
        <w:t xml:space="preserve">EV-rijders die wel naar het buitenland gaan met hun elektrische auto hebben gemiddeld </w:t>
      </w:r>
      <w:r>
        <w:rPr>
          <w:rFonts w:eastAsia="Calibri" w:cstheme="minorHAnsi"/>
          <w:b/>
          <w:color w:val="2C307E"/>
        </w:rPr>
        <w:t>één</w:t>
      </w:r>
      <w:r w:rsidRPr="00A60B13">
        <w:rPr>
          <w:rFonts w:eastAsia="Calibri" w:cstheme="minorHAnsi"/>
          <w:b/>
          <w:color w:val="2C307E"/>
        </w:rPr>
        <w:t xml:space="preserve"> laadpas meer</w:t>
      </w:r>
      <w:r w:rsidRPr="00782567">
        <w:rPr>
          <w:rFonts w:eastAsia="Calibri" w:cstheme="minorHAnsi"/>
          <w:b/>
          <w:color w:val="2C307E"/>
        </w:rPr>
        <w:t>.</w:t>
      </w:r>
    </w:p>
    <w:p w14:paraId="1E7EF3A4" w14:textId="6E9FA812" w:rsidR="00A30DC9" w:rsidRPr="00782567" w:rsidRDefault="00A30DC9" w:rsidP="00782567">
      <w:pPr>
        <w:spacing w:after="0" w:line="276" w:lineRule="auto"/>
        <w:jc w:val="both"/>
        <w:rPr>
          <w:rFonts w:eastAsia="Calibri" w:cstheme="minorHAnsi"/>
          <w:bCs/>
          <w:color w:val="2C307E"/>
        </w:rPr>
      </w:pPr>
      <w:r w:rsidRPr="00782567">
        <w:rPr>
          <w:rFonts w:eastAsia="Calibri" w:cstheme="minorHAnsi"/>
          <w:bCs/>
          <w:color w:val="2C307E"/>
        </w:rPr>
        <w:t xml:space="preserve">Zij hebben gemiddeld drie laadpassen terwijl EV-rijders die niet naar het buitenland gaan gemiddeld twee laadpassen bezitten. </w:t>
      </w:r>
    </w:p>
    <w:p w14:paraId="07558CDC" w14:textId="77777777" w:rsidR="00A30DC9" w:rsidRPr="002C1A66" w:rsidRDefault="00A30DC9" w:rsidP="00A30DC9">
      <w:pPr>
        <w:spacing w:after="0" w:line="276" w:lineRule="auto"/>
        <w:jc w:val="both"/>
        <w:rPr>
          <w:rFonts w:cstheme="minorHAnsi"/>
          <w:b/>
          <w:bCs/>
          <w:color w:val="2C307E"/>
          <w:highlight w:val="yellow"/>
        </w:rPr>
      </w:pPr>
    </w:p>
    <w:p w14:paraId="780982D3" w14:textId="77777777" w:rsidR="00A30DC9" w:rsidRPr="00066A05" w:rsidRDefault="00A30DC9" w:rsidP="00A30DC9">
      <w:pPr>
        <w:spacing w:after="0" w:line="276" w:lineRule="auto"/>
        <w:jc w:val="both"/>
        <w:rPr>
          <w:rFonts w:cstheme="minorHAnsi"/>
          <w:b/>
          <w:bCs/>
          <w:color w:val="2C307E"/>
        </w:rPr>
      </w:pPr>
      <w:r w:rsidRPr="00066A05">
        <w:rPr>
          <w:rFonts w:cstheme="minorHAnsi"/>
          <w:b/>
          <w:bCs/>
          <w:color w:val="2C307E"/>
        </w:rPr>
        <w:t xml:space="preserve">Minder </w:t>
      </w:r>
      <w:r w:rsidRPr="007A0A06">
        <w:rPr>
          <w:rFonts w:cstheme="minorHAnsi"/>
          <w:b/>
          <w:bCs/>
          <w:i/>
          <w:iCs/>
          <w:color w:val="2C307E"/>
        </w:rPr>
        <w:t>range anxiety</w:t>
      </w:r>
      <w:r w:rsidRPr="00066A05">
        <w:rPr>
          <w:rFonts w:cstheme="minorHAnsi"/>
          <w:b/>
          <w:bCs/>
          <w:color w:val="2C307E"/>
        </w:rPr>
        <w:t xml:space="preserve"> onder EV-rijders die wel naar het buitenland gaan.</w:t>
      </w:r>
    </w:p>
    <w:p w14:paraId="1FECCD9E" w14:textId="77777777" w:rsidR="00A30DC9" w:rsidRPr="00066A05" w:rsidRDefault="00A30DC9" w:rsidP="00A30DC9">
      <w:pPr>
        <w:spacing w:after="0" w:line="276" w:lineRule="auto"/>
        <w:jc w:val="both"/>
        <w:rPr>
          <w:rFonts w:cstheme="minorHAnsi"/>
          <w:color w:val="2C307E"/>
        </w:rPr>
      </w:pPr>
      <w:r>
        <w:rPr>
          <w:rFonts w:cstheme="minorHAnsi"/>
          <w:color w:val="2C307E"/>
        </w:rPr>
        <w:t>78</w:t>
      </w:r>
      <w:r w:rsidRPr="00066A05">
        <w:rPr>
          <w:rFonts w:cstheme="minorHAnsi"/>
          <w:color w:val="2C307E"/>
        </w:rPr>
        <w:t xml:space="preserve">% van de </w:t>
      </w:r>
      <w:r>
        <w:rPr>
          <w:rFonts w:cstheme="minorHAnsi"/>
          <w:color w:val="2C307E"/>
        </w:rPr>
        <w:t>EV-rijders</w:t>
      </w:r>
      <w:r w:rsidRPr="00066A05">
        <w:rPr>
          <w:rFonts w:cstheme="minorHAnsi"/>
          <w:color w:val="2C307E"/>
        </w:rPr>
        <w:t xml:space="preserve"> die met de auto naar het buitenland gaan is het (</w:t>
      </w:r>
      <w:r>
        <w:rPr>
          <w:rFonts w:cstheme="minorHAnsi"/>
          <w:color w:val="2C307E"/>
        </w:rPr>
        <w:t>helemaal</w:t>
      </w:r>
      <w:r w:rsidRPr="00066A05">
        <w:rPr>
          <w:rFonts w:cstheme="minorHAnsi"/>
          <w:color w:val="2C307E"/>
        </w:rPr>
        <w:t xml:space="preserve">) eens met de stelling: </w:t>
      </w:r>
      <w:r w:rsidRPr="00066A05">
        <w:rPr>
          <w:rFonts w:cstheme="minorHAnsi"/>
          <w:i/>
          <w:iCs/>
          <w:color w:val="2C307E"/>
        </w:rPr>
        <w:t>Ik kan vertrouwen op de actieradius die mijn auto in de praktijk weergeeft</w:t>
      </w:r>
      <w:r>
        <w:rPr>
          <w:rFonts w:cstheme="minorHAnsi"/>
          <w:color w:val="2C307E"/>
        </w:rPr>
        <w:t>.</w:t>
      </w:r>
    </w:p>
    <w:p w14:paraId="5A98EEB4" w14:textId="77777777" w:rsidR="00A30DC9" w:rsidRPr="00066A05" w:rsidRDefault="00A30DC9" w:rsidP="00A30DC9">
      <w:pPr>
        <w:spacing w:after="0" w:line="276" w:lineRule="auto"/>
        <w:jc w:val="both"/>
        <w:rPr>
          <w:b/>
          <w:color w:val="2C307E"/>
        </w:rPr>
      </w:pPr>
      <w:r w:rsidRPr="00066A05">
        <w:rPr>
          <w:color w:val="2C307E"/>
        </w:rPr>
        <w:t xml:space="preserve">Voor de EV-rijders die niet met de elektrische auto naar het buitenland gaan ligt dat percentage op </w:t>
      </w:r>
      <w:r>
        <w:rPr>
          <w:color w:val="2C307E"/>
        </w:rPr>
        <w:t>60</w:t>
      </w:r>
      <w:r w:rsidRPr="00066A05">
        <w:rPr>
          <w:color w:val="2C307E"/>
        </w:rPr>
        <w:t>%.</w:t>
      </w:r>
    </w:p>
    <w:p w14:paraId="7055AB2A" w14:textId="23B89BD9" w:rsidR="00782567" w:rsidRDefault="00782567" w:rsidP="00A30DC9">
      <w:pPr>
        <w:rPr>
          <w:rFonts w:eastAsia="Calibri" w:cstheme="minorHAnsi"/>
          <w:b/>
          <w:color w:val="2C307E"/>
        </w:rPr>
      </w:pPr>
    </w:p>
    <w:p w14:paraId="313B9990" w14:textId="77777777" w:rsidR="00782567" w:rsidRDefault="00782567" w:rsidP="00A30DC9">
      <w:pPr>
        <w:rPr>
          <w:rFonts w:eastAsia="Calibri" w:cstheme="minorHAnsi"/>
          <w:b/>
          <w:color w:val="2C307E"/>
        </w:rPr>
      </w:pPr>
    </w:p>
    <w:p w14:paraId="00176087" w14:textId="2A8F1658" w:rsidR="00782567" w:rsidRPr="00782567" w:rsidRDefault="003F33E6" w:rsidP="00A30DC9">
      <w:pPr>
        <w:rPr>
          <w:rFonts w:eastAsia="Calibri" w:cstheme="minorHAnsi"/>
          <w:b/>
          <w:color w:val="2C307E"/>
        </w:rPr>
      </w:pPr>
      <w:r>
        <w:rPr>
          <w:noProof/>
        </w:rPr>
        <w:drawing>
          <wp:inline distT="0" distB="0" distL="0" distR="0" wp14:anchorId="4E590483" wp14:editId="5CAFC074">
            <wp:extent cx="2655570" cy="3276600"/>
            <wp:effectExtent l="0" t="0" r="0" b="0"/>
            <wp:docPr id="791205277" name="Grafiek 1">
              <a:extLst xmlns:a="http://schemas.openxmlformats.org/drawingml/2006/main">
                <a:ext uri="{FF2B5EF4-FFF2-40B4-BE49-F238E27FC236}">
                  <a16:creationId xmlns:a16="http://schemas.microsoft.com/office/drawing/2014/main" id="{A240B965-49F1-EA89-380E-F79D74BEAFF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10702153" w14:textId="77777777" w:rsidR="0094579C" w:rsidRDefault="0094579C" w:rsidP="0094579C">
      <w:pPr>
        <w:spacing w:after="0" w:line="240" w:lineRule="auto"/>
        <w:jc w:val="both"/>
        <w:rPr>
          <w:rFonts w:cstheme="minorHAnsi"/>
          <w:b/>
          <w:bCs/>
          <w:color w:val="2C307E"/>
          <w:highlight w:val="yellow"/>
        </w:rPr>
      </w:pPr>
    </w:p>
    <w:p w14:paraId="470FEC0D" w14:textId="2E6FC837" w:rsidR="009510FB" w:rsidRDefault="009510FB" w:rsidP="0094579C">
      <w:pPr>
        <w:spacing w:after="0" w:line="240" w:lineRule="auto"/>
        <w:jc w:val="both"/>
        <w:rPr>
          <w:rFonts w:cstheme="minorHAnsi"/>
          <w:color w:val="2C307E"/>
        </w:rPr>
      </w:pPr>
    </w:p>
    <w:p w14:paraId="5B1653F9" w14:textId="69578AAA" w:rsidR="00A91180" w:rsidRDefault="00A91180" w:rsidP="00A91180">
      <w:pPr>
        <w:pStyle w:val="Kop2"/>
        <w:jc w:val="both"/>
      </w:pPr>
      <w:bookmarkStart w:id="35" w:name="_Toc208498175"/>
      <w:bookmarkStart w:id="36" w:name="_Toc209702571"/>
      <w:bookmarkStart w:id="37" w:name="_Toc209710046"/>
      <w:r>
        <w:lastRenderedPageBreak/>
        <w:t>Parkeergarages</w:t>
      </w:r>
      <w:bookmarkEnd w:id="35"/>
      <w:bookmarkEnd w:id="36"/>
      <w:bookmarkEnd w:id="37"/>
    </w:p>
    <w:p w14:paraId="1392A20E" w14:textId="77777777" w:rsidR="00D20AA4" w:rsidRDefault="002B6AE1" w:rsidP="00D20AA4">
      <w:pPr>
        <w:spacing w:after="0" w:line="240" w:lineRule="auto"/>
        <w:jc w:val="both"/>
        <w:rPr>
          <w:rFonts w:cstheme="minorHAnsi"/>
          <w:b/>
          <w:bCs/>
          <w:color w:val="2C307E"/>
        </w:rPr>
      </w:pPr>
      <w:r w:rsidRPr="00565811">
        <w:rPr>
          <w:rFonts w:cstheme="minorHAnsi"/>
          <w:b/>
          <w:bCs/>
          <w:color w:val="2C307E"/>
        </w:rPr>
        <w:t>4% van de EV-rijders geeft aan dat hen weleens de toegang tot een parkeergarage is onthouden</w:t>
      </w:r>
      <w:r w:rsidR="000768D9">
        <w:rPr>
          <w:rFonts w:cstheme="minorHAnsi"/>
          <w:b/>
          <w:bCs/>
          <w:color w:val="2C307E"/>
        </w:rPr>
        <w:t>.</w:t>
      </w:r>
      <w:r w:rsidRPr="00565811">
        <w:rPr>
          <w:rFonts w:cstheme="minorHAnsi"/>
          <w:b/>
          <w:bCs/>
          <w:color w:val="2C307E"/>
        </w:rPr>
        <w:t xml:space="preserve"> [N= </w:t>
      </w:r>
      <w:r w:rsidR="00565811" w:rsidRPr="00565811">
        <w:rPr>
          <w:rFonts w:cstheme="minorHAnsi"/>
          <w:b/>
          <w:bCs/>
          <w:color w:val="2C307E"/>
        </w:rPr>
        <w:t>2.008]</w:t>
      </w:r>
    </w:p>
    <w:p w14:paraId="3E82DAEB" w14:textId="2BB6817F" w:rsidR="007A392B" w:rsidRPr="00D20AA4" w:rsidRDefault="007A392B" w:rsidP="00D20AA4">
      <w:pPr>
        <w:spacing w:after="0" w:line="240" w:lineRule="auto"/>
        <w:jc w:val="both"/>
        <w:rPr>
          <w:rFonts w:cstheme="minorHAnsi"/>
          <w:color w:val="2C307E"/>
        </w:rPr>
      </w:pPr>
      <w:r w:rsidRPr="00D20AA4">
        <w:rPr>
          <w:rFonts w:cstheme="minorHAnsi"/>
          <w:color w:val="2C307E"/>
        </w:rPr>
        <w:t>Als dat gebeurde, was dat meestal in een openbare parkeergarage.</w:t>
      </w:r>
      <w:r w:rsidR="00896775" w:rsidRPr="00D20AA4">
        <w:rPr>
          <w:rFonts w:cstheme="minorHAnsi"/>
          <w:color w:val="2C307E"/>
        </w:rPr>
        <w:t xml:space="preserve"> [N=73]</w:t>
      </w:r>
    </w:p>
    <w:p w14:paraId="25299751" w14:textId="20D45929" w:rsidR="00565811" w:rsidRPr="00565811" w:rsidRDefault="00BD5613" w:rsidP="00A91180">
      <w:pPr>
        <w:rPr>
          <w:rFonts w:cstheme="minorHAnsi"/>
          <w:b/>
          <w:bCs/>
          <w:color w:val="2C307E"/>
        </w:rPr>
      </w:pPr>
      <w:r>
        <w:rPr>
          <w:noProof/>
        </w:rPr>
        <w:drawing>
          <wp:inline distT="0" distB="0" distL="0" distR="0" wp14:anchorId="0D6D48B9" wp14:editId="0B3320F7">
            <wp:extent cx="2655570" cy="2466975"/>
            <wp:effectExtent l="0" t="0" r="0" b="0"/>
            <wp:docPr id="778846809" name="Grafiek 1">
              <a:extLst xmlns:a="http://schemas.openxmlformats.org/drawingml/2006/main">
                <a:ext uri="{FF2B5EF4-FFF2-40B4-BE49-F238E27FC236}">
                  <a16:creationId xmlns:a16="http://schemas.microsoft.com/office/drawing/2014/main" id="{58866212-CAF6-2D31-C13B-49A7F4FE089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7F768DED" w14:textId="3B569DC9" w:rsidR="007F1A1B" w:rsidRDefault="007F1A1B" w:rsidP="00E6560A">
      <w:pPr>
        <w:pStyle w:val="Kop2"/>
      </w:pPr>
      <w:bookmarkStart w:id="38" w:name="_Toc209710047"/>
      <w:r w:rsidRPr="00E1048D">
        <w:t>3.</w:t>
      </w:r>
      <w:r w:rsidR="00F35DEE">
        <w:t>3</w:t>
      </w:r>
      <w:r w:rsidRPr="00E1048D">
        <w:t xml:space="preserve"> </w:t>
      </w:r>
      <w:r w:rsidR="00A04ED1" w:rsidRPr="00E1048D">
        <w:t>B</w:t>
      </w:r>
      <w:r w:rsidRPr="00E1048D">
        <w:t>eta</w:t>
      </w:r>
      <w:r w:rsidR="006D6D85">
        <w:t>almethode en prijzen</w:t>
      </w:r>
      <w:bookmarkEnd w:id="38"/>
    </w:p>
    <w:p w14:paraId="022FBAFB" w14:textId="2269C5EE" w:rsidR="007F1A1B" w:rsidRPr="00E1048D" w:rsidRDefault="007F1A1B" w:rsidP="00A26094">
      <w:pPr>
        <w:spacing w:after="0" w:line="276" w:lineRule="auto"/>
        <w:jc w:val="both"/>
        <w:rPr>
          <w:color w:val="2C2F7D"/>
        </w:rPr>
      </w:pPr>
      <w:r w:rsidRPr="00E1048D">
        <w:rPr>
          <w:rFonts w:cstheme="minorHAnsi"/>
          <w:color w:val="2C307E"/>
        </w:rPr>
        <w:t>In Nederland kan je op verschillende manieren betalen bij de openbare laadpaal: met een laadpas, een laadapp</w:t>
      </w:r>
      <w:r w:rsidR="00BC04DD">
        <w:rPr>
          <w:rFonts w:cstheme="minorHAnsi"/>
          <w:color w:val="2C307E"/>
        </w:rPr>
        <w:t>,</w:t>
      </w:r>
      <w:r w:rsidRPr="00E1048D">
        <w:rPr>
          <w:rFonts w:cstheme="minorHAnsi"/>
          <w:color w:val="2C307E"/>
        </w:rPr>
        <w:t xml:space="preserve"> of ad</w:t>
      </w:r>
      <w:r w:rsidR="009F1E3A">
        <w:rPr>
          <w:rFonts w:cstheme="minorHAnsi"/>
          <w:color w:val="2C307E"/>
        </w:rPr>
        <w:t>-</w:t>
      </w:r>
      <w:r w:rsidRPr="00E1048D">
        <w:rPr>
          <w:rFonts w:cstheme="minorHAnsi"/>
          <w:color w:val="2C307E"/>
        </w:rPr>
        <w:t>hoc (zonder contract en direct met je pinpas</w:t>
      </w:r>
      <w:r w:rsidR="00C85300">
        <w:rPr>
          <w:rFonts w:cstheme="minorHAnsi"/>
          <w:color w:val="2C307E"/>
        </w:rPr>
        <w:t xml:space="preserve">, </w:t>
      </w:r>
      <w:r w:rsidR="00C82196">
        <w:rPr>
          <w:rFonts w:cstheme="minorHAnsi"/>
          <w:color w:val="2C307E"/>
        </w:rPr>
        <w:t>contactloos</w:t>
      </w:r>
      <w:r w:rsidR="00C85300">
        <w:rPr>
          <w:rFonts w:cstheme="minorHAnsi"/>
          <w:color w:val="2C307E"/>
        </w:rPr>
        <w:t xml:space="preserve">, of </w:t>
      </w:r>
      <w:r w:rsidRPr="00E1048D">
        <w:rPr>
          <w:rFonts w:cstheme="minorHAnsi"/>
          <w:color w:val="2C307E"/>
        </w:rPr>
        <w:t xml:space="preserve">via een QR-code). </w:t>
      </w:r>
      <w:r w:rsidRPr="00E1048D">
        <w:rPr>
          <w:color w:val="2C2F7D"/>
        </w:rPr>
        <w:t xml:space="preserve">Bij ad hoc laden is de prijs inzichtelijker omdat er minder prijscomponenten zijn, en er geldt </w:t>
      </w:r>
      <w:r w:rsidR="002A5D82" w:rsidRPr="00E1048D">
        <w:rPr>
          <w:color w:val="2C2F7D"/>
        </w:rPr>
        <w:t>één</w:t>
      </w:r>
      <w:r w:rsidRPr="00E1048D">
        <w:rPr>
          <w:color w:val="2C2F7D"/>
        </w:rPr>
        <w:t xml:space="preserve"> prijs per laadpaal, terwijl dat bij het gebruik van een laadpas niet altijd het geval is.</w:t>
      </w:r>
    </w:p>
    <w:p w14:paraId="7C24E8A6" w14:textId="77777777" w:rsidR="007F1A1B" w:rsidRPr="002C1A66" w:rsidRDefault="007F1A1B" w:rsidP="00A26094">
      <w:pPr>
        <w:spacing w:after="0" w:line="276" w:lineRule="auto"/>
        <w:jc w:val="both"/>
        <w:rPr>
          <w:rFonts w:cstheme="minorHAnsi"/>
          <w:b/>
          <w:bCs/>
          <w:color w:val="2C307E"/>
          <w:highlight w:val="yellow"/>
        </w:rPr>
      </w:pPr>
    </w:p>
    <w:p w14:paraId="0B719F25" w14:textId="77777777" w:rsidR="00416630" w:rsidRDefault="00D0759C" w:rsidP="009F1E3A">
      <w:pPr>
        <w:spacing w:after="0" w:line="276" w:lineRule="auto"/>
        <w:jc w:val="both"/>
        <w:rPr>
          <w:b/>
          <w:bCs/>
          <w:color w:val="2C2F7D"/>
        </w:rPr>
      </w:pPr>
      <w:r>
        <w:rPr>
          <w:b/>
          <w:bCs/>
          <w:color w:val="2C2F7D"/>
        </w:rPr>
        <w:t xml:space="preserve">De EV-rijder betaalt </w:t>
      </w:r>
      <w:r w:rsidR="00534C82">
        <w:rPr>
          <w:b/>
          <w:bCs/>
          <w:color w:val="2C2F7D"/>
        </w:rPr>
        <w:t>meestal</w:t>
      </w:r>
      <w:r>
        <w:rPr>
          <w:b/>
          <w:bCs/>
          <w:color w:val="2C2F7D"/>
        </w:rPr>
        <w:t xml:space="preserve"> met een laadpas of laadapp bij de openbare laadpaal en de snellader. </w:t>
      </w:r>
    </w:p>
    <w:p w14:paraId="49EACA47" w14:textId="1C3B199B" w:rsidR="009F1E3A" w:rsidRDefault="009F1E3A" w:rsidP="009F1E3A">
      <w:pPr>
        <w:spacing w:after="0" w:line="276" w:lineRule="auto"/>
        <w:jc w:val="both"/>
        <w:rPr>
          <w:rFonts w:cstheme="minorHAnsi"/>
          <w:color w:val="2C307E"/>
        </w:rPr>
      </w:pPr>
      <w:r w:rsidRPr="00963584">
        <w:rPr>
          <w:color w:val="2C2F7D"/>
        </w:rPr>
        <w:t xml:space="preserve">De meeste </w:t>
      </w:r>
      <w:r>
        <w:rPr>
          <w:color w:val="2C2F7D"/>
        </w:rPr>
        <w:t>EV-rijders</w:t>
      </w:r>
      <w:r w:rsidRPr="00963584">
        <w:rPr>
          <w:color w:val="2C2F7D"/>
        </w:rPr>
        <w:t xml:space="preserve"> kiezen voor een laadpas als hoofdbetaalwijze (90% voor regulier openbaar laden en 57% voor snelladen). Daarna volgt de laadapp</w:t>
      </w:r>
      <w:r>
        <w:rPr>
          <w:color w:val="2C2F7D"/>
        </w:rPr>
        <w:t xml:space="preserve"> bij openbaar laden en autocharge/plug and charge bij </w:t>
      </w:r>
      <w:r w:rsidRPr="003D2335">
        <w:rPr>
          <w:color w:val="2C2F7D"/>
        </w:rPr>
        <w:t xml:space="preserve">de snellader. Vormen van ad hoc laden worden bijna niet gebruikt: slechts </w:t>
      </w:r>
      <w:r>
        <w:rPr>
          <w:color w:val="2C2F7D"/>
        </w:rPr>
        <w:t>vier</w:t>
      </w:r>
      <w:r w:rsidRPr="003D2335">
        <w:rPr>
          <w:color w:val="2C2F7D"/>
        </w:rPr>
        <w:t xml:space="preserve"> respondenten geven aan het als hoofdbetaalwijze te gebruiken bij de openbare laadpaal en 23 bij de snellader. D</w:t>
      </w:r>
      <w:r w:rsidRPr="003D2335">
        <w:rPr>
          <w:rFonts w:cstheme="minorHAnsi"/>
          <w:color w:val="2C307E"/>
        </w:rPr>
        <w:t>eze verdeling is gelijk aan de uitkomst van de onderzoeken in 2023 en 2024.</w:t>
      </w:r>
    </w:p>
    <w:p w14:paraId="2EFE34B9" w14:textId="4F5EEA6C" w:rsidR="007F1A1B" w:rsidRPr="006D50FE" w:rsidRDefault="007F1A1B" w:rsidP="00A26094">
      <w:pPr>
        <w:spacing w:after="0" w:line="276" w:lineRule="auto"/>
        <w:jc w:val="both"/>
        <w:rPr>
          <w:b/>
          <w:color w:val="FF0000"/>
        </w:rPr>
      </w:pPr>
    </w:p>
    <w:p w14:paraId="730D27AC" w14:textId="192B8120" w:rsidR="0082111D" w:rsidRDefault="00271F6F" w:rsidP="004171BE">
      <w:pPr>
        <w:spacing w:after="0" w:line="240" w:lineRule="auto"/>
        <w:jc w:val="both"/>
        <w:rPr>
          <w:rFonts w:cstheme="minorHAnsi"/>
          <w:b/>
          <w:bCs/>
          <w:color w:val="2C307E"/>
        </w:rPr>
      </w:pPr>
      <w:r>
        <w:rPr>
          <w:noProof/>
        </w:rPr>
        <w:drawing>
          <wp:inline distT="0" distB="0" distL="0" distR="0" wp14:anchorId="350579A0" wp14:editId="39A1B8A5">
            <wp:extent cx="2655570" cy="2727298"/>
            <wp:effectExtent l="0" t="0" r="0" b="0"/>
            <wp:docPr id="1071453689" name="Grafiek 1">
              <a:extLst xmlns:a="http://schemas.openxmlformats.org/drawingml/2006/main">
                <a:ext uri="{FF2B5EF4-FFF2-40B4-BE49-F238E27FC236}">
                  <a16:creationId xmlns:a16="http://schemas.microsoft.com/office/drawing/2014/main" id="{FD8B4946-6C0C-1D21-2526-C745CFE1B19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55E7A5B1" w14:textId="77777777" w:rsidR="00416630" w:rsidRDefault="007F1A1B" w:rsidP="00E32433">
      <w:pPr>
        <w:spacing w:after="0" w:line="276" w:lineRule="auto"/>
        <w:jc w:val="both"/>
        <w:rPr>
          <w:rFonts w:cstheme="minorHAnsi"/>
          <w:b/>
          <w:bCs/>
          <w:color w:val="2C307E"/>
        </w:rPr>
      </w:pPr>
      <w:r w:rsidRPr="003E3FF3">
        <w:rPr>
          <w:rFonts w:cstheme="minorHAnsi"/>
          <w:b/>
          <w:bCs/>
          <w:color w:val="2C307E"/>
        </w:rPr>
        <w:t>De EV-rijder heeft gemiddeld</w:t>
      </w:r>
      <w:r w:rsidR="00E02FF9">
        <w:rPr>
          <w:rFonts w:cstheme="minorHAnsi"/>
          <w:b/>
          <w:bCs/>
          <w:color w:val="2C307E"/>
        </w:rPr>
        <w:t xml:space="preserve"> </w:t>
      </w:r>
      <w:r w:rsidRPr="003E3FF3">
        <w:rPr>
          <w:rFonts w:cstheme="minorHAnsi"/>
          <w:b/>
          <w:bCs/>
          <w:color w:val="2C307E"/>
        </w:rPr>
        <w:t>drie laadpassen én drie laadapps tot zijn beschikking</w:t>
      </w:r>
      <w:r w:rsidR="00A04ED1" w:rsidRPr="003E3FF3">
        <w:rPr>
          <w:rFonts w:cstheme="minorHAnsi"/>
          <w:b/>
          <w:bCs/>
          <w:color w:val="2C307E"/>
        </w:rPr>
        <w:t>.</w:t>
      </w:r>
      <w:r w:rsidRPr="003E3FF3">
        <w:rPr>
          <w:rFonts w:cstheme="minorHAnsi"/>
          <w:color w:val="2C307E"/>
        </w:rPr>
        <w:t xml:space="preserve"> </w:t>
      </w:r>
      <w:r w:rsidRPr="003E3FF3">
        <w:rPr>
          <w:rFonts w:cstheme="minorHAnsi"/>
          <w:b/>
          <w:bCs/>
          <w:color w:val="2C307E"/>
        </w:rPr>
        <w:t>[N=</w:t>
      </w:r>
      <w:r w:rsidR="003E3FF3">
        <w:rPr>
          <w:rFonts w:cstheme="minorHAnsi"/>
          <w:b/>
          <w:bCs/>
          <w:color w:val="2C307E"/>
        </w:rPr>
        <w:t>2.003</w:t>
      </w:r>
      <w:r w:rsidRPr="003E3FF3">
        <w:rPr>
          <w:rFonts w:cstheme="minorHAnsi"/>
          <w:b/>
          <w:bCs/>
          <w:color w:val="2C307E"/>
        </w:rPr>
        <w:t>]</w:t>
      </w:r>
    </w:p>
    <w:p w14:paraId="631E9886" w14:textId="77777777" w:rsidR="00676941" w:rsidRDefault="007F1A1B" w:rsidP="00E32433">
      <w:pPr>
        <w:spacing w:after="0" w:line="276" w:lineRule="auto"/>
        <w:jc w:val="both"/>
        <w:rPr>
          <w:rFonts w:cstheme="minorHAnsi"/>
          <w:color w:val="2C307E"/>
        </w:rPr>
      </w:pPr>
      <w:r w:rsidRPr="003E3FF3">
        <w:rPr>
          <w:rFonts w:cstheme="minorHAnsi"/>
          <w:color w:val="2C307E"/>
        </w:rPr>
        <w:t>Ten opzichte van vorig jaar is het aantal laadpassen</w:t>
      </w:r>
      <w:r w:rsidR="002A180F">
        <w:rPr>
          <w:rFonts w:cstheme="minorHAnsi"/>
          <w:color w:val="2C307E"/>
        </w:rPr>
        <w:t xml:space="preserve"> en laadapps</w:t>
      </w:r>
      <w:r w:rsidRPr="003E3FF3">
        <w:rPr>
          <w:rFonts w:cstheme="minorHAnsi"/>
          <w:color w:val="2C307E"/>
        </w:rPr>
        <w:t xml:space="preserve"> </w:t>
      </w:r>
      <w:r w:rsidR="00E02FF9">
        <w:rPr>
          <w:rFonts w:cstheme="minorHAnsi"/>
          <w:color w:val="2C307E"/>
        </w:rPr>
        <w:t>licht toegenomen</w:t>
      </w:r>
      <w:r w:rsidRPr="003E3FF3">
        <w:rPr>
          <w:rFonts w:cstheme="minorHAnsi"/>
          <w:color w:val="2C307E"/>
        </w:rPr>
        <w:t xml:space="preserve">. </w:t>
      </w:r>
      <w:r w:rsidR="00093B36">
        <w:rPr>
          <w:rFonts w:cstheme="minorHAnsi"/>
          <w:color w:val="2C307E"/>
        </w:rPr>
        <w:t xml:space="preserve">2% heeft </w:t>
      </w:r>
      <w:r w:rsidR="00E02FF9">
        <w:rPr>
          <w:rFonts w:cstheme="minorHAnsi"/>
          <w:color w:val="2C307E"/>
        </w:rPr>
        <w:t xml:space="preserve">helemaal </w:t>
      </w:r>
      <w:r w:rsidR="00093B36">
        <w:rPr>
          <w:rFonts w:cstheme="minorHAnsi"/>
          <w:color w:val="2C307E"/>
        </w:rPr>
        <w:t xml:space="preserve">geen laadpas en 12% heeft geen laadapp. </w:t>
      </w:r>
      <w:r w:rsidRPr="003E3FF3">
        <w:rPr>
          <w:rFonts w:cstheme="minorHAnsi"/>
          <w:color w:val="2C307E"/>
        </w:rPr>
        <w:t>6</w:t>
      </w:r>
      <w:r w:rsidR="00F02B49" w:rsidRPr="003E3FF3">
        <w:rPr>
          <w:rFonts w:cstheme="minorHAnsi"/>
          <w:color w:val="2C307E"/>
        </w:rPr>
        <w:t>8</w:t>
      </w:r>
      <w:r w:rsidRPr="003E3FF3">
        <w:rPr>
          <w:rFonts w:cstheme="minorHAnsi"/>
          <w:color w:val="2C307E"/>
        </w:rPr>
        <w:t xml:space="preserve">% van de EV-rijders heeft bewust gekozen voor een specifieke laadpas, terwijl 10% </w:t>
      </w:r>
      <w:r w:rsidR="00DA7FC1" w:rsidRPr="003E3FF3">
        <w:rPr>
          <w:rFonts w:cstheme="minorHAnsi"/>
          <w:color w:val="2C307E"/>
        </w:rPr>
        <w:t xml:space="preserve">de laadpas kreeg </w:t>
      </w:r>
      <w:r w:rsidRPr="003E3FF3">
        <w:rPr>
          <w:rFonts w:cstheme="minorHAnsi"/>
          <w:color w:val="2C307E"/>
        </w:rPr>
        <w:t>via de werkgever</w:t>
      </w:r>
      <w:r w:rsidR="00DA7FC1" w:rsidRPr="003E3FF3">
        <w:rPr>
          <w:rFonts w:cstheme="minorHAnsi"/>
          <w:color w:val="2C307E"/>
        </w:rPr>
        <w:t>,</w:t>
      </w:r>
      <w:r w:rsidRPr="003E3FF3">
        <w:rPr>
          <w:rFonts w:cstheme="minorHAnsi"/>
          <w:color w:val="2C307E"/>
        </w:rPr>
        <w:t xml:space="preserve"> </w:t>
      </w:r>
      <w:r w:rsidR="00DA7FC1" w:rsidRPr="003E3FF3">
        <w:rPr>
          <w:rFonts w:cstheme="minorHAnsi"/>
          <w:color w:val="2C307E"/>
        </w:rPr>
        <w:t>7</w:t>
      </w:r>
      <w:r w:rsidRPr="003E3FF3">
        <w:rPr>
          <w:rFonts w:cstheme="minorHAnsi"/>
          <w:color w:val="2C307E"/>
        </w:rPr>
        <w:t>% via de leasemaatschappij</w:t>
      </w:r>
      <w:r w:rsidR="00DA7FC1" w:rsidRPr="003E3FF3">
        <w:rPr>
          <w:rFonts w:cstheme="minorHAnsi"/>
          <w:color w:val="2C307E"/>
        </w:rPr>
        <w:t xml:space="preserve"> en 6% via de dealer</w:t>
      </w:r>
      <w:r w:rsidRPr="00660F48">
        <w:rPr>
          <w:rFonts w:cstheme="minorHAnsi"/>
          <w:color w:val="2C307E"/>
        </w:rPr>
        <w:t xml:space="preserve">. </w:t>
      </w:r>
    </w:p>
    <w:p w14:paraId="2A77B030" w14:textId="77777777" w:rsidR="00676941" w:rsidRDefault="00676941" w:rsidP="00E32433">
      <w:pPr>
        <w:spacing w:after="0" w:line="276" w:lineRule="auto"/>
        <w:jc w:val="both"/>
        <w:rPr>
          <w:rFonts w:cstheme="minorHAnsi"/>
          <w:color w:val="2C307E"/>
        </w:rPr>
      </w:pPr>
    </w:p>
    <w:p w14:paraId="2B92F702" w14:textId="5ECC9A2A" w:rsidR="00676941" w:rsidRDefault="007F1A1B" w:rsidP="00E32433">
      <w:pPr>
        <w:spacing w:after="0" w:line="276" w:lineRule="auto"/>
        <w:jc w:val="both"/>
        <w:rPr>
          <w:rFonts w:cstheme="minorHAnsi"/>
          <w:color w:val="2C307E"/>
        </w:rPr>
      </w:pPr>
      <w:r w:rsidRPr="00676941">
        <w:rPr>
          <w:rFonts w:cstheme="minorHAnsi"/>
          <w:b/>
          <w:bCs/>
          <w:color w:val="2C307E"/>
        </w:rPr>
        <w:t>Het belangrijkste aspect bij de keuze voor een laadpas was dekking, ook internationaal</w:t>
      </w:r>
      <w:r w:rsidR="00676941">
        <w:rPr>
          <w:rFonts w:cstheme="minorHAnsi"/>
          <w:b/>
          <w:bCs/>
          <w:color w:val="2C307E"/>
        </w:rPr>
        <w:t>.</w:t>
      </w:r>
      <w:r w:rsidR="00483515" w:rsidRPr="00660F48">
        <w:rPr>
          <w:rFonts w:cstheme="minorHAnsi"/>
          <w:color w:val="2C307E"/>
        </w:rPr>
        <w:t xml:space="preserve"> </w:t>
      </w:r>
      <w:r w:rsidR="00676941" w:rsidRPr="00676941">
        <w:rPr>
          <w:rFonts w:cstheme="minorHAnsi"/>
          <w:b/>
          <w:bCs/>
          <w:color w:val="2C307E"/>
        </w:rPr>
        <w:t>[N=1.892]</w:t>
      </w:r>
    </w:p>
    <w:p w14:paraId="3DCAD7DA" w14:textId="14B8DFCA" w:rsidR="00E32433" w:rsidRDefault="00676941" w:rsidP="00E32433">
      <w:pPr>
        <w:spacing w:after="0" w:line="276" w:lineRule="auto"/>
        <w:jc w:val="both"/>
        <w:rPr>
          <w:rFonts w:cstheme="minorHAnsi"/>
          <w:color w:val="2C307E"/>
        </w:rPr>
      </w:pPr>
      <w:r>
        <w:rPr>
          <w:rFonts w:cstheme="minorHAnsi"/>
          <w:color w:val="2C307E"/>
        </w:rPr>
        <w:t>M</w:t>
      </w:r>
      <w:r w:rsidR="00483515" w:rsidRPr="00660F48">
        <w:rPr>
          <w:rFonts w:cstheme="minorHAnsi"/>
          <w:color w:val="2C307E"/>
        </w:rPr>
        <w:t>aar de EV-rijder waardeert goedkoopste tarieven een stuk hoger dan eerdere jaren</w:t>
      </w:r>
      <w:r w:rsidR="007F1A1B" w:rsidRPr="00660F48">
        <w:rPr>
          <w:rFonts w:cstheme="minorHAnsi"/>
          <w:color w:val="2C307E"/>
        </w:rPr>
        <w:t xml:space="preserve">. </w:t>
      </w:r>
    </w:p>
    <w:p w14:paraId="415F4794" w14:textId="09618B74" w:rsidR="007F1A1B" w:rsidRPr="00E32433" w:rsidRDefault="00E32433" w:rsidP="00E32433">
      <w:pPr>
        <w:spacing w:after="0" w:line="276" w:lineRule="auto"/>
        <w:jc w:val="both"/>
        <w:rPr>
          <w:rFonts w:cstheme="minorHAnsi"/>
          <w:color w:val="2C307E"/>
        </w:rPr>
      </w:pPr>
      <w:r>
        <w:rPr>
          <w:noProof/>
        </w:rPr>
        <w:drawing>
          <wp:inline distT="0" distB="0" distL="0" distR="0" wp14:anchorId="1A211365" wp14:editId="71AFBB57">
            <wp:extent cx="2830665" cy="2734945"/>
            <wp:effectExtent l="0" t="0" r="0" b="0"/>
            <wp:docPr id="1143787893" name="Grafiek 1">
              <a:extLst xmlns:a="http://schemas.openxmlformats.org/drawingml/2006/main">
                <a:ext uri="{FF2B5EF4-FFF2-40B4-BE49-F238E27FC236}">
                  <a16:creationId xmlns:a16="http://schemas.microsoft.com/office/drawing/2014/main" id="{C839CAD0-A6BE-9FC9-3ADE-3B46F627258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r w:rsidRPr="002C1A66">
        <w:rPr>
          <w:rFonts w:cstheme="minorHAnsi"/>
          <w:b/>
          <w:bCs/>
          <w:color w:val="2C307E"/>
          <w:highlight w:val="yellow"/>
        </w:rPr>
        <w:t xml:space="preserve"> </w:t>
      </w:r>
    </w:p>
    <w:p w14:paraId="7A569C06" w14:textId="77777777" w:rsidR="00416630" w:rsidRDefault="007F1A1B" w:rsidP="00416630">
      <w:pPr>
        <w:spacing w:after="0" w:line="276" w:lineRule="auto"/>
        <w:jc w:val="both"/>
        <w:rPr>
          <w:b/>
          <w:bCs/>
          <w:color w:val="2C2F7D"/>
        </w:rPr>
      </w:pPr>
      <w:bookmarkStart w:id="39" w:name="_Hlk206686880"/>
      <w:r w:rsidRPr="00416630">
        <w:rPr>
          <w:b/>
          <w:bCs/>
          <w:color w:val="2C2F7D"/>
        </w:rPr>
        <w:lastRenderedPageBreak/>
        <w:t>EV-rijders zijn over het algemeen snel bereid over te stappen van laadpasaanbieder</w:t>
      </w:r>
      <w:r w:rsidR="00A04ED1" w:rsidRPr="00416630">
        <w:rPr>
          <w:b/>
          <w:bCs/>
          <w:color w:val="2C2F7D"/>
        </w:rPr>
        <w:t>.</w:t>
      </w:r>
      <w:r w:rsidRPr="00416630">
        <w:rPr>
          <w:b/>
          <w:bCs/>
          <w:color w:val="2C2F7D"/>
        </w:rPr>
        <w:t xml:space="preserve"> </w:t>
      </w:r>
      <w:bookmarkEnd w:id="39"/>
      <w:r w:rsidRPr="00416630">
        <w:rPr>
          <w:b/>
          <w:bCs/>
          <w:color w:val="2C2F7D"/>
        </w:rPr>
        <w:t>[N=</w:t>
      </w:r>
      <w:r w:rsidR="009D7586" w:rsidRPr="00416630">
        <w:rPr>
          <w:b/>
          <w:bCs/>
          <w:color w:val="2C2F7D"/>
        </w:rPr>
        <w:t>1.11</w:t>
      </w:r>
      <w:r w:rsidRPr="00416630">
        <w:rPr>
          <w:b/>
          <w:bCs/>
          <w:color w:val="2C2F7D"/>
        </w:rPr>
        <w:t xml:space="preserve">8] </w:t>
      </w:r>
      <w:bookmarkStart w:id="40" w:name="_Hlk206686894"/>
    </w:p>
    <w:p w14:paraId="68F9B7AA" w14:textId="60BE29CE" w:rsidR="00762BC0" w:rsidRPr="00416630" w:rsidRDefault="007F1A1B" w:rsidP="00416630">
      <w:pPr>
        <w:spacing w:after="0" w:line="276" w:lineRule="auto"/>
        <w:jc w:val="both"/>
        <w:rPr>
          <w:color w:val="2C2F7D"/>
        </w:rPr>
      </w:pPr>
      <w:r w:rsidRPr="00416630">
        <w:rPr>
          <w:color w:val="2C2F7D"/>
        </w:rPr>
        <w:t xml:space="preserve">Een verschil van 10% lagere tarieven is voor </w:t>
      </w:r>
      <w:r w:rsidR="00454413" w:rsidRPr="00416630">
        <w:rPr>
          <w:color w:val="2C2F7D"/>
        </w:rPr>
        <w:t xml:space="preserve">bijna </w:t>
      </w:r>
      <w:r w:rsidRPr="00416630">
        <w:rPr>
          <w:color w:val="2C2F7D"/>
        </w:rPr>
        <w:t xml:space="preserve">de helft </w:t>
      </w:r>
      <w:r w:rsidR="00454413" w:rsidRPr="00416630">
        <w:rPr>
          <w:color w:val="2C2F7D"/>
        </w:rPr>
        <w:t>(46%)</w:t>
      </w:r>
      <w:r w:rsidRPr="00416630">
        <w:rPr>
          <w:color w:val="2C2F7D"/>
        </w:rPr>
        <w:t xml:space="preserve"> al voldoende reden om een andere laadpas te gebruiken</w:t>
      </w:r>
      <w:r w:rsidR="003220E1" w:rsidRPr="00416630">
        <w:rPr>
          <w:color w:val="2C2F7D"/>
        </w:rPr>
        <w:t>.</w:t>
      </w:r>
      <w:bookmarkEnd w:id="40"/>
      <w:r w:rsidR="003220E1" w:rsidRPr="00416630">
        <w:rPr>
          <w:color w:val="2C2F7D"/>
        </w:rPr>
        <w:t xml:space="preserve"> Voor de EV-rijder die zelf betaalt</w:t>
      </w:r>
      <w:r w:rsidR="003224B5" w:rsidRPr="00416630">
        <w:rPr>
          <w:color w:val="2C2F7D"/>
        </w:rPr>
        <w:t xml:space="preserve"> is 54% bereid over te stappen</w:t>
      </w:r>
      <w:r w:rsidR="00D5102E" w:rsidRPr="00416630">
        <w:rPr>
          <w:color w:val="2C2F7D"/>
        </w:rPr>
        <w:t xml:space="preserve"> – als het laadtarief 10% lager is</w:t>
      </w:r>
      <w:r w:rsidR="00A33C8A" w:rsidRPr="00416630">
        <w:rPr>
          <w:color w:val="2C2F7D"/>
        </w:rPr>
        <w:t>. W</w:t>
      </w:r>
      <w:r w:rsidR="003224B5" w:rsidRPr="00416630">
        <w:rPr>
          <w:color w:val="2C2F7D"/>
        </w:rPr>
        <w:t>anneer de werkgever betaalt is dat 26%.</w:t>
      </w:r>
      <w:r w:rsidR="003220E1" w:rsidRPr="00416630">
        <w:rPr>
          <w:color w:val="2C2F7D"/>
        </w:rPr>
        <w:t xml:space="preserve"> </w:t>
      </w:r>
    </w:p>
    <w:p w14:paraId="329795E5" w14:textId="6B319A4F" w:rsidR="007F1A1B" w:rsidRPr="002C1A66" w:rsidRDefault="00BE453A" w:rsidP="00C20EBB">
      <w:pPr>
        <w:spacing w:line="276" w:lineRule="auto"/>
        <w:jc w:val="both"/>
        <w:rPr>
          <w:color w:val="2C307E"/>
          <w:highlight w:val="yellow"/>
        </w:rPr>
      </w:pPr>
      <w:r>
        <w:rPr>
          <w:noProof/>
        </w:rPr>
        <w:drawing>
          <wp:inline distT="0" distB="0" distL="0" distR="0" wp14:anchorId="01671B22" wp14:editId="1F9EA590">
            <wp:extent cx="2633345" cy="2464904"/>
            <wp:effectExtent l="0" t="0" r="0" b="0"/>
            <wp:docPr id="2042276167" name="Grafiek 1">
              <a:extLst xmlns:a="http://schemas.openxmlformats.org/drawingml/2006/main">
                <a:ext uri="{FF2B5EF4-FFF2-40B4-BE49-F238E27FC236}">
                  <a16:creationId xmlns:a16="http://schemas.microsoft.com/office/drawing/2014/main" id="{29E63C75-ABBA-FE80-438A-82A56ED900F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2626656E" w14:textId="77777777" w:rsidR="00416630" w:rsidRPr="00416630" w:rsidRDefault="00D50E83" w:rsidP="00416630">
      <w:pPr>
        <w:spacing w:after="0" w:line="276" w:lineRule="auto"/>
        <w:jc w:val="both"/>
        <w:rPr>
          <w:b/>
          <w:bCs/>
          <w:color w:val="2C2F7D"/>
        </w:rPr>
      </w:pPr>
      <w:bookmarkStart w:id="41" w:name="_Toc176513693"/>
      <w:bookmarkStart w:id="42" w:name="_Toc176537572"/>
      <w:r w:rsidRPr="00416630">
        <w:rPr>
          <w:b/>
          <w:bCs/>
          <w:color w:val="2C2F7D"/>
        </w:rPr>
        <w:t xml:space="preserve">38% van de EV-rijders is daadwerkelijk weleens overgestapt </w:t>
      </w:r>
      <w:r w:rsidR="007E333B" w:rsidRPr="00416630">
        <w:rPr>
          <w:b/>
          <w:bCs/>
          <w:color w:val="2C2F7D"/>
        </w:rPr>
        <w:t>naar een andere laadpasaanbieder omdat de prijs lager was</w:t>
      </w:r>
      <w:r w:rsidRPr="00416630">
        <w:rPr>
          <w:b/>
          <w:bCs/>
          <w:color w:val="2C2F7D"/>
        </w:rPr>
        <w:t xml:space="preserve">. [N=1.118] </w:t>
      </w:r>
    </w:p>
    <w:p w14:paraId="2E114A65" w14:textId="77E84EDD" w:rsidR="00D95443" w:rsidRPr="00416630" w:rsidRDefault="00C85300" w:rsidP="00416630">
      <w:pPr>
        <w:spacing w:after="0" w:line="276" w:lineRule="auto"/>
        <w:jc w:val="both"/>
        <w:rPr>
          <w:color w:val="2C2F7D"/>
        </w:rPr>
      </w:pPr>
      <w:r w:rsidRPr="00416630">
        <w:rPr>
          <w:color w:val="2C2F7D"/>
        </w:rPr>
        <w:t xml:space="preserve">Vergeleken met de vorige vraag, zien we dat </w:t>
      </w:r>
      <w:r w:rsidR="00C63A42" w:rsidRPr="00416630">
        <w:rPr>
          <w:color w:val="2C2F7D"/>
        </w:rPr>
        <w:t xml:space="preserve">59% van de EV-rijders die aangaf </w:t>
      </w:r>
      <w:r w:rsidR="00EF3C70" w:rsidRPr="00416630">
        <w:rPr>
          <w:color w:val="2C2F7D"/>
        </w:rPr>
        <w:t>bij een</w:t>
      </w:r>
      <w:r w:rsidR="00C63A42" w:rsidRPr="00416630">
        <w:rPr>
          <w:color w:val="2C2F7D"/>
        </w:rPr>
        <w:t xml:space="preserve"> 10% lager tarief over te zullen stappen, dat ook daadwerkelijk gedaan</w:t>
      </w:r>
      <w:r w:rsidRPr="00416630">
        <w:rPr>
          <w:color w:val="2C2F7D"/>
        </w:rPr>
        <w:t xml:space="preserve"> heeft</w:t>
      </w:r>
      <w:r w:rsidR="00C63A42" w:rsidRPr="00416630">
        <w:rPr>
          <w:color w:val="2C2F7D"/>
        </w:rPr>
        <w:t>.</w:t>
      </w:r>
    </w:p>
    <w:p w14:paraId="72EDE94A" w14:textId="40277C67" w:rsidR="003D3137" w:rsidRDefault="00CF1548">
      <w:pPr>
        <w:rPr>
          <w:rFonts w:asciiTheme="majorHAnsi" w:eastAsiaTheme="majorEastAsia" w:hAnsiTheme="majorHAnsi" w:cstheme="majorBidi"/>
          <w:color w:val="2F5496" w:themeColor="accent1" w:themeShade="BF"/>
          <w:sz w:val="26"/>
          <w:szCs w:val="26"/>
        </w:rPr>
      </w:pPr>
      <w:r>
        <w:rPr>
          <w:noProof/>
        </w:rPr>
        <w:drawing>
          <wp:inline distT="0" distB="0" distL="0" distR="0" wp14:anchorId="4004B716" wp14:editId="2E95BC75">
            <wp:extent cx="2663190" cy="2226366"/>
            <wp:effectExtent l="0" t="0" r="0" b="0"/>
            <wp:docPr id="2141748845" name="Grafiek 1">
              <a:extLst xmlns:a="http://schemas.openxmlformats.org/drawingml/2006/main">
                <a:ext uri="{FF2B5EF4-FFF2-40B4-BE49-F238E27FC236}">
                  <a16:creationId xmlns:a16="http://schemas.microsoft.com/office/drawing/2014/main" id="{0BDBA682-108C-332C-9BFD-57841B16AEE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r w:rsidR="00D50E83" w:rsidRPr="00454413">
        <w:rPr>
          <w:rFonts w:cstheme="minorHAnsi"/>
          <w:color w:val="2C307E"/>
        </w:rPr>
        <w:t xml:space="preserve"> </w:t>
      </w:r>
    </w:p>
    <w:p w14:paraId="466719CC" w14:textId="5AB00B72" w:rsidR="007F1A1B" w:rsidRPr="000664A8" w:rsidRDefault="007F1A1B" w:rsidP="00B826F0">
      <w:pPr>
        <w:pStyle w:val="Kop2"/>
        <w:jc w:val="both"/>
      </w:pPr>
      <w:bookmarkStart w:id="43" w:name="_Toc208498178"/>
      <w:bookmarkStart w:id="44" w:name="_Toc209710048"/>
      <w:r w:rsidRPr="000664A8">
        <w:t>Ad hoc laden</w:t>
      </w:r>
      <w:bookmarkEnd w:id="41"/>
      <w:bookmarkEnd w:id="42"/>
      <w:bookmarkEnd w:id="43"/>
      <w:bookmarkEnd w:id="44"/>
    </w:p>
    <w:p w14:paraId="7D6EDBC2" w14:textId="77777777" w:rsidR="008C334C" w:rsidRPr="008C334C" w:rsidRDefault="008C334C" w:rsidP="008C334C">
      <w:pPr>
        <w:spacing w:after="0" w:line="276" w:lineRule="auto"/>
        <w:jc w:val="both"/>
        <w:rPr>
          <w:b/>
          <w:bCs/>
          <w:color w:val="2C2F7D"/>
        </w:rPr>
      </w:pPr>
      <w:r w:rsidRPr="008C334C">
        <w:rPr>
          <w:b/>
          <w:bCs/>
          <w:color w:val="2C2F7D"/>
        </w:rPr>
        <w:t>49% van de EV-rijders is bekend met het concept ad hoc laden. [N=1.119]</w:t>
      </w:r>
    </w:p>
    <w:p w14:paraId="20F1A162" w14:textId="77777777" w:rsidR="008C334C" w:rsidRDefault="008C334C" w:rsidP="008C334C">
      <w:pPr>
        <w:spacing w:after="0" w:line="276" w:lineRule="auto"/>
        <w:jc w:val="both"/>
        <w:rPr>
          <w:color w:val="2C2F7D"/>
        </w:rPr>
      </w:pPr>
      <w:r w:rsidRPr="008C334C">
        <w:rPr>
          <w:color w:val="2C2F7D"/>
        </w:rPr>
        <w:t>Dat is een afname ten opzichte van vorig jaar, toen was 61% van de EV-rijders op de hoogte van dit concept. In 2023 was 45% bekend met ad hoc laden.</w:t>
      </w:r>
    </w:p>
    <w:p w14:paraId="23A30A9E" w14:textId="77777777" w:rsidR="008C334C" w:rsidRPr="008C334C" w:rsidRDefault="008C334C" w:rsidP="008C334C">
      <w:pPr>
        <w:spacing w:after="0" w:line="276" w:lineRule="auto"/>
        <w:jc w:val="both"/>
        <w:rPr>
          <w:color w:val="2C2F7D"/>
        </w:rPr>
      </w:pPr>
    </w:p>
    <w:p w14:paraId="748FAFFC" w14:textId="52569453" w:rsidR="00F66FD4" w:rsidRPr="008C334C" w:rsidRDefault="00F66FD4" w:rsidP="008C334C">
      <w:pPr>
        <w:spacing w:after="0" w:line="276" w:lineRule="auto"/>
        <w:jc w:val="both"/>
        <w:rPr>
          <w:i/>
          <w:iCs/>
          <w:color w:val="2C2F7D"/>
        </w:rPr>
      </w:pPr>
      <w:r w:rsidRPr="008C334C">
        <w:rPr>
          <w:i/>
          <w:iCs/>
          <w:color w:val="2C2F7D"/>
        </w:rPr>
        <w:t>De AFIR (Alternative Fuels Infrastructure Regulation)</w:t>
      </w:r>
      <w:r w:rsidR="008C334C">
        <w:rPr>
          <w:rStyle w:val="Voetnootmarkering"/>
          <w:i/>
          <w:iCs/>
          <w:color w:val="2C2F7D"/>
        </w:rPr>
        <w:footnoteReference w:id="7"/>
      </w:r>
      <w:r w:rsidRPr="008C334C">
        <w:rPr>
          <w:i/>
          <w:iCs/>
          <w:color w:val="2C2F7D"/>
        </w:rPr>
        <w:t xml:space="preserve"> verplicht ad hoc laden voor publiek toegankelijke laadpunten in de EU, zodat je zonder laadpas, maar met een bankpas of creditcard kunt betalen. Deze nieuwe regels gelden nu alleen voor laadstations die nieuw worden geplaatst. Bestaande laadpunten met een vermogen van 50 kW of meer, moeten in uiterlijk 2027 voorzien zijn van zo'n ad hoc-betalingsmogelijkheid. Bij laders met een lager vermogen, in bijna alle gevallen dus publieke AC-laders, hoeft dit niet gedaan te worden.</w:t>
      </w:r>
    </w:p>
    <w:p w14:paraId="06F501A1" w14:textId="77777777" w:rsidR="008C334C" w:rsidRDefault="008C334C" w:rsidP="008C334C">
      <w:pPr>
        <w:spacing w:after="0" w:line="276" w:lineRule="auto"/>
        <w:jc w:val="both"/>
        <w:rPr>
          <w:color w:val="2C2F7D"/>
        </w:rPr>
      </w:pPr>
    </w:p>
    <w:p w14:paraId="57FACA27" w14:textId="77777777" w:rsidR="008C334C" w:rsidRDefault="00757CF6" w:rsidP="00757CF6">
      <w:pPr>
        <w:spacing w:after="0" w:line="276" w:lineRule="auto"/>
        <w:jc w:val="both"/>
        <w:rPr>
          <w:b/>
          <w:bCs/>
          <w:color w:val="2C2F7D"/>
        </w:rPr>
      </w:pPr>
      <w:r w:rsidRPr="008C334C">
        <w:rPr>
          <w:b/>
          <w:bCs/>
          <w:color w:val="2C2F7D"/>
        </w:rPr>
        <w:t xml:space="preserve">52% van de EV-rijders vindt het </w:t>
      </w:r>
      <w:r w:rsidR="00D0759C" w:rsidRPr="008C334C">
        <w:rPr>
          <w:b/>
          <w:bCs/>
          <w:color w:val="2C2F7D"/>
        </w:rPr>
        <w:t xml:space="preserve">(enigszins) </w:t>
      </w:r>
      <w:r w:rsidRPr="008C334C">
        <w:rPr>
          <w:b/>
          <w:bCs/>
          <w:color w:val="2C2F7D"/>
        </w:rPr>
        <w:t>belangrijk</w:t>
      </w:r>
      <w:r w:rsidR="00D0759C" w:rsidRPr="008C334C">
        <w:rPr>
          <w:b/>
          <w:bCs/>
          <w:color w:val="2C2F7D"/>
        </w:rPr>
        <w:t xml:space="preserve"> </w:t>
      </w:r>
      <w:r w:rsidRPr="008C334C">
        <w:rPr>
          <w:b/>
          <w:bCs/>
          <w:color w:val="2C2F7D"/>
        </w:rPr>
        <w:t>dat er de mogelijkheid bestaat om met een pinpas of creditcard te betalen bij een openbare laadpaal</w:t>
      </w:r>
      <w:r w:rsidR="00D0759C" w:rsidRPr="008C334C">
        <w:rPr>
          <w:b/>
          <w:bCs/>
          <w:color w:val="2C2F7D"/>
        </w:rPr>
        <w:t>.</w:t>
      </w:r>
      <w:r w:rsidRPr="008C334C">
        <w:rPr>
          <w:b/>
          <w:bCs/>
          <w:color w:val="2C2F7D"/>
        </w:rPr>
        <w:t xml:space="preserve"> [N= 1.123]</w:t>
      </w:r>
    </w:p>
    <w:p w14:paraId="0ACB7A14" w14:textId="0F9165CB" w:rsidR="00757CF6" w:rsidRPr="008C334C" w:rsidRDefault="00757CF6" w:rsidP="00757CF6">
      <w:pPr>
        <w:spacing w:after="0" w:line="276" w:lineRule="auto"/>
        <w:jc w:val="both"/>
        <w:rPr>
          <w:b/>
          <w:bCs/>
          <w:color w:val="2C2F7D"/>
        </w:rPr>
      </w:pPr>
      <w:r w:rsidRPr="008C334C">
        <w:rPr>
          <w:color w:val="2C2F7D"/>
        </w:rPr>
        <w:t xml:space="preserve">Dat is minder dan de vorige onderzoeken (61% in 2024 en 60% in 2023). </w:t>
      </w:r>
    </w:p>
    <w:p w14:paraId="3B1719A6" w14:textId="77777777" w:rsidR="00757CF6" w:rsidRPr="002C1A66" w:rsidRDefault="00757CF6" w:rsidP="00757CF6">
      <w:pPr>
        <w:spacing w:line="276" w:lineRule="auto"/>
        <w:jc w:val="both"/>
        <w:rPr>
          <w:b/>
          <w:color w:val="2C307E"/>
          <w:highlight w:val="yellow"/>
        </w:rPr>
      </w:pPr>
      <w:r>
        <w:rPr>
          <w:noProof/>
        </w:rPr>
        <w:drawing>
          <wp:inline distT="0" distB="0" distL="0" distR="0" wp14:anchorId="27E6F38D" wp14:editId="5AC3649D">
            <wp:extent cx="2655570" cy="2934268"/>
            <wp:effectExtent l="0" t="0" r="0" b="0"/>
            <wp:docPr id="284010751" name="Grafiek 1">
              <a:extLst xmlns:a="http://schemas.openxmlformats.org/drawingml/2006/main">
                <a:ext uri="{FF2B5EF4-FFF2-40B4-BE49-F238E27FC236}">
                  <a16:creationId xmlns:a16="http://schemas.microsoft.com/office/drawing/2014/main" id="{B3A4689F-709A-44B4-8884-BA54DD73558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7779B127" w14:textId="0D0C73FE" w:rsidR="00B442D5" w:rsidRDefault="007F1A1B" w:rsidP="00E12AB2">
      <w:pPr>
        <w:spacing w:line="276" w:lineRule="auto"/>
        <w:jc w:val="both"/>
        <w:rPr>
          <w:rFonts w:cstheme="minorHAnsi"/>
          <w:color w:val="2C307E"/>
        </w:rPr>
      </w:pPr>
      <w:r w:rsidRPr="00A14BF3">
        <w:rPr>
          <w:b/>
          <w:bCs/>
          <w:color w:val="2C2F7D"/>
        </w:rPr>
        <w:lastRenderedPageBreak/>
        <w:t>2</w:t>
      </w:r>
      <w:r w:rsidR="00A14BF3" w:rsidRPr="00A14BF3">
        <w:rPr>
          <w:b/>
          <w:bCs/>
          <w:color w:val="2C2F7D"/>
        </w:rPr>
        <w:t>6</w:t>
      </w:r>
      <w:r w:rsidRPr="00A14BF3">
        <w:rPr>
          <w:b/>
          <w:bCs/>
          <w:color w:val="2C2F7D"/>
        </w:rPr>
        <w:t xml:space="preserve">% heeft </w:t>
      </w:r>
      <w:r w:rsidR="001D44F7" w:rsidRPr="00A14BF3">
        <w:rPr>
          <w:b/>
          <w:bCs/>
          <w:color w:val="2C2F7D"/>
        </w:rPr>
        <w:t>daad</w:t>
      </w:r>
      <w:r w:rsidRPr="00A14BF3">
        <w:rPr>
          <w:b/>
          <w:bCs/>
          <w:color w:val="2C2F7D"/>
        </w:rPr>
        <w:t xml:space="preserve">werkelijk weleens ad hoc </w:t>
      </w:r>
      <w:r w:rsidR="001D44F7" w:rsidRPr="00A14BF3">
        <w:rPr>
          <w:b/>
          <w:bCs/>
          <w:color w:val="2C2F7D"/>
        </w:rPr>
        <w:t>geladen</w:t>
      </w:r>
      <w:r w:rsidR="00B442D5">
        <w:rPr>
          <w:b/>
          <w:bCs/>
          <w:color w:val="2C2F7D"/>
        </w:rPr>
        <w:t xml:space="preserve"> bij een openbare laadpaal</w:t>
      </w:r>
      <w:r w:rsidRPr="00A14BF3">
        <w:rPr>
          <w:rFonts w:cstheme="minorHAnsi"/>
          <w:b/>
          <w:bCs/>
          <w:color w:val="2C307E"/>
        </w:rPr>
        <w:t>. [N=</w:t>
      </w:r>
      <w:r w:rsidR="00A03A47">
        <w:rPr>
          <w:rFonts w:cstheme="minorHAnsi"/>
          <w:b/>
          <w:bCs/>
          <w:color w:val="2C307E"/>
        </w:rPr>
        <w:t>1.11</w:t>
      </w:r>
      <w:r w:rsidRPr="00A14BF3">
        <w:rPr>
          <w:rFonts w:cstheme="minorHAnsi"/>
          <w:b/>
          <w:bCs/>
          <w:color w:val="2C307E"/>
        </w:rPr>
        <w:t>9]</w:t>
      </w:r>
      <w:r w:rsidRPr="00A14BF3">
        <w:rPr>
          <w:rFonts w:cstheme="minorHAnsi"/>
          <w:b/>
          <w:bCs/>
          <w:color w:val="2C307E"/>
        </w:rPr>
        <w:br/>
      </w:r>
      <w:r w:rsidRPr="00A14BF3">
        <w:rPr>
          <w:rFonts w:cstheme="minorHAnsi"/>
          <w:color w:val="2C307E"/>
        </w:rPr>
        <w:t xml:space="preserve">Vorig </w:t>
      </w:r>
      <w:r w:rsidR="008E6320" w:rsidRPr="00A14BF3">
        <w:rPr>
          <w:rFonts w:cstheme="minorHAnsi"/>
          <w:color w:val="2C307E"/>
        </w:rPr>
        <w:t>jaar</w:t>
      </w:r>
      <w:r w:rsidRPr="00A14BF3">
        <w:rPr>
          <w:rFonts w:cstheme="minorHAnsi"/>
          <w:color w:val="2C307E"/>
        </w:rPr>
        <w:t xml:space="preserve"> was dit </w:t>
      </w:r>
      <w:r w:rsidR="00A14BF3" w:rsidRPr="00A14BF3">
        <w:rPr>
          <w:rFonts w:cstheme="minorHAnsi"/>
          <w:color w:val="2C307E"/>
        </w:rPr>
        <w:t>24</w:t>
      </w:r>
      <w:r w:rsidRPr="00A14BF3">
        <w:rPr>
          <w:rFonts w:cstheme="minorHAnsi"/>
          <w:color w:val="2C307E"/>
        </w:rPr>
        <w:t>%</w:t>
      </w:r>
      <w:r w:rsidR="00A14BF3" w:rsidRPr="00A14BF3">
        <w:rPr>
          <w:rFonts w:cstheme="minorHAnsi"/>
          <w:color w:val="2C307E"/>
        </w:rPr>
        <w:t xml:space="preserve"> en in 2023 15%</w:t>
      </w:r>
      <w:r w:rsidRPr="00A14BF3">
        <w:rPr>
          <w:rFonts w:cstheme="minorHAnsi"/>
          <w:color w:val="2C307E"/>
        </w:rPr>
        <w:t xml:space="preserve">. </w:t>
      </w:r>
      <w:r w:rsidR="00B442D5">
        <w:rPr>
          <w:rFonts w:cstheme="minorHAnsi"/>
          <w:color w:val="2C307E"/>
        </w:rPr>
        <w:t>Bij de snellaadpaal heeft 28% weleens ad hoc geladen.</w:t>
      </w:r>
    </w:p>
    <w:p w14:paraId="1EADBDE0" w14:textId="356A6D6C" w:rsidR="0015089C" w:rsidRPr="0015089C" w:rsidRDefault="00230AE5" w:rsidP="0015089C">
      <w:pPr>
        <w:spacing w:after="0" w:line="276" w:lineRule="auto"/>
        <w:jc w:val="both"/>
        <w:rPr>
          <w:rFonts w:cstheme="minorHAnsi"/>
          <w:b/>
          <w:bCs/>
          <w:color w:val="2C307E"/>
        </w:rPr>
      </w:pPr>
      <w:r>
        <w:rPr>
          <w:rFonts w:cstheme="minorHAnsi"/>
          <w:b/>
          <w:bCs/>
          <w:color w:val="2C307E"/>
        </w:rPr>
        <w:t xml:space="preserve">Ad hoc laden gebeurt het meest via een </w:t>
      </w:r>
      <w:r w:rsidR="009154CC">
        <w:rPr>
          <w:rFonts w:cstheme="minorHAnsi"/>
          <w:b/>
          <w:bCs/>
          <w:color w:val="2C307E"/>
        </w:rPr>
        <w:t>QR-code</w:t>
      </w:r>
      <w:r w:rsidR="00E5595A" w:rsidRPr="0015089C">
        <w:rPr>
          <w:rFonts w:cstheme="minorHAnsi"/>
          <w:b/>
          <w:bCs/>
          <w:color w:val="2C307E"/>
        </w:rPr>
        <w:t xml:space="preserve"> (51%).</w:t>
      </w:r>
      <w:r w:rsidR="00D0759C">
        <w:rPr>
          <w:rFonts w:cstheme="minorHAnsi"/>
          <w:b/>
          <w:bCs/>
          <w:color w:val="2C307E"/>
        </w:rPr>
        <w:t xml:space="preserve"> [N=286]</w:t>
      </w:r>
    </w:p>
    <w:p w14:paraId="510FE6C7" w14:textId="6BADFC91" w:rsidR="0047119D" w:rsidRPr="0015089C" w:rsidRDefault="009E77DC" w:rsidP="0015089C">
      <w:pPr>
        <w:spacing w:after="0" w:line="276" w:lineRule="auto"/>
        <w:jc w:val="both"/>
        <w:rPr>
          <w:rFonts w:cstheme="minorHAnsi"/>
          <w:color w:val="2C307E"/>
        </w:rPr>
      </w:pPr>
      <w:r>
        <w:rPr>
          <w:rFonts w:cstheme="minorHAnsi"/>
          <w:color w:val="2C307E"/>
        </w:rPr>
        <w:t>C</w:t>
      </w:r>
      <w:r w:rsidR="0047119D" w:rsidRPr="0015089C">
        <w:rPr>
          <w:rFonts w:cstheme="minorHAnsi"/>
          <w:color w:val="2C307E"/>
        </w:rPr>
        <w:t xml:space="preserve">ontactloos betalen gebeurt in 40% van de gevallen en </w:t>
      </w:r>
      <w:r w:rsidR="00B05351" w:rsidRPr="0015089C">
        <w:rPr>
          <w:rFonts w:cstheme="minorHAnsi"/>
          <w:color w:val="2C307E"/>
        </w:rPr>
        <w:t>bij</w:t>
      </w:r>
      <w:r w:rsidR="0047119D" w:rsidRPr="0015089C">
        <w:rPr>
          <w:rFonts w:cstheme="minorHAnsi"/>
          <w:color w:val="2C307E"/>
        </w:rPr>
        <w:t xml:space="preserve"> slechts 5% van de</w:t>
      </w:r>
      <w:r w:rsidR="007A392B" w:rsidRPr="0015089C">
        <w:rPr>
          <w:rFonts w:cstheme="minorHAnsi"/>
          <w:color w:val="2C307E"/>
        </w:rPr>
        <w:t xml:space="preserve"> </w:t>
      </w:r>
      <w:r w:rsidR="00DA3A47" w:rsidRPr="0015089C">
        <w:rPr>
          <w:rFonts w:cstheme="minorHAnsi"/>
          <w:color w:val="2C307E"/>
        </w:rPr>
        <w:t>ad hoc</w:t>
      </w:r>
      <w:r w:rsidR="0047119D" w:rsidRPr="0015089C">
        <w:rPr>
          <w:rFonts w:cstheme="minorHAnsi"/>
          <w:color w:val="2C307E"/>
        </w:rPr>
        <w:t xml:space="preserve"> betalingen </w:t>
      </w:r>
      <w:r w:rsidR="00DA3A47" w:rsidRPr="0015089C">
        <w:rPr>
          <w:rFonts w:cstheme="minorHAnsi"/>
          <w:color w:val="2C307E"/>
        </w:rPr>
        <w:t xml:space="preserve">aan de openbare laadpaal </w:t>
      </w:r>
      <w:r w:rsidR="00010EFC">
        <w:rPr>
          <w:rFonts w:cstheme="minorHAnsi"/>
          <w:color w:val="2C307E"/>
        </w:rPr>
        <w:t xml:space="preserve">wordt </w:t>
      </w:r>
      <w:r w:rsidR="00010EFC" w:rsidRPr="0015089C">
        <w:rPr>
          <w:rFonts w:cstheme="minorHAnsi"/>
          <w:color w:val="2C307E"/>
        </w:rPr>
        <w:t>een pinpa</w:t>
      </w:r>
      <w:r w:rsidR="00010EFC">
        <w:rPr>
          <w:rFonts w:cstheme="minorHAnsi"/>
          <w:color w:val="2C307E"/>
        </w:rPr>
        <w:t xml:space="preserve">d </w:t>
      </w:r>
      <w:r w:rsidR="00DA3A47" w:rsidRPr="0015089C">
        <w:rPr>
          <w:rFonts w:cstheme="minorHAnsi"/>
          <w:color w:val="2C307E"/>
        </w:rPr>
        <w:t>gebruikt.</w:t>
      </w:r>
    </w:p>
    <w:p w14:paraId="55D645C3" w14:textId="2804F681" w:rsidR="000E6944" w:rsidRPr="002C1A66" w:rsidRDefault="000025C5" w:rsidP="00E53461">
      <w:pPr>
        <w:spacing w:line="276" w:lineRule="auto"/>
        <w:jc w:val="both"/>
        <w:rPr>
          <w:rFonts w:cstheme="minorHAnsi"/>
          <w:b/>
          <w:bCs/>
          <w:color w:val="2C307E"/>
          <w:highlight w:val="yellow"/>
        </w:rPr>
      </w:pPr>
      <w:r>
        <w:rPr>
          <w:noProof/>
        </w:rPr>
        <w:drawing>
          <wp:inline distT="0" distB="0" distL="0" distR="0" wp14:anchorId="7551E00A" wp14:editId="1DBDEDB7">
            <wp:extent cx="2838450" cy="2019631"/>
            <wp:effectExtent l="0" t="0" r="0" b="0"/>
            <wp:docPr id="1482136106" name="Grafiek 1">
              <a:extLst xmlns:a="http://schemas.openxmlformats.org/drawingml/2006/main">
                <a:ext uri="{FF2B5EF4-FFF2-40B4-BE49-F238E27FC236}">
                  <a16:creationId xmlns:a16="http://schemas.microsoft.com/office/drawing/2014/main" id="{B9F998AD-A300-0015-58B8-7519DD69A3E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7C421F1B" w14:textId="77777777" w:rsidR="008C334C" w:rsidRDefault="007F1A1B" w:rsidP="00E12AB2">
      <w:pPr>
        <w:spacing w:after="0" w:line="276" w:lineRule="auto"/>
        <w:jc w:val="both"/>
        <w:rPr>
          <w:rFonts w:cstheme="minorHAnsi"/>
          <w:b/>
          <w:bCs/>
          <w:color w:val="2C307E"/>
        </w:rPr>
      </w:pPr>
      <w:r w:rsidRPr="00743630">
        <w:rPr>
          <w:rFonts w:cstheme="minorHAnsi"/>
          <w:b/>
          <w:bCs/>
          <w:color w:val="2C307E"/>
        </w:rPr>
        <w:t>4</w:t>
      </w:r>
      <w:r w:rsidR="00743630" w:rsidRPr="00743630">
        <w:rPr>
          <w:rFonts w:cstheme="minorHAnsi"/>
          <w:b/>
          <w:bCs/>
          <w:color w:val="2C307E"/>
        </w:rPr>
        <w:t>7</w:t>
      </w:r>
      <w:r w:rsidRPr="00743630">
        <w:rPr>
          <w:rFonts w:cstheme="minorHAnsi"/>
          <w:b/>
          <w:bCs/>
          <w:color w:val="2C307E"/>
        </w:rPr>
        <w:t>% van de elektrische rijders die wel</w:t>
      </w:r>
      <w:r w:rsidR="00D05127">
        <w:rPr>
          <w:rFonts w:cstheme="minorHAnsi"/>
          <w:b/>
          <w:bCs/>
          <w:color w:val="2C307E"/>
        </w:rPr>
        <w:t xml:space="preserve"> </w:t>
      </w:r>
      <w:r w:rsidRPr="00743630">
        <w:rPr>
          <w:rFonts w:cstheme="minorHAnsi"/>
          <w:b/>
          <w:bCs/>
          <w:color w:val="2C307E"/>
        </w:rPr>
        <w:t>eens ad hoc heeft geladen</w:t>
      </w:r>
      <w:r w:rsidR="000A3A9A">
        <w:rPr>
          <w:rFonts w:cstheme="minorHAnsi"/>
          <w:b/>
          <w:bCs/>
          <w:color w:val="2C307E"/>
        </w:rPr>
        <w:t xml:space="preserve"> aan de openbare laadpaal</w:t>
      </w:r>
      <w:r w:rsidRPr="00743630">
        <w:rPr>
          <w:rFonts w:cstheme="minorHAnsi"/>
          <w:b/>
          <w:bCs/>
          <w:color w:val="2C307E"/>
        </w:rPr>
        <w:t xml:space="preserve"> ervaart dit als (heel) gebruiksvriendelijk</w:t>
      </w:r>
      <w:r w:rsidR="000A3A9A">
        <w:rPr>
          <w:rFonts w:cstheme="minorHAnsi"/>
          <w:b/>
          <w:bCs/>
          <w:color w:val="2C307E"/>
        </w:rPr>
        <w:t>.</w:t>
      </w:r>
    </w:p>
    <w:p w14:paraId="35EE30DF" w14:textId="3BC128AC" w:rsidR="000A3A9A" w:rsidRPr="00230AE5" w:rsidRDefault="00D0759C" w:rsidP="00E12AB2">
      <w:pPr>
        <w:spacing w:after="0" w:line="276" w:lineRule="auto"/>
        <w:jc w:val="both"/>
        <w:rPr>
          <w:rFonts w:cstheme="minorHAnsi"/>
          <w:color w:val="2C307E"/>
        </w:rPr>
      </w:pPr>
      <w:r>
        <w:rPr>
          <w:rFonts w:cstheme="minorHAnsi"/>
          <w:color w:val="2C307E"/>
        </w:rPr>
        <w:t xml:space="preserve">Bij de snellader is dit 54%. </w:t>
      </w:r>
    </w:p>
    <w:p w14:paraId="535B51AC" w14:textId="014BDC5F" w:rsidR="007F1A1B" w:rsidRPr="002C1A66" w:rsidRDefault="00445986" w:rsidP="007F1A1B">
      <w:pPr>
        <w:spacing w:after="0" w:line="240" w:lineRule="auto"/>
        <w:jc w:val="both"/>
        <w:rPr>
          <w:b/>
          <w:color w:val="2C307E"/>
          <w:highlight w:val="yellow"/>
        </w:rPr>
      </w:pPr>
      <w:r>
        <w:rPr>
          <w:noProof/>
        </w:rPr>
        <w:drawing>
          <wp:inline distT="0" distB="0" distL="0" distR="0" wp14:anchorId="5651CD3A" wp14:editId="58850B29">
            <wp:extent cx="2655570" cy="2512612"/>
            <wp:effectExtent l="0" t="0" r="0" b="0"/>
            <wp:docPr id="948463808" name="Grafiek 1">
              <a:extLst xmlns:a="http://schemas.openxmlformats.org/drawingml/2006/main">
                <a:ext uri="{FF2B5EF4-FFF2-40B4-BE49-F238E27FC236}">
                  <a16:creationId xmlns:a16="http://schemas.microsoft.com/office/drawing/2014/main" id="{E0352EF3-A094-E484-48B6-A6E6AA6E325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75C01896" w14:textId="55669E5B" w:rsidR="00D67EE6" w:rsidRDefault="006F0D16" w:rsidP="008C334C">
      <w:pPr>
        <w:spacing w:after="0" w:line="276" w:lineRule="auto"/>
        <w:jc w:val="both"/>
        <w:rPr>
          <w:rFonts w:cstheme="minorHAnsi"/>
          <w:b/>
          <w:bCs/>
          <w:color w:val="2C307E"/>
        </w:rPr>
      </w:pPr>
      <w:bookmarkStart w:id="45" w:name="_Hlk206687277"/>
      <w:bookmarkStart w:id="46" w:name="_Hlk206687309"/>
      <w:r>
        <w:rPr>
          <w:rFonts w:cstheme="minorHAnsi"/>
          <w:b/>
          <w:bCs/>
          <w:color w:val="2C307E"/>
        </w:rPr>
        <w:t>Er is interesse in ad hoc laden.</w:t>
      </w:r>
    </w:p>
    <w:p w14:paraId="3CD1B49A" w14:textId="54D84542" w:rsidR="006F0D16" w:rsidRDefault="006F0D16" w:rsidP="008C334C">
      <w:pPr>
        <w:spacing w:after="0" w:line="276" w:lineRule="auto"/>
        <w:jc w:val="both"/>
        <w:rPr>
          <w:rFonts w:cstheme="minorHAnsi"/>
          <w:color w:val="2C307E"/>
        </w:rPr>
      </w:pPr>
      <w:r w:rsidRPr="008C334C">
        <w:rPr>
          <w:rFonts w:cstheme="minorHAnsi"/>
          <w:color w:val="2C307E"/>
        </w:rPr>
        <w:t>43% van de EV-rijders die al eens ad hoc heeft geladen geeft aan vaker gebruik te willen maken van ad hoc laden. En 33% van de EV-rijders die nog nooit ad hoc heeft geladen geeft aan dit wel</w:t>
      </w:r>
      <w:r w:rsidR="008C334C">
        <w:rPr>
          <w:rFonts w:cstheme="minorHAnsi"/>
          <w:color w:val="2C307E"/>
        </w:rPr>
        <w:t xml:space="preserve"> </w:t>
      </w:r>
      <w:r w:rsidRPr="008C334C">
        <w:rPr>
          <w:rFonts w:cstheme="minorHAnsi"/>
          <w:color w:val="2C307E"/>
        </w:rPr>
        <w:t>eens te willen gebruiken.</w:t>
      </w:r>
    </w:p>
    <w:bookmarkEnd w:id="45"/>
    <w:p w14:paraId="2D082147" w14:textId="77777777" w:rsidR="00D67EE6" w:rsidRPr="008C334C" w:rsidRDefault="00225286" w:rsidP="008C334C">
      <w:pPr>
        <w:spacing w:after="0" w:line="276" w:lineRule="auto"/>
        <w:jc w:val="both"/>
        <w:rPr>
          <w:rFonts w:cstheme="minorHAnsi"/>
          <w:b/>
          <w:bCs/>
          <w:color w:val="2C307E"/>
        </w:rPr>
      </w:pPr>
      <w:r>
        <w:rPr>
          <w:rFonts w:cstheme="minorHAnsi"/>
          <w:b/>
          <w:bCs/>
          <w:color w:val="2C307E"/>
        </w:rPr>
        <w:t>Qua ad hoc betalen heeft c</w:t>
      </w:r>
      <w:r w:rsidR="00E440B8">
        <w:rPr>
          <w:rFonts w:cstheme="minorHAnsi"/>
          <w:b/>
          <w:bCs/>
          <w:color w:val="2C307E"/>
        </w:rPr>
        <w:t>ontactloos (</w:t>
      </w:r>
      <w:r w:rsidR="00CE6C52">
        <w:rPr>
          <w:rFonts w:cstheme="minorHAnsi"/>
          <w:b/>
          <w:bCs/>
          <w:color w:val="2C307E"/>
        </w:rPr>
        <w:t xml:space="preserve">met </w:t>
      </w:r>
      <w:r w:rsidR="00E440B8">
        <w:rPr>
          <w:rFonts w:cstheme="minorHAnsi"/>
          <w:b/>
          <w:bCs/>
          <w:color w:val="2C307E"/>
        </w:rPr>
        <w:t xml:space="preserve">pinpas of telefoon) </w:t>
      </w:r>
      <w:r w:rsidR="00CE6C52">
        <w:rPr>
          <w:rFonts w:cstheme="minorHAnsi"/>
          <w:b/>
          <w:bCs/>
          <w:color w:val="2C307E"/>
        </w:rPr>
        <w:t>de voorkeur</w:t>
      </w:r>
      <w:r w:rsidR="006D1DFD">
        <w:rPr>
          <w:rFonts w:cstheme="minorHAnsi"/>
          <w:b/>
          <w:bCs/>
          <w:color w:val="2C307E"/>
        </w:rPr>
        <w:t xml:space="preserve"> </w:t>
      </w:r>
      <w:r>
        <w:rPr>
          <w:rFonts w:cstheme="minorHAnsi"/>
          <w:b/>
          <w:bCs/>
          <w:color w:val="2C307E"/>
        </w:rPr>
        <w:t>(</w:t>
      </w:r>
      <w:r w:rsidR="006D1DFD">
        <w:rPr>
          <w:rFonts w:cstheme="minorHAnsi"/>
          <w:b/>
          <w:bCs/>
          <w:color w:val="2C307E"/>
        </w:rPr>
        <w:t>85%</w:t>
      </w:r>
      <w:r>
        <w:rPr>
          <w:rFonts w:cstheme="minorHAnsi"/>
          <w:b/>
          <w:bCs/>
          <w:color w:val="2C307E"/>
        </w:rPr>
        <w:t>)</w:t>
      </w:r>
      <w:r w:rsidR="00CE6C52">
        <w:rPr>
          <w:rFonts w:cstheme="minorHAnsi"/>
          <w:b/>
          <w:bCs/>
          <w:color w:val="2C307E"/>
        </w:rPr>
        <w:t>.</w:t>
      </w:r>
      <w:r w:rsidR="006D1DFD">
        <w:rPr>
          <w:rFonts w:cstheme="minorHAnsi"/>
          <w:b/>
          <w:bCs/>
          <w:color w:val="2C307E"/>
        </w:rPr>
        <w:t xml:space="preserve"> </w:t>
      </w:r>
      <w:r w:rsidR="00D0759C">
        <w:rPr>
          <w:rFonts w:cstheme="minorHAnsi"/>
          <w:b/>
          <w:bCs/>
          <w:color w:val="2C307E"/>
        </w:rPr>
        <w:t>[</w:t>
      </w:r>
      <w:r w:rsidR="006D1DFD">
        <w:rPr>
          <w:rFonts w:cstheme="minorHAnsi"/>
          <w:b/>
          <w:bCs/>
          <w:color w:val="2C307E"/>
        </w:rPr>
        <w:t>N=426]</w:t>
      </w:r>
    </w:p>
    <w:p w14:paraId="2EE760B1" w14:textId="14FE4B34" w:rsidR="0015089C" w:rsidRPr="008C334C" w:rsidRDefault="00F66FD4" w:rsidP="008C334C">
      <w:pPr>
        <w:spacing w:after="0" w:line="276" w:lineRule="auto"/>
        <w:jc w:val="both"/>
        <w:rPr>
          <w:rFonts w:cstheme="minorHAnsi"/>
          <w:color w:val="2C307E"/>
        </w:rPr>
      </w:pPr>
      <w:r w:rsidRPr="008C334C">
        <w:rPr>
          <w:rFonts w:cstheme="minorHAnsi"/>
          <w:color w:val="2C307E"/>
        </w:rPr>
        <w:t xml:space="preserve">Dat is opvallend, want de QR-code wordt nu </w:t>
      </w:r>
      <w:r w:rsidR="008C334C" w:rsidRPr="008C334C">
        <w:rPr>
          <w:rFonts w:cstheme="minorHAnsi"/>
          <w:color w:val="2C307E"/>
        </w:rPr>
        <w:t xml:space="preserve">in de praktijk </w:t>
      </w:r>
      <w:r w:rsidRPr="008C334C">
        <w:rPr>
          <w:rFonts w:cstheme="minorHAnsi"/>
          <w:color w:val="2C307E"/>
        </w:rPr>
        <w:t>nog vaker gebruikt.</w:t>
      </w:r>
    </w:p>
    <w:bookmarkEnd w:id="46"/>
    <w:p w14:paraId="3AFF08AD" w14:textId="77777777" w:rsidR="004A1094" w:rsidRDefault="002C2A09">
      <w:pPr>
        <w:rPr>
          <w:rFonts w:cstheme="minorHAnsi"/>
          <w:b/>
          <w:bCs/>
          <w:color w:val="2C307E"/>
          <w:highlight w:val="yellow"/>
        </w:rPr>
      </w:pPr>
      <w:r>
        <w:rPr>
          <w:noProof/>
        </w:rPr>
        <w:drawing>
          <wp:inline distT="0" distB="0" distL="0" distR="0" wp14:anchorId="04A1D54A" wp14:editId="05CBD4C1">
            <wp:extent cx="3172460" cy="2752725"/>
            <wp:effectExtent l="0" t="0" r="8890" b="0"/>
            <wp:docPr id="1940559895" name="Grafiek 1">
              <a:extLst xmlns:a="http://schemas.openxmlformats.org/drawingml/2006/main">
                <a:ext uri="{FF2B5EF4-FFF2-40B4-BE49-F238E27FC236}">
                  <a16:creationId xmlns:a16="http://schemas.microsoft.com/office/drawing/2014/main" id="{99929448-CA35-D9CE-8029-78DD5B9E2F8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r>
        <w:rPr>
          <w:rFonts w:cstheme="minorHAnsi"/>
          <w:b/>
          <w:bCs/>
          <w:color w:val="2C307E"/>
          <w:highlight w:val="yellow"/>
        </w:rPr>
        <w:t xml:space="preserve"> </w:t>
      </w:r>
    </w:p>
    <w:p w14:paraId="3392E59C" w14:textId="77777777" w:rsidR="00D67EE6" w:rsidRPr="008C334C" w:rsidRDefault="006D1DFD" w:rsidP="008C334C">
      <w:pPr>
        <w:spacing w:after="0" w:line="276" w:lineRule="auto"/>
        <w:jc w:val="both"/>
        <w:rPr>
          <w:rFonts w:cstheme="minorHAnsi"/>
          <w:b/>
          <w:bCs/>
          <w:color w:val="2C307E"/>
        </w:rPr>
      </w:pPr>
      <w:r>
        <w:rPr>
          <w:rFonts w:cstheme="minorHAnsi"/>
          <w:b/>
          <w:bCs/>
          <w:color w:val="2C307E"/>
        </w:rPr>
        <w:t>Een duidelijker tarief en een lagere prijs motiveren de EV-rijder om vaker ad hoc te gaan laden. [N=1.054]</w:t>
      </w:r>
    </w:p>
    <w:p w14:paraId="4C30EE55" w14:textId="7A97CADA" w:rsidR="004A1094" w:rsidRPr="008C334C" w:rsidRDefault="006D1DFD" w:rsidP="008C334C">
      <w:pPr>
        <w:spacing w:after="0" w:line="276" w:lineRule="auto"/>
        <w:jc w:val="both"/>
        <w:rPr>
          <w:rFonts w:cstheme="minorHAnsi"/>
          <w:color w:val="2C307E"/>
        </w:rPr>
      </w:pPr>
      <w:r w:rsidRPr="008C334C">
        <w:rPr>
          <w:rFonts w:cstheme="minorHAnsi"/>
          <w:color w:val="2C307E"/>
        </w:rPr>
        <w:t>Privacy en controle houden over uitgaven, worden minder vaak genoemd.</w:t>
      </w:r>
    </w:p>
    <w:p w14:paraId="78B9BE22" w14:textId="670068B6" w:rsidR="009521A7" w:rsidRDefault="004A1094">
      <w:pPr>
        <w:rPr>
          <w:rFonts w:cstheme="minorHAnsi"/>
          <w:b/>
          <w:bCs/>
          <w:color w:val="2C307E"/>
          <w:highlight w:val="yellow"/>
        </w:rPr>
      </w:pPr>
      <w:r w:rsidRPr="005108E5">
        <w:rPr>
          <w:noProof/>
          <w:color w:val="4EAFAA"/>
        </w:rPr>
        <w:drawing>
          <wp:inline distT="0" distB="0" distL="0" distR="0" wp14:anchorId="604A41FB" wp14:editId="14E30DB5">
            <wp:extent cx="3124835" cy="4048125"/>
            <wp:effectExtent l="0" t="0" r="0" b="0"/>
            <wp:docPr id="1676190879" name="Grafiek 1">
              <a:extLst xmlns:a="http://schemas.openxmlformats.org/drawingml/2006/main">
                <a:ext uri="{FF2B5EF4-FFF2-40B4-BE49-F238E27FC236}">
                  <a16:creationId xmlns:a16="http://schemas.microsoft.com/office/drawing/2014/main" id="{DF2E2101-365C-66AA-29A6-8F22778B0D5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r>
        <w:rPr>
          <w:rFonts w:cstheme="minorHAnsi"/>
          <w:b/>
          <w:bCs/>
          <w:color w:val="2C307E"/>
          <w:highlight w:val="yellow"/>
        </w:rPr>
        <w:t xml:space="preserve"> </w:t>
      </w:r>
      <w:r w:rsidR="009521A7">
        <w:rPr>
          <w:rFonts w:cstheme="minorHAnsi"/>
          <w:b/>
          <w:bCs/>
          <w:color w:val="2C307E"/>
          <w:highlight w:val="yellow"/>
        </w:rPr>
        <w:br w:type="page"/>
      </w:r>
    </w:p>
    <w:p w14:paraId="09B95DDB" w14:textId="59FC96D1" w:rsidR="007F1A1B" w:rsidRPr="00E957F7" w:rsidRDefault="007F1A1B" w:rsidP="00B826F0">
      <w:pPr>
        <w:pStyle w:val="Kop2"/>
        <w:jc w:val="both"/>
        <w:rPr>
          <w:b/>
          <w:bCs/>
          <w:color w:val="2C2F7D"/>
        </w:rPr>
      </w:pPr>
      <w:bookmarkStart w:id="47" w:name="_Toc176513694"/>
      <w:bookmarkStart w:id="48" w:name="_Toc176537573"/>
      <w:bookmarkStart w:id="49" w:name="_Toc208498179"/>
      <w:bookmarkStart w:id="50" w:name="_Toc209710049"/>
      <w:r w:rsidRPr="00E957F7">
        <w:lastRenderedPageBreak/>
        <w:t>Prijstransparantie</w:t>
      </w:r>
      <w:bookmarkEnd w:id="47"/>
      <w:bookmarkEnd w:id="48"/>
      <w:bookmarkEnd w:id="49"/>
      <w:bookmarkEnd w:id="50"/>
    </w:p>
    <w:p w14:paraId="5D7BFC6F" w14:textId="20DC2624" w:rsidR="00706C1F" w:rsidRDefault="00C0584E" w:rsidP="00706C1F">
      <w:pPr>
        <w:spacing w:after="0" w:line="276" w:lineRule="auto"/>
        <w:jc w:val="both"/>
        <w:rPr>
          <w:b/>
          <w:color w:val="2C307E"/>
        </w:rPr>
      </w:pPr>
      <w:bookmarkStart w:id="51" w:name="_Hlk206687366"/>
      <w:r w:rsidRPr="7B41C7DE">
        <w:rPr>
          <w:b/>
          <w:color w:val="2C307E"/>
        </w:rPr>
        <w:t xml:space="preserve">Prijstransparantie </w:t>
      </w:r>
      <w:r w:rsidR="006F3209" w:rsidRPr="7B41C7DE">
        <w:rPr>
          <w:b/>
          <w:color w:val="2C307E"/>
        </w:rPr>
        <w:t>op de openbare en snellaa</w:t>
      </w:r>
      <w:r w:rsidR="003473EA">
        <w:rPr>
          <w:b/>
          <w:color w:val="2C307E"/>
        </w:rPr>
        <w:t>d</w:t>
      </w:r>
      <w:r w:rsidR="006F3209" w:rsidRPr="7B41C7DE">
        <w:rPr>
          <w:b/>
          <w:color w:val="2C307E"/>
        </w:rPr>
        <w:t xml:space="preserve">paal </w:t>
      </w:r>
      <w:r w:rsidR="003473EA">
        <w:rPr>
          <w:b/>
          <w:color w:val="2C307E"/>
        </w:rPr>
        <w:t>verbetert licht</w:t>
      </w:r>
      <w:r w:rsidR="00706C1F" w:rsidRPr="7B41C7DE">
        <w:rPr>
          <w:b/>
          <w:color w:val="2C307E"/>
        </w:rPr>
        <w:t>.</w:t>
      </w:r>
    </w:p>
    <w:p w14:paraId="44F3423A" w14:textId="02D6C29A" w:rsidR="006F3209" w:rsidRPr="00706C1F" w:rsidRDefault="00706C1F" w:rsidP="00706C1F">
      <w:pPr>
        <w:spacing w:after="0" w:line="276" w:lineRule="auto"/>
        <w:jc w:val="both"/>
        <w:rPr>
          <w:rFonts w:cstheme="minorHAnsi"/>
          <w:color w:val="2C307E"/>
        </w:rPr>
      </w:pPr>
      <w:r w:rsidRPr="00706C1F">
        <w:rPr>
          <w:rFonts w:cstheme="minorHAnsi"/>
          <w:color w:val="2C307E"/>
        </w:rPr>
        <w:t>T</w:t>
      </w:r>
      <w:r w:rsidR="006F3209" w:rsidRPr="00706C1F">
        <w:rPr>
          <w:rFonts w:cstheme="minorHAnsi"/>
          <w:color w:val="2C307E"/>
        </w:rPr>
        <w:t xml:space="preserve">och weet </w:t>
      </w:r>
      <w:r w:rsidR="0051287C">
        <w:rPr>
          <w:rFonts w:cstheme="minorHAnsi"/>
          <w:color w:val="2C307E"/>
        </w:rPr>
        <w:t>nog altijd</w:t>
      </w:r>
      <w:r w:rsidR="006F3209" w:rsidRPr="00706C1F">
        <w:rPr>
          <w:rFonts w:cstheme="minorHAnsi"/>
          <w:color w:val="2C307E"/>
        </w:rPr>
        <w:t xml:space="preserve"> </w:t>
      </w:r>
      <w:r w:rsidR="00756A2F" w:rsidRPr="00706C1F">
        <w:rPr>
          <w:rFonts w:cstheme="minorHAnsi"/>
          <w:color w:val="2C307E"/>
        </w:rPr>
        <w:t>2</w:t>
      </w:r>
      <w:r w:rsidR="00212B38" w:rsidRPr="00706C1F">
        <w:rPr>
          <w:rFonts w:cstheme="minorHAnsi"/>
          <w:color w:val="2C307E"/>
        </w:rPr>
        <w:t>8</w:t>
      </w:r>
      <w:r w:rsidR="007F1A1B" w:rsidRPr="00706C1F">
        <w:rPr>
          <w:rFonts w:cstheme="minorHAnsi"/>
          <w:color w:val="2C307E"/>
        </w:rPr>
        <w:t>% van de EV-rijders meestal niet</w:t>
      </w:r>
      <w:r w:rsidR="001D13F4" w:rsidRPr="00706C1F">
        <w:rPr>
          <w:rFonts w:cstheme="minorHAnsi"/>
          <w:color w:val="2C307E"/>
        </w:rPr>
        <w:t>/</w:t>
      </w:r>
      <w:r w:rsidR="007F1A1B" w:rsidRPr="00706C1F">
        <w:rPr>
          <w:rFonts w:cstheme="minorHAnsi"/>
          <w:color w:val="2C307E"/>
        </w:rPr>
        <w:t>nooit wat ze betalen aan de openbare laadpaal in de buurt van de woning</w:t>
      </w:r>
      <w:r w:rsidR="00A97D10" w:rsidRPr="00706C1F">
        <w:rPr>
          <w:rFonts w:cstheme="minorHAnsi"/>
          <w:color w:val="2C307E"/>
        </w:rPr>
        <w:t>.</w:t>
      </w:r>
      <w:r w:rsidR="002F082D" w:rsidRPr="002F082D">
        <w:rPr>
          <w:rFonts w:cstheme="minorHAnsi"/>
          <w:color w:val="2C307E"/>
        </w:rPr>
        <w:t xml:space="preserve"> </w:t>
      </w:r>
      <w:r w:rsidR="002F082D" w:rsidRPr="00E957F7">
        <w:rPr>
          <w:rFonts w:cstheme="minorHAnsi"/>
          <w:color w:val="2C307E"/>
        </w:rPr>
        <w:t xml:space="preserve">Bij openbare </w:t>
      </w:r>
      <w:r w:rsidR="00011BFC">
        <w:rPr>
          <w:rFonts w:cstheme="minorHAnsi"/>
          <w:color w:val="2C307E"/>
        </w:rPr>
        <w:t>laadpalen</w:t>
      </w:r>
      <w:r w:rsidR="00011BFC" w:rsidRPr="00E957F7">
        <w:rPr>
          <w:rFonts w:cstheme="minorHAnsi"/>
          <w:color w:val="2C307E"/>
        </w:rPr>
        <w:t xml:space="preserve"> </w:t>
      </w:r>
      <w:r w:rsidR="002F082D" w:rsidRPr="00E957F7">
        <w:rPr>
          <w:rFonts w:cstheme="minorHAnsi"/>
          <w:color w:val="2C307E"/>
        </w:rPr>
        <w:t xml:space="preserve">elders weet 41% van de EV-rijders </w:t>
      </w:r>
      <w:r w:rsidR="00FB2294">
        <w:rPr>
          <w:rFonts w:cstheme="minorHAnsi"/>
          <w:color w:val="2C307E"/>
        </w:rPr>
        <w:t xml:space="preserve">meestal </w:t>
      </w:r>
      <w:r w:rsidR="002F082D" w:rsidRPr="00E957F7">
        <w:rPr>
          <w:rFonts w:cstheme="minorHAnsi"/>
          <w:color w:val="2C307E"/>
        </w:rPr>
        <w:t xml:space="preserve">niet/nooit wat men betaalt voor het laden en bij snelladen is dat </w:t>
      </w:r>
      <w:r w:rsidR="00255659">
        <w:rPr>
          <w:rFonts w:cstheme="minorHAnsi"/>
          <w:color w:val="2C307E"/>
        </w:rPr>
        <w:t>bij</w:t>
      </w:r>
      <w:r w:rsidR="002F082D" w:rsidRPr="00E957F7">
        <w:rPr>
          <w:rFonts w:cstheme="minorHAnsi"/>
          <w:color w:val="2C307E"/>
        </w:rPr>
        <w:t xml:space="preserve"> 32% van de EV-rijders het geval.</w:t>
      </w:r>
    </w:p>
    <w:bookmarkEnd w:id="51"/>
    <w:p w14:paraId="275258D3" w14:textId="2800A861" w:rsidR="007F1A1B" w:rsidRPr="00E957F7" w:rsidRDefault="00521E08" w:rsidP="00E12AB2">
      <w:pPr>
        <w:spacing w:line="276" w:lineRule="auto"/>
        <w:jc w:val="both"/>
        <w:rPr>
          <w:rFonts w:cstheme="minorHAnsi"/>
          <w:color w:val="2C307E"/>
        </w:rPr>
      </w:pPr>
      <w:r>
        <w:rPr>
          <w:noProof/>
        </w:rPr>
        <w:drawing>
          <wp:inline distT="0" distB="0" distL="0" distR="0" wp14:anchorId="0DE0C068" wp14:editId="17F0B6CA">
            <wp:extent cx="2655570" cy="3095625"/>
            <wp:effectExtent l="0" t="0" r="0" b="0"/>
            <wp:docPr id="281587875" name="Grafiek 1">
              <a:extLst xmlns:a="http://schemas.openxmlformats.org/drawingml/2006/main">
                <a:ext uri="{FF2B5EF4-FFF2-40B4-BE49-F238E27FC236}">
                  <a16:creationId xmlns:a16="http://schemas.microsoft.com/office/drawing/2014/main" id="{2D2715D5-52DA-398D-68DB-8AE008F88ED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r w:rsidR="007F1A1B" w:rsidRPr="00E957F7">
        <w:rPr>
          <w:rFonts w:cstheme="minorHAnsi"/>
          <w:color w:val="2C307E"/>
        </w:rPr>
        <w:t xml:space="preserve"> </w:t>
      </w:r>
    </w:p>
    <w:p w14:paraId="3004C82F" w14:textId="19BC1059" w:rsidR="007F1A1B" w:rsidRPr="00F579CC" w:rsidRDefault="0081179B" w:rsidP="00740E33">
      <w:pPr>
        <w:spacing w:after="0" w:line="276" w:lineRule="auto"/>
        <w:jc w:val="both"/>
        <w:rPr>
          <w:rFonts w:cstheme="minorHAnsi"/>
          <w:b/>
          <w:bCs/>
          <w:color w:val="2C307E"/>
        </w:rPr>
      </w:pPr>
      <w:bookmarkStart w:id="52" w:name="_Hlk207875028"/>
      <w:r w:rsidRPr="00F579CC">
        <w:rPr>
          <w:rFonts w:cstheme="minorHAnsi"/>
          <w:b/>
          <w:bCs/>
          <w:color w:val="2C307E"/>
        </w:rPr>
        <w:t>79% van de</w:t>
      </w:r>
      <w:r w:rsidR="007F1A1B" w:rsidRPr="00F579CC">
        <w:rPr>
          <w:rFonts w:cstheme="minorHAnsi"/>
          <w:b/>
          <w:bCs/>
          <w:color w:val="2C307E"/>
        </w:rPr>
        <w:t xml:space="preserve"> EV-rijder</w:t>
      </w:r>
      <w:r w:rsidRPr="00F579CC">
        <w:rPr>
          <w:rFonts w:cstheme="minorHAnsi"/>
          <w:b/>
          <w:bCs/>
          <w:color w:val="2C307E"/>
        </w:rPr>
        <w:t>s</w:t>
      </w:r>
      <w:r w:rsidR="007F1A1B" w:rsidRPr="00F579CC">
        <w:rPr>
          <w:rFonts w:cstheme="minorHAnsi"/>
          <w:b/>
          <w:bCs/>
          <w:color w:val="2C307E"/>
        </w:rPr>
        <w:t xml:space="preserve"> vindt het belangrijk om vooraf inzicht te hebben in het laadtarief van de openbare laadpaal</w:t>
      </w:r>
      <w:bookmarkEnd w:id="52"/>
      <w:r w:rsidR="00D36407" w:rsidRPr="00F579CC">
        <w:rPr>
          <w:rFonts w:cstheme="minorHAnsi"/>
          <w:b/>
          <w:bCs/>
          <w:color w:val="2C307E"/>
        </w:rPr>
        <w:t>.</w:t>
      </w:r>
      <w:r w:rsidR="007F1A1B" w:rsidRPr="00F579CC">
        <w:rPr>
          <w:rFonts w:cstheme="minorHAnsi"/>
          <w:b/>
          <w:bCs/>
          <w:color w:val="2C307E"/>
        </w:rPr>
        <w:t xml:space="preserve"> [N=</w:t>
      </w:r>
      <w:r w:rsidR="00D31BCF" w:rsidRPr="00F579CC">
        <w:rPr>
          <w:rFonts w:cstheme="minorHAnsi"/>
          <w:b/>
          <w:bCs/>
          <w:color w:val="2C307E"/>
        </w:rPr>
        <w:t>1.124</w:t>
      </w:r>
      <w:r w:rsidR="007F1A1B" w:rsidRPr="00F579CC">
        <w:rPr>
          <w:rFonts w:cstheme="minorHAnsi"/>
          <w:b/>
          <w:bCs/>
          <w:color w:val="2C307E"/>
        </w:rPr>
        <w:t>]</w:t>
      </w:r>
    </w:p>
    <w:p w14:paraId="428071DE" w14:textId="649D95CF" w:rsidR="007F1A1B" w:rsidRPr="00F579CC" w:rsidRDefault="007F1A1B" w:rsidP="00740E33">
      <w:pPr>
        <w:spacing w:line="276" w:lineRule="auto"/>
        <w:jc w:val="both"/>
        <w:rPr>
          <w:noProof/>
        </w:rPr>
      </w:pPr>
      <w:r w:rsidRPr="00F579CC">
        <w:rPr>
          <w:rFonts w:cstheme="minorHAnsi"/>
          <w:color w:val="2C307E"/>
        </w:rPr>
        <w:t>7</w:t>
      </w:r>
      <w:r w:rsidR="00D31BCF" w:rsidRPr="00F579CC">
        <w:rPr>
          <w:rFonts w:cstheme="minorHAnsi"/>
          <w:color w:val="2C307E"/>
        </w:rPr>
        <w:t>6</w:t>
      </w:r>
      <w:r w:rsidRPr="00F579CC">
        <w:rPr>
          <w:rFonts w:cstheme="minorHAnsi"/>
          <w:color w:val="2C307E"/>
        </w:rPr>
        <w:t>% van de EV-rijders geeft aan dat het direct zien wat je betaalt (enigszins) belangrijk is en 6</w:t>
      </w:r>
      <w:r w:rsidR="0081179B" w:rsidRPr="00F579CC">
        <w:rPr>
          <w:rFonts w:cstheme="minorHAnsi"/>
          <w:color w:val="2C307E"/>
        </w:rPr>
        <w:t>4</w:t>
      </w:r>
      <w:r w:rsidRPr="00F579CC">
        <w:rPr>
          <w:rFonts w:cstheme="minorHAnsi"/>
          <w:color w:val="2C307E"/>
        </w:rPr>
        <w:t xml:space="preserve">% van deze groep geeft aan dat ze één laadtarief per laadpaal (enigszins) belangrijk vinden. Voor EV-rijders die zelf voor </w:t>
      </w:r>
      <w:r w:rsidR="000C4E38">
        <w:rPr>
          <w:rFonts w:cstheme="minorHAnsi"/>
          <w:color w:val="2C307E"/>
        </w:rPr>
        <w:t xml:space="preserve">het </w:t>
      </w:r>
      <w:r w:rsidRPr="00F579CC">
        <w:rPr>
          <w:rFonts w:cstheme="minorHAnsi"/>
          <w:color w:val="2C307E"/>
        </w:rPr>
        <w:t xml:space="preserve">laden betalen </w:t>
      </w:r>
      <w:r w:rsidR="002F082D">
        <w:rPr>
          <w:rFonts w:cstheme="minorHAnsi"/>
          <w:color w:val="2C307E"/>
        </w:rPr>
        <w:t>zijn deze</w:t>
      </w:r>
      <w:r w:rsidRPr="00F579CC">
        <w:rPr>
          <w:rFonts w:cstheme="minorHAnsi"/>
          <w:color w:val="2C307E"/>
        </w:rPr>
        <w:t xml:space="preserve"> percentage</w:t>
      </w:r>
      <w:r w:rsidR="002F082D">
        <w:rPr>
          <w:rFonts w:cstheme="minorHAnsi"/>
          <w:color w:val="2C307E"/>
        </w:rPr>
        <w:t>s</w:t>
      </w:r>
      <w:r w:rsidRPr="00F579CC">
        <w:rPr>
          <w:rFonts w:cstheme="minorHAnsi"/>
          <w:color w:val="2C307E"/>
        </w:rPr>
        <w:t xml:space="preserve"> nog hoger</w:t>
      </w:r>
      <w:r w:rsidR="002F082D">
        <w:rPr>
          <w:rFonts w:cstheme="minorHAnsi"/>
          <w:color w:val="2C307E"/>
        </w:rPr>
        <w:t>: 89% vindt vooraf inzicht in het laadtarief (enigszins) belangrijk, 84% vindt direct zien wat je betaalt (enigszins) belangrijk en 70% vindt één laadtarief per laadpaal (enigszins) belangrijk.  [N=1.382]</w:t>
      </w:r>
    </w:p>
    <w:p w14:paraId="549D1B01" w14:textId="1A53B491" w:rsidR="007F1A1B" w:rsidRPr="002C1A66" w:rsidRDefault="005958A1" w:rsidP="00B826F0">
      <w:pPr>
        <w:jc w:val="both"/>
        <w:rPr>
          <w:noProof/>
          <w:highlight w:val="yellow"/>
        </w:rPr>
      </w:pPr>
      <w:r>
        <w:rPr>
          <w:noProof/>
        </w:rPr>
        <w:drawing>
          <wp:inline distT="0" distB="0" distL="0" distR="0" wp14:anchorId="1842E423" wp14:editId="2D4D1F59">
            <wp:extent cx="2705100" cy="3505200"/>
            <wp:effectExtent l="0" t="0" r="0" b="0"/>
            <wp:docPr id="1421129611" name="Grafiek 1">
              <a:extLst xmlns:a="http://schemas.openxmlformats.org/drawingml/2006/main">
                <a:ext uri="{FF2B5EF4-FFF2-40B4-BE49-F238E27FC236}">
                  <a16:creationId xmlns:a16="http://schemas.microsoft.com/office/drawing/2014/main" id="{BB69E124-1A60-5A7C-8127-27C167E5C2A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14:paraId="159A4B1F" w14:textId="220453B6" w:rsidR="00C245F8" w:rsidRPr="0027063D" w:rsidRDefault="00C245F8" w:rsidP="00C245F8">
      <w:pPr>
        <w:spacing w:after="0" w:line="276" w:lineRule="auto"/>
        <w:jc w:val="both"/>
        <w:rPr>
          <w:rFonts w:cstheme="minorHAnsi"/>
          <w:b/>
          <w:bCs/>
          <w:color w:val="2C307E"/>
        </w:rPr>
      </w:pPr>
      <w:bookmarkStart w:id="53" w:name="_Hlk206687511"/>
      <w:r w:rsidRPr="0027063D">
        <w:rPr>
          <w:rFonts w:cstheme="minorHAnsi"/>
          <w:b/>
          <w:bCs/>
          <w:color w:val="2C307E"/>
        </w:rPr>
        <w:t>15% van de EV-rijders die het belangrijk vindt om vooraf inzicht te hebben in het laadtarief per laadpaal, weet meestal niet of nooit wat de kosten zijn</w:t>
      </w:r>
      <w:bookmarkEnd w:id="53"/>
      <w:r w:rsidRPr="0027063D">
        <w:rPr>
          <w:rFonts w:cstheme="minorHAnsi"/>
          <w:b/>
          <w:bCs/>
          <w:color w:val="2C307E"/>
        </w:rPr>
        <w:t>. [N=672]</w:t>
      </w:r>
    </w:p>
    <w:p w14:paraId="5B40A06E" w14:textId="77777777" w:rsidR="00C245F8" w:rsidRPr="0027063D" w:rsidRDefault="00C245F8" w:rsidP="00C245F8">
      <w:pPr>
        <w:spacing w:after="0" w:line="276" w:lineRule="auto"/>
        <w:jc w:val="both"/>
        <w:rPr>
          <w:rFonts w:cstheme="minorHAnsi"/>
          <w:color w:val="2C307E"/>
        </w:rPr>
      </w:pPr>
      <w:r w:rsidRPr="0027063D">
        <w:rPr>
          <w:rFonts w:cstheme="minorHAnsi"/>
          <w:color w:val="2C307E"/>
        </w:rPr>
        <w:t>Dit is een belangrijk signaal: de groep die het belangrijk vindt vooraf inzicht te hebben in het laadtarief, weet niet altijd wat ze moeten betalen.</w:t>
      </w:r>
    </w:p>
    <w:p w14:paraId="59577054" w14:textId="77777777" w:rsidR="00C245F8" w:rsidRPr="002C1A66" w:rsidRDefault="00C245F8" w:rsidP="00C245F8">
      <w:pPr>
        <w:spacing w:after="0" w:line="276" w:lineRule="auto"/>
        <w:jc w:val="both"/>
        <w:rPr>
          <w:rFonts w:cstheme="minorHAnsi"/>
          <w:color w:val="2C307E"/>
          <w:highlight w:val="yellow"/>
        </w:rPr>
      </w:pPr>
      <w:r>
        <w:rPr>
          <w:noProof/>
        </w:rPr>
        <w:drawing>
          <wp:inline distT="0" distB="0" distL="0" distR="0" wp14:anchorId="0A7D3497" wp14:editId="5F033819">
            <wp:extent cx="2655570" cy="2717800"/>
            <wp:effectExtent l="0" t="0" r="0" b="0"/>
            <wp:docPr id="1793629365" name="Grafiek 1">
              <a:extLst xmlns:a="http://schemas.openxmlformats.org/drawingml/2006/main">
                <a:ext uri="{FF2B5EF4-FFF2-40B4-BE49-F238E27FC236}">
                  <a16:creationId xmlns:a16="http://schemas.microsoft.com/office/drawing/2014/main" id="{DCA20768-25B1-6859-DD63-278E563A377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14:paraId="3C900247" w14:textId="77777777" w:rsidR="000635C1" w:rsidRDefault="000635C1">
      <w:pPr>
        <w:rPr>
          <w:rFonts w:cstheme="minorHAnsi"/>
          <w:b/>
          <w:bCs/>
          <w:color w:val="2C307E"/>
        </w:rPr>
      </w:pPr>
      <w:r>
        <w:rPr>
          <w:rFonts w:cstheme="minorHAnsi"/>
          <w:b/>
          <w:bCs/>
          <w:color w:val="2C307E"/>
        </w:rPr>
        <w:br w:type="page"/>
      </w:r>
    </w:p>
    <w:p w14:paraId="5400EECC" w14:textId="77777777" w:rsidR="00987420" w:rsidRDefault="007F1A1B" w:rsidP="00740E33">
      <w:pPr>
        <w:spacing w:after="0" w:line="276" w:lineRule="auto"/>
        <w:jc w:val="both"/>
        <w:rPr>
          <w:rFonts w:cstheme="minorHAnsi"/>
          <w:b/>
          <w:bCs/>
          <w:color w:val="2C307E"/>
        </w:rPr>
      </w:pPr>
      <w:r w:rsidRPr="001E1DA4">
        <w:rPr>
          <w:rFonts w:cstheme="minorHAnsi"/>
          <w:b/>
          <w:bCs/>
          <w:color w:val="2C307E"/>
        </w:rPr>
        <w:lastRenderedPageBreak/>
        <w:t>De meeste EV-rijders betalen zelf voor hun laadkosten</w:t>
      </w:r>
      <w:r w:rsidR="00413372" w:rsidRPr="001E1DA4">
        <w:rPr>
          <w:rFonts w:cstheme="minorHAnsi"/>
          <w:b/>
          <w:bCs/>
          <w:color w:val="2C307E"/>
        </w:rPr>
        <w:t>.</w:t>
      </w:r>
      <w:r w:rsidRPr="001E1DA4">
        <w:rPr>
          <w:rFonts w:cstheme="minorHAnsi"/>
          <w:b/>
          <w:bCs/>
          <w:color w:val="2C307E"/>
        </w:rPr>
        <w:t xml:space="preserve"> [N=3.522]</w:t>
      </w:r>
    </w:p>
    <w:p w14:paraId="718CBDFA" w14:textId="5F1F6F62" w:rsidR="001E1DA4" w:rsidRDefault="00AE419C" w:rsidP="00740E33">
      <w:pPr>
        <w:spacing w:after="0" w:line="276" w:lineRule="auto"/>
        <w:jc w:val="both"/>
        <w:rPr>
          <w:color w:val="2C307E"/>
        </w:rPr>
      </w:pPr>
      <w:r w:rsidRPr="18DE8827">
        <w:rPr>
          <w:color w:val="2C307E"/>
        </w:rPr>
        <w:t>70%</w:t>
      </w:r>
      <w:r w:rsidR="007F1A1B" w:rsidRPr="18DE8827">
        <w:rPr>
          <w:color w:val="2C307E"/>
        </w:rPr>
        <w:t xml:space="preserve"> van de EV-rijders betaalt zelf zijn laadkosten, privé of als ZZP’er. Dit is iets meer dan vorig jaar, toen betaalde 6</w:t>
      </w:r>
      <w:r w:rsidR="001E1DA4" w:rsidRPr="18DE8827">
        <w:rPr>
          <w:color w:val="2C307E"/>
        </w:rPr>
        <w:t>7</w:t>
      </w:r>
      <w:r w:rsidR="007F1A1B" w:rsidRPr="18DE8827">
        <w:rPr>
          <w:color w:val="2C307E"/>
        </w:rPr>
        <w:t>% van de EV-rijders de laadkosten zelf. Dit ligt in lijn der verwachting aangezien het aantal particuliere EV-rijders toeneemt over de jaren. In 2</w:t>
      </w:r>
      <w:r w:rsidR="001E1DA4" w:rsidRPr="18DE8827">
        <w:rPr>
          <w:color w:val="2C307E"/>
        </w:rPr>
        <w:t>5</w:t>
      </w:r>
      <w:r w:rsidR="007F1A1B" w:rsidRPr="18DE8827">
        <w:rPr>
          <w:color w:val="2C307E"/>
        </w:rPr>
        <w:t>% van de gevallen betaalt de werkgever alle laadkosten</w:t>
      </w:r>
      <w:r w:rsidR="00AF12DF">
        <w:rPr>
          <w:color w:val="2C307E"/>
        </w:rPr>
        <w:t xml:space="preserve">, dit </w:t>
      </w:r>
      <w:r w:rsidR="0093642A">
        <w:rPr>
          <w:color w:val="2C307E"/>
        </w:rPr>
        <w:t>zijn</w:t>
      </w:r>
      <w:r w:rsidR="00AF12DF">
        <w:rPr>
          <w:color w:val="2C307E"/>
        </w:rPr>
        <w:t xml:space="preserve"> nagenoeg allemaal zakelijke rijders</w:t>
      </w:r>
      <w:r w:rsidR="000526D4">
        <w:rPr>
          <w:color w:val="2C307E"/>
        </w:rPr>
        <w:t xml:space="preserve"> (97%)</w:t>
      </w:r>
      <w:r w:rsidR="007F1A1B" w:rsidRPr="18DE8827">
        <w:rPr>
          <w:color w:val="2C307E"/>
        </w:rPr>
        <w:t>.</w:t>
      </w:r>
      <w:r w:rsidR="00740E33" w:rsidRPr="18DE8827">
        <w:rPr>
          <w:color w:val="2C307E"/>
        </w:rPr>
        <w:t xml:space="preserve"> </w:t>
      </w:r>
    </w:p>
    <w:p w14:paraId="2BB617A5" w14:textId="2061E2EE" w:rsidR="00980546" w:rsidRPr="001E1DA4" w:rsidRDefault="00381DEB" w:rsidP="00740E33">
      <w:pPr>
        <w:spacing w:after="0" w:line="276" w:lineRule="auto"/>
        <w:jc w:val="both"/>
        <w:rPr>
          <w:rFonts w:cstheme="minorHAnsi"/>
          <w:color w:val="2C307E"/>
        </w:rPr>
      </w:pPr>
      <w:r>
        <w:rPr>
          <w:noProof/>
        </w:rPr>
        <w:drawing>
          <wp:inline distT="0" distB="0" distL="0" distR="0" wp14:anchorId="664B97DB" wp14:editId="2C02B826">
            <wp:extent cx="2655570" cy="1917511"/>
            <wp:effectExtent l="0" t="0" r="0" b="0"/>
            <wp:docPr id="1282619675" name="Grafiek 1">
              <a:extLst xmlns:a="http://schemas.openxmlformats.org/drawingml/2006/main">
                <a:ext uri="{FF2B5EF4-FFF2-40B4-BE49-F238E27FC236}">
                  <a16:creationId xmlns:a16="http://schemas.microsoft.com/office/drawing/2014/main" id="{6A53E435-C921-660E-FC81-B9A70143C42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14:paraId="0155D67B" w14:textId="4386B8C4" w:rsidR="000A61AA" w:rsidRPr="002C1A66" w:rsidRDefault="00C80A5B" w:rsidP="00740E33">
      <w:pPr>
        <w:spacing w:after="0" w:line="276" w:lineRule="auto"/>
        <w:jc w:val="both"/>
        <w:rPr>
          <w:rFonts w:cstheme="minorHAnsi"/>
          <w:color w:val="2C307E"/>
          <w:highlight w:val="yellow"/>
        </w:rPr>
      </w:pPr>
      <w:r>
        <w:rPr>
          <w:noProof/>
        </w:rPr>
        <w:drawing>
          <wp:inline distT="0" distB="0" distL="0" distR="0" wp14:anchorId="226B12B1" wp14:editId="123B3C83">
            <wp:extent cx="2655570" cy="2562045"/>
            <wp:effectExtent l="0" t="0" r="0" b="0"/>
            <wp:docPr id="237431008" name="Grafiek 1">
              <a:extLst xmlns:a="http://schemas.openxmlformats.org/drawingml/2006/main">
                <a:ext uri="{FF2B5EF4-FFF2-40B4-BE49-F238E27FC236}">
                  <a16:creationId xmlns:a16="http://schemas.microsoft.com/office/drawing/2014/main" id="{CCD9ED1B-7404-AA3D-E610-AEF3FCE52CF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14:paraId="6E7F4F07" w14:textId="77777777" w:rsidR="003F0281" w:rsidRDefault="003F0281" w:rsidP="003F0281">
      <w:pPr>
        <w:spacing w:after="0" w:line="276" w:lineRule="auto"/>
        <w:jc w:val="both"/>
        <w:rPr>
          <w:rFonts w:cstheme="minorHAnsi"/>
          <w:color w:val="2C307E"/>
        </w:rPr>
      </w:pPr>
    </w:p>
    <w:p w14:paraId="1D3148CD" w14:textId="77777777" w:rsidR="00987420" w:rsidRDefault="003F0281" w:rsidP="003F0281">
      <w:pPr>
        <w:spacing w:after="0" w:line="276" w:lineRule="auto"/>
        <w:jc w:val="both"/>
        <w:rPr>
          <w:rFonts w:cstheme="minorHAnsi"/>
          <w:b/>
          <w:bCs/>
          <w:color w:val="2C307E"/>
        </w:rPr>
      </w:pPr>
      <w:r w:rsidRPr="003F0281">
        <w:rPr>
          <w:rFonts w:cstheme="minorHAnsi"/>
          <w:b/>
          <w:bCs/>
          <w:color w:val="2C307E"/>
        </w:rPr>
        <w:t xml:space="preserve">Het grootste deel van de EV-rijders met een privé koop (93%) of private lease (90%) auto betaalt hun laadkosten zelf. </w:t>
      </w:r>
    </w:p>
    <w:p w14:paraId="6ECCCFD6" w14:textId="571008DF" w:rsidR="003F0281" w:rsidRDefault="00A65323" w:rsidP="003F0281">
      <w:pPr>
        <w:spacing w:after="0" w:line="276" w:lineRule="auto"/>
        <w:jc w:val="both"/>
        <w:rPr>
          <w:rFonts w:cstheme="minorHAnsi"/>
          <w:color w:val="2C307E"/>
        </w:rPr>
      </w:pPr>
      <w:r>
        <w:rPr>
          <w:rFonts w:cstheme="minorHAnsi"/>
          <w:color w:val="2C307E"/>
        </w:rPr>
        <w:t>Ook b</w:t>
      </w:r>
      <w:r w:rsidR="003F0281" w:rsidRPr="00BC0F85">
        <w:rPr>
          <w:rFonts w:cstheme="minorHAnsi"/>
          <w:color w:val="2C307E"/>
        </w:rPr>
        <w:t>ij</w:t>
      </w:r>
      <w:r w:rsidR="00706C1F">
        <w:rPr>
          <w:rFonts w:cstheme="minorHAnsi"/>
          <w:color w:val="2C307E"/>
        </w:rPr>
        <w:t xml:space="preserve"> een</w:t>
      </w:r>
      <w:r w:rsidR="003F0281" w:rsidRPr="00BC0F85">
        <w:rPr>
          <w:rFonts w:cstheme="minorHAnsi"/>
          <w:color w:val="2C307E"/>
        </w:rPr>
        <w:t xml:space="preserve"> zakelijke koop </w:t>
      </w:r>
      <w:r w:rsidR="00706C1F">
        <w:rPr>
          <w:rFonts w:cstheme="minorHAnsi"/>
          <w:color w:val="2C307E"/>
        </w:rPr>
        <w:t xml:space="preserve">constructie </w:t>
      </w:r>
      <w:r w:rsidR="003F0281" w:rsidRPr="00BC0F85">
        <w:rPr>
          <w:rFonts w:cstheme="minorHAnsi"/>
          <w:color w:val="2C307E"/>
        </w:rPr>
        <w:t xml:space="preserve">(62%) of een zakelijke lease als ZZP’er of directeur-grootaandeelhouder (75%) betaalt men vaak zelf voor het laden van de elektrische auto.  </w:t>
      </w:r>
    </w:p>
    <w:p w14:paraId="357AD6F7" w14:textId="77777777" w:rsidR="00A65323" w:rsidRDefault="00A65323" w:rsidP="00A65323">
      <w:pPr>
        <w:spacing w:after="0" w:line="276" w:lineRule="auto"/>
        <w:jc w:val="both"/>
        <w:rPr>
          <w:rFonts w:cstheme="minorHAnsi"/>
          <w:color w:val="2C307E"/>
        </w:rPr>
      </w:pPr>
      <w:r w:rsidRPr="00BC0F85">
        <w:rPr>
          <w:rFonts w:cstheme="minorHAnsi"/>
          <w:color w:val="2C307E"/>
        </w:rPr>
        <w:t xml:space="preserve">Bij zakelijke lease betaalt de werkgever meestal volledig voor de laadkosten (95%). </w:t>
      </w:r>
    </w:p>
    <w:p w14:paraId="3F9DFCA4" w14:textId="77777777" w:rsidR="00980546" w:rsidRDefault="00980546" w:rsidP="00980546">
      <w:pPr>
        <w:spacing w:after="0" w:line="276" w:lineRule="auto"/>
        <w:jc w:val="both"/>
        <w:rPr>
          <w:rFonts w:cstheme="minorHAnsi"/>
          <w:b/>
          <w:bCs/>
          <w:color w:val="2C307E"/>
          <w:highlight w:val="yellow"/>
        </w:rPr>
      </w:pPr>
    </w:p>
    <w:p w14:paraId="27459FFF" w14:textId="77777777" w:rsidR="00706C1F" w:rsidRDefault="007F1A1B" w:rsidP="00980546">
      <w:pPr>
        <w:spacing w:after="0" w:line="276" w:lineRule="auto"/>
        <w:jc w:val="both"/>
        <w:rPr>
          <w:rFonts w:cstheme="minorHAnsi"/>
          <w:b/>
          <w:bCs/>
          <w:color w:val="2C307E"/>
        </w:rPr>
      </w:pPr>
      <w:r w:rsidRPr="00A30DA9">
        <w:rPr>
          <w:rFonts w:cstheme="minorHAnsi"/>
          <w:b/>
          <w:bCs/>
          <w:color w:val="2C307E"/>
        </w:rPr>
        <w:t>1</w:t>
      </w:r>
      <w:r w:rsidR="00105EEC" w:rsidRPr="00A30DA9">
        <w:rPr>
          <w:rFonts w:cstheme="minorHAnsi"/>
          <w:b/>
          <w:bCs/>
          <w:color w:val="2C307E"/>
        </w:rPr>
        <w:t>0</w:t>
      </w:r>
      <w:r w:rsidRPr="00A30DA9">
        <w:rPr>
          <w:rFonts w:cstheme="minorHAnsi"/>
          <w:b/>
          <w:bCs/>
          <w:color w:val="2C307E"/>
        </w:rPr>
        <w:t>% van EV-rijders die zelf betaalt voor het laden van de elektrische auto, weet meestal niet</w:t>
      </w:r>
      <w:r w:rsidR="00413EB4" w:rsidRPr="00A30DA9">
        <w:rPr>
          <w:rFonts w:cstheme="minorHAnsi"/>
          <w:b/>
          <w:bCs/>
          <w:color w:val="2C307E"/>
        </w:rPr>
        <w:t xml:space="preserve"> of </w:t>
      </w:r>
      <w:r w:rsidRPr="00A30DA9">
        <w:rPr>
          <w:rFonts w:cstheme="minorHAnsi"/>
          <w:b/>
          <w:bCs/>
          <w:color w:val="2C307E"/>
        </w:rPr>
        <w:t>nooit wat men betaalt voor het laden aan de openbare laadpaal in de buurt van de woning.</w:t>
      </w:r>
      <w:r w:rsidR="00706C1F">
        <w:rPr>
          <w:rFonts w:cstheme="minorHAnsi"/>
          <w:b/>
          <w:bCs/>
          <w:color w:val="2C307E"/>
        </w:rPr>
        <w:t xml:space="preserve"> </w:t>
      </w:r>
      <w:r w:rsidRPr="00A30DA9">
        <w:rPr>
          <w:rFonts w:cstheme="minorHAnsi"/>
          <w:b/>
          <w:bCs/>
          <w:color w:val="2C307E"/>
        </w:rPr>
        <w:t>[N=</w:t>
      </w:r>
      <w:r w:rsidR="00105EEC" w:rsidRPr="00A30DA9">
        <w:rPr>
          <w:rFonts w:cstheme="minorHAnsi"/>
          <w:b/>
          <w:bCs/>
          <w:color w:val="2C307E"/>
        </w:rPr>
        <w:t>281</w:t>
      </w:r>
      <w:r w:rsidRPr="00A30DA9">
        <w:rPr>
          <w:rFonts w:cstheme="minorHAnsi"/>
          <w:b/>
          <w:bCs/>
          <w:color w:val="2C307E"/>
        </w:rPr>
        <w:t>]</w:t>
      </w:r>
    </w:p>
    <w:p w14:paraId="29CAFC23" w14:textId="4D336B4B" w:rsidR="00F33992" w:rsidRDefault="007F1A1B" w:rsidP="00792517">
      <w:pPr>
        <w:spacing w:after="0" w:line="276" w:lineRule="auto"/>
        <w:jc w:val="both"/>
        <w:rPr>
          <w:rFonts w:cstheme="minorHAnsi"/>
          <w:color w:val="2C307E"/>
        </w:rPr>
      </w:pPr>
      <w:r w:rsidRPr="00A30DA9">
        <w:rPr>
          <w:rFonts w:cstheme="minorHAnsi"/>
          <w:color w:val="2C307E"/>
        </w:rPr>
        <w:t xml:space="preserve">Elektrische rijders die zelf betalen voor hun laadkosten weten veel vaker wat de kosten zijn dan </w:t>
      </w:r>
      <w:r w:rsidR="00680709">
        <w:rPr>
          <w:rFonts w:cstheme="minorHAnsi"/>
          <w:color w:val="2C307E"/>
        </w:rPr>
        <w:t>EV-rijders waarvan</w:t>
      </w:r>
      <w:r w:rsidR="00680709" w:rsidRPr="00A30DA9">
        <w:rPr>
          <w:rFonts w:cstheme="minorHAnsi"/>
          <w:color w:val="2C307E"/>
        </w:rPr>
        <w:t xml:space="preserve"> </w:t>
      </w:r>
      <w:r w:rsidRPr="00A30DA9">
        <w:rPr>
          <w:rFonts w:cstheme="minorHAnsi"/>
          <w:color w:val="2C307E"/>
        </w:rPr>
        <w:t xml:space="preserve">de werkgever de laadkosten betaalt. Toch zijn er ook elektrische rijders die zelf betalen voor het laden (privé </w:t>
      </w:r>
      <w:r w:rsidR="002F082D">
        <w:rPr>
          <w:rFonts w:cstheme="minorHAnsi"/>
          <w:color w:val="2C307E"/>
        </w:rPr>
        <w:t>of</w:t>
      </w:r>
      <w:r w:rsidRPr="00A30DA9">
        <w:rPr>
          <w:rFonts w:cstheme="minorHAnsi"/>
          <w:color w:val="2C307E"/>
        </w:rPr>
        <w:t xml:space="preserve"> als zzp’er), </w:t>
      </w:r>
      <w:r w:rsidR="00DD5989">
        <w:rPr>
          <w:rFonts w:cstheme="minorHAnsi"/>
          <w:color w:val="2C307E"/>
        </w:rPr>
        <w:t>é</w:t>
      </w:r>
      <w:r w:rsidR="00DD5989" w:rsidRPr="00A30DA9">
        <w:rPr>
          <w:rFonts w:cstheme="minorHAnsi"/>
          <w:color w:val="2C307E"/>
        </w:rPr>
        <w:t xml:space="preserve">n </w:t>
      </w:r>
      <w:r w:rsidRPr="00A30DA9">
        <w:rPr>
          <w:rFonts w:cstheme="minorHAnsi"/>
          <w:color w:val="2C307E"/>
        </w:rPr>
        <w:t xml:space="preserve">niet weten wat de </w:t>
      </w:r>
      <w:r w:rsidR="002F082D">
        <w:rPr>
          <w:rFonts w:cstheme="minorHAnsi"/>
          <w:color w:val="2C307E"/>
        </w:rPr>
        <w:t>laad</w:t>
      </w:r>
      <w:r w:rsidRPr="00A30DA9">
        <w:rPr>
          <w:rFonts w:cstheme="minorHAnsi"/>
          <w:color w:val="2C307E"/>
        </w:rPr>
        <w:t>kosten zijn (1</w:t>
      </w:r>
      <w:r w:rsidR="00A30DA9" w:rsidRPr="00A30DA9">
        <w:rPr>
          <w:rFonts w:cstheme="minorHAnsi"/>
          <w:color w:val="2C307E"/>
        </w:rPr>
        <w:t>0</w:t>
      </w:r>
      <w:r w:rsidRPr="00A30DA9">
        <w:rPr>
          <w:rFonts w:cstheme="minorHAnsi"/>
          <w:color w:val="2C307E"/>
        </w:rPr>
        <w:t xml:space="preserve">%). </w:t>
      </w:r>
      <w:r w:rsidRPr="00D13046">
        <w:rPr>
          <w:rFonts w:cstheme="minorHAnsi"/>
          <w:color w:val="2C307E"/>
        </w:rPr>
        <w:t>Wanneer de werkgever betaalt voor het laden, weet 6</w:t>
      </w:r>
      <w:r w:rsidR="00D13046" w:rsidRPr="00D13046">
        <w:rPr>
          <w:rFonts w:cstheme="minorHAnsi"/>
          <w:color w:val="2C307E"/>
        </w:rPr>
        <w:t>0</w:t>
      </w:r>
      <w:r w:rsidRPr="00D13046">
        <w:rPr>
          <w:rFonts w:cstheme="minorHAnsi"/>
          <w:color w:val="2C307E"/>
        </w:rPr>
        <w:t>% van de EV-rijders niet wat de kosten zijn aan de openbare laadpaal in de buurt van de woning.</w:t>
      </w:r>
      <w:r w:rsidR="00792517">
        <w:rPr>
          <w:rFonts w:cstheme="minorHAnsi"/>
          <w:color w:val="2C307E"/>
        </w:rPr>
        <w:t xml:space="preserve"> </w:t>
      </w:r>
      <w:r w:rsidR="00225286" w:rsidRPr="00D15403">
        <w:rPr>
          <w:rFonts w:cstheme="minorHAnsi"/>
          <w:color w:val="2C307E"/>
        </w:rPr>
        <w:t xml:space="preserve">Als de laadpaal elders staat, dus niet </w:t>
      </w:r>
      <w:r w:rsidR="00225286">
        <w:rPr>
          <w:rFonts w:cstheme="minorHAnsi"/>
          <w:color w:val="2C307E"/>
        </w:rPr>
        <w:t>in de buurt van de woning</w:t>
      </w:r>
      <w:r w:rsidR="00225286" w:rsidRPr="00D15403">
        <w:rPr>
          <w:rFonts w:cstheme="minorHAnsi"/>
          <w:color w:val="2C307E"/>
        </w:rPr>
        <w:t xml:space="preserve">, dan weet 31% van de EV-rijders die zelf betaalt voor het laden meestal niet of nooit wat men </w:t>
      </w:r>
      <w:r w:rsidR="00391214">
        <w:rPr>
          <w:rFonts w:cstheme="minorHAnsi"/>
          <w:color w:val="2C307E"/>
        </w:rPr>
        <w:t xml:space="preserve">daar </w:t>
      </w:r>
      <w:r w:rsidR="00225286" w:rsidRPr="00D15403">
        <w:rPr>
          <w:rFonts w:cstheme="minorHAnsi"/>
          <w:color w:val="2C307E"/>
        </w:rPr>
        <w:t>betaalt voor het laden. 2</w:t>
      </w:r>
      <w:r w:rsidR="00225286">
        <w:rPr>
          <w:rFonts w:cstheme="minorHAnsi"/>
          <w:color w:val="2C307E"/>
        </w:rPr>
        <w:t>2</w:t>
      </w:r>
      <w:r w:rsidR="00225286" w:rsidRPr="00D15403">
        <w:rPr>
          <w:rFonts w:cstheme="minorHAnsi"/>
          <w:color w:val="2C307E"/>
        </w:rPr>
        <w:t xml:space="preserve">% van EV-rijders die zelf betaalt voor het laden van de elektrische auto, weet meestal niet of nooit wat men betaalt voor het laden aan de snellader. </w:t>
      </w:r>
    </w:p>
    <w:p w14:paraId="4047DF51" w14:textId="66BE3382" w:rsidR="007F1A1B" w:rsidRPr="002C1A66" w:rsidRDefault="00BC227C" w:rsidP="00B826F0">
      <w:pPr>
        <w:jc w:val="both"/>
        <w:rPr>
          <w:color w:val="2C307E"/>
          <w:highlight w:val="yellow"/>
        </w:rPr>
      </w:pPr>
      <w:r>
        <w:rPr>
          <w:noProof/>
        </w:rPr>
        <w:drawing>
          <wp:inline distT="0" distB="0" distL="0" distR="0" wp14:anchorId="6BFFEA01" wp14:editId="18559AF4">
            <wp:extent cx="2655570" cy="3810000"/>
            <wp:effectExtent l="0" t="0" r="0" b="0"/>
            <wp:docPr id="1394325959" name="Grafiek 1">
              <a:extLst xmlns:a="http://schemas.openxmlformats.org/drawingml/2006/main">
                <a:ext uri="{FF2B5EF4-FFF2-40B4-BE49-F238E27FC236}">
                  <a16:creationId xmlns:a16="http://schemas.microsoft.com/office/drawing/2014/main" id="{F1816445-C097-417B-AF4A-884D2B60A98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14:paraId="0C58E09D" w14:textId="6A013BE1" w:rsidR="00DA3091" w:rsidRPr="00030C4C" w:rsidRDefault="00DA3091" w:rsidP="00030C4C">
      <w:pPr>
        <w:spacing w:after="0" w:line="240" w:lineRule="auto"/>
        <w:jc w:val="both"/>
        <w:rPr>
          <w:rFonts w:cstheme="minorHAnsi"/>
          <w:color w:val="2C307E"/>
        </w:rPr>
      </w:pPr>
      <w:r>
        <w:br w:type="page"/>
      </w:r>
    </w:p>
    <w:p w14:paraId="1744EA82" w14:textId="5E74A5AD" w:rsidR="00712417" w:rsidRPr="00AD220B" w:rsidRDefault="00964DC3" w:rsidP="00B826F0">
      <w:pPr>
        <w:pStyle w:val="Kop2"/>
        <w:jc w:val="both"/>
      </w:pPr>
      <w:bookmarkStart w:id="54" w:name="_Toc209710050"/>
      <w:r>
        <w:lastRenderedPageBreak/>
        <w:t xml:space="preserve">3.4 </w:t>
      </w:r>
      <w:r w:rsidRPr="00964DC3">
        <w:t>Verschillende soorten laadpunten</w:t>
      </w:r>
      <w:bookmarkEnd w:id="54"/>
    </w:p>
    <w:p w14:paraId="7ADA606B" w14:textId="77777777" w:rsidR="00712417" w:rsidRDefault="00712417" w:rsidP="00B826F0">
      <w:pPr>
        <w:pStyle w:val="Kop2"/>
        <w:jc w:val="both"/>
      </w:pPr>
      <w:bookmarkStart w:id="55" w:name="_Toc143700619"/>
      <w:bookmarkStart w:id="56" w:name="_Toc176513696"/>
      <w:bookmarkStart w:id="57" w:name="_Toc176537575"/>
      <w:bookmarkStart w:id="58" w:name="_Toc209710051"/>
      <w:r w:rsidRPr="00AD220B">
        <w:t>Thuis laden</w:t>
      </w:r>
      <w:bookmarkEnd w:id="55"/>
      <w:bookmarkEnd w:id="56"/>
      <w:bookmarkEnd w:id="57"/>
      <w:bookmarkEnd w:id="58"/>
    </w:p>
    <w:p w14:paraId="378C8E35" w14:textId="4A55E4A6" w:rsidR="008572BB" w:rsidRPr="00196CDE" w:rsidRDefault="008572BB" w:rsidP="00196CDE">
      <w:pPr>
        <w:jc w:val="both"/>
        <w:rPr>
          <w:color w:val="2C307E"/>
        </w:rPr>
      </w:pPr>
      <w:r w:rsidRPr="00196CDE">
        <w:rPr>
          <w:color w:val="2C307E"/>
        </w:rPr>
        <w:t xml:space="preserve">Onder thuisladers verstaan we EV-rijders die via de eigen aansluiting laden. </w:t>
      </w:r>
      <w:r w:rsidR="00196CDE" w:rsidRPr="00196CDE">
        <w:rPr>
          <w:color w:val="2C307E"/>
        </w:rPr>
        <w:t xml:space="preserve">Meestal parkeren zij op eigen terrein, maar het komt ook voor dat ze via een verlengd private aansluiting (VPA) in de openbare ruimte parkeren en laden. </w:t>
      </w:r>
    </w:p>
    <w:p w14:paraId="117858F7" w14:textId="77777777" w:rsidR="00712417" w:rsidRPr="00AD220B" w:rsidRDefault="00712417" w:rsidP="00A70924">
      <w:pPr>
        <w:spacing w:after="0" w:line="276" w:lineRule="auto"/>
        <w:jc w:val="both"/>
        <w:rPr>
          <w:rFonts w:cstheme="minorHAnsi"/>
          <w:b/>
          <w:color w:val="2C307E"/>
        </w:rPr>
      </w:pPr>
      <w:r w:rsidRPr="00AD220B">
        <w:rPr>
          <w:rFonts w:cstheme="minorHAnsi"/>
          <w:b/>
          <w:bCs/>
          <w:color w:val="2C307E"/>
        </w:rPr>
        <w:t>Algemeen rapportcijfer</w:t>
      </w:r>
    </w:p>
    <w:p w14:paraId="50F9AB89" w14:textId="77777777" w:rsidR="00712417" w:rsidRPr="00AD220B" w:rsidRDefault="00712417" w:rsidP="00A70924">
      <w:pPr>
        <w:pStyle w:val="Lijstalinea"/>
        <w:numPr>
          <w:ilvl w:val="0"/>
          <w:numId w:val="2"/>
        </w:numPr>
        <w:spacing w:after="0" w:line="276" w:lineRule="auto"/>
        <w:jc w:val="both"/>
        <w:rPr>
          <w:rFonts w:cstheme="minorHAnsi"/>
          <w:color w:val="2C307E"/>
        </w:rPr>
      </w:pPr>
      <w:r w:rsidRPr="00AD220B">
        <w:rPr>
          <w:rFonts w:cstheme="minorHAnsi"/>
          <w:color w:val="2C307E"/>
        </w:rPr>
        <w:t>Thuis laden via een laadpaal: 9,2</w:t>
      </w:r>
    </w:p>
    <w:p w14:paraId="15367C44" w14:textId="7428C4A2" w:rsidR="00712417" w:rsidRPr="00AD220B" w:rsidRDefault="00712417" w:rsidP="00A70924">
      <w:pPr>
        <w:pStyle w:val="Lijstalinea"/>
        <w:numPr>
          <w:ilvl w:val="0"/>
          <w:numId w:val="2"/>
        </w:numPr>
        <w:spacing w:after="0" w:line="276" w:lineRule="auto"/>
        <w:jc w:val="both"/>
        <w:rPr>
          <w:rFonts w:cstheme="minorHAnsi"/>
          <w:color w:val="2C307E"/>
        </w:rPr>
      </w:pPr>
      <w:r w:rsidRPr="00AD220B">
        <w:rPr>
          <w:rFonts w:cstheme="minorHAnsi"/>
          <w:color w:val="2C307E"/>
        </w:rPr>
        <w:t>Thuis laden via het stopcontact: 7,</w:t>
      </w:r>
      <w:r w:rsidR="00AD220B" w:rsidRPr="00AD220B">
        <w:rPr>
          <w:rFonts w:cstheme="minorHAnsi"/>
          <w:color w:val="2C307E"/>
        </w:rPr>
        <w:t>7</w:t>
      </w:r>
    </w:p>
    <w:p w14:paraId="6649F9D8" w14:textId="77777777" w:rsidR="00712417" w:rsidRPr="00057017" w:rsidRDefault="00712417" w:rsidP="00A70924">
      <w:pPr>
        <w:spacing w:after="0" w:line="276" w:lineRule="auto"/>
        <w:jc w:val="both"/>
        <w:rPr>
          <w:rFonts w:cstheme="minorHAnsi"/>
          <w:b/>
          <w:bCs/>
          <w:color w:val="2C307E"/>
          <w:highlight w:val="yellow"/>
        </w:rPr>
      </w:pPr>
    </w:p>
    <w:p w14:paraId="3F02B5B3" w14:textId="08B6FA6E" w:rsidR="00712417" w:rsidRPr="00D77F76" w:rsidRDefault="00712417" w:rsidP="00A70924">
      <w:pPr>
        <w:spacing w:after="0" w:line="276" w:lineRule="auto"/>
        <w:jc w:val="both"/>
        <w:rPr>
          <w:rFonts w:cstheme="minorHAnsi"/>
          <w:b/>
          <w:bCs/>
          <w:color w:val="2C307E"/>
        </w:rPr>
      </w:pPr>
      <w:r w:rsidRPr="00D77F76">
        <w:rPr>
          <w:rFonts w:cstheme="minorHAnsi"/>
          <w:b/>
          <w:bCs/>
          <w:color w:val="2C307E"/>
        </w:rPr>
        <w:t xml:space="preserve">De meerderheid </w:t>
      </w:r>
      <w:r w:rsidR="006E3D55">
        <w:rPr>
          <w:rFonts w:cstheme="minorHAnsi"/>
          <w:b/>
          <w:bCs/>
          <w:color w:val="2C307E"/>
        </w:rPr>
        <w:t xml:space="preserve">(73%) </w:t>
      </w:r>
      <w:r w:rsidRPr="00D77F76">
        <w:rPr>
          <w:rFonts w:cstheme="minorHAnsi"/>
          <w:b/>
          <w:bCs/>
          <w:color w:val="2C307E"/>
        </w:rPr>
        <w:t xml:space="preserve">van de </w:t>
      </w:r>
      <w:r w:rsidR="008A1648">
        <w:rPr>
          <w:rFonts w:cstheme="minorHAnsi"/>
          <w:b/>
          <w:bCs/>
          <w:color w:val="2C307E"/>
        </w:rPr>
        <w:t>EV-rijders</w:t>
      </w:r>
      <w:r w:rsidRPr="00D77F76">
        <w:rPr>
          <w:rFonts w:cstheme="minorHAnsi"/>
          <w:b/>
          <w:bCs/>
          <w:color w:val="2C307E"/>
        </w:rPr>
        <w:t xml:space="preserve"> </w:t>
      </w:r>
      <w:r w:rsidR="00363DA8">
        <w:rPr>
          <w:rFonts w:cstheme="minorHAnsi"/>
          <w:b/>
          <w:bCs/>
          <w:color w:val="2C307E"/>
        </w:rPr>
        <w:t>laadt</w:t>
      </w:r>
      <w:r w:rsidRPr="00D77F76">
        <w:rPr>
          <w:rFonts w:cstheme="minorHAnsi"/>
          <w:b/>
          <w:bCs/>
          <w:color w:val="2C307E"/>
        </w:rPr>
        <w:t xml:space="preserve"> thuis </w:t>
      </w:r>
      <w:r w:rsidR="00452050">
        <w:rPr>
          <w:rFonts w:cstheme="minorHAnsi"/>
          <w:b/>
          <w:bCs/>
          <w:color w:val="2C307E"/>
        </w:rPr>
        <w:t>via de eigen aansluiting</w:t>
      </w:r>
      <w:r w:rsidR="00BC4FF6">
        <w:rPr>
          <w:rFonts w:cstheme="minorHAnsi"/>
          <w:b/>
          <w:bCs/>
          <w:color w:val="2C307E"/>
        </w:rPr>
        <w:t>.</w:t>
      </w:r>
      <w:r w:rsidRPr="00D77F76">
        <w:rPr>
          <w:rFonts w:cstheme="minorHAnsi"/>
          <w:b/>
          <w:bCs/>
          <w:color w:val="2C307E"/>
        </w:rPr>
        <w:t xml:space="preserve"> [N=</w:t>
      </w:r>
      <w:r w:rsidR="00657865" w:rsidRPr="00D77F76">
        <w:rPr>
          <w:rFonts w:cstheme="minorHAnsi"/>
          <w:b/>
          <w:bCs/>
          <w:color w:val="2C307E"/>
        </w:rPr>
        <w:t>3.713</w:t>
      </w:r>
      <w:r w:rsidRPr="00D77F76">
        <w:rPr>
          <w:rFonts w:cstheme="minorHAnsi"/>
          <w:b/>
          <w:bCs/>
          <w:color w:val="2C307E"/>
        </w:rPr>
        <w:t>]</w:t>
      </w:r>
    </w:p>
    <w:p w14:paraId="0CF2705E" w14:textId="66DEF629" w:rsidR="006E3D55" w:rsidRDefault="006E3D55" w:rsidP="006E3D55">
      <w:pPr>
        <w:spacing w:after="0" w:line="276" w:lineRule="auto"/>
        <w:jc w:val="both"/>
        <w:rPr>
          <w:color w:val="2C307E"/>
        </w:rPr>
      </w:pPr>
      <w:r>
        <w:rPr>
          <w:rFonts w:cstheme="minorHAnsi"/>
          <w:color w:val="2C307E"/>
        </w:rPr>
        <w:t xml:space="preserve">Dat </w:t>
      </w:r>
      <w:r w:rsidR="00451E59">
        <w:rPr>
          <w:rFonts w:cstheme="minorHAnsi"/>
          <w:color w:val="2C307E"/>
        </w:rPr>
        <w:t xml:space="preserve">aandeel </w:t>
      </w:r>
      <w:r w:rsidR="00920675">
        <w:rPr>
          <w:rFonts w:cstheme="minorHAnsi"/>
          <w:color w:val="2C307E"/>
        </w:rPr>
        <w:t xml:space="preserve">is de afgelopen jaren </w:t>
      </w:r>
      <w:r w:rsidR="00451E59">
        <w:rPr>
          <w:rFonts w:cstheme="minorHAnsi"/>
          <w:color w:val="2C307E"/>
        </w:rPr>
        <w:t>licht toegenomen.</w:t>
      </w:r>
      <w:r w:rsidRPr="006E3D55">
        <w:rPr>
          <w:color w:val="2C307E"/>
        </w:rPr>
        <w:t xml:space="preserve"> </w:t>
      </w:r>
      <w:r w:rsidR="003F6059">
        <w:rPr>
          <w:color w:val="2C307E"/>
        </w:rPr>
        <w:t>64% laad via de eigen aansluiting en parkeert</w:t>
      </w:r>
      <w:r w:rsidR="00D36FE6">
        <w:rPr>
          <w:color w:val="2C307E"/>
        </w:rPr>
        <w:t xml:space="preserve"> op eigen terrein. </w:t>
      </w:r>
      <w:r>
        <w:rPr>
          <w:color w:val="2C307E"/>
        </w:rPr>
        <w:t xml:space="preserve">9% </w:t>
      </w:r>
      <w:r w:rsidR="00F90B7A">
        <w:rPr>
          <w:color w:val="2C307E"/>
        </w:rPr>
        <w:t>laadt via de eigen aansluiting, maar parkeert in de openbare ruimte</w:t>
      </w:r>
      <w:r w:rsidR="003F6059">
        <w:rPr>
          <w:color w:val="2C307E"/>
        </w:rPr>
        <w:t>, d</w:t>
      </w:r>
      <w:r w:rsidRPr="05EF3C49">
        <w:rPr>
          <w:color w:val="2C307E"/>
        </w:rPr>
        <w:t>it betreft de zogenaamde Verlengd Private Aansluiting (VPA)</w:t>
      </w:r>
      <w:r w:rsidR="003F6059">
        <w:rPr>
          <w:color w:val="2C307E"/>
        </w:rPr>
        <w:t xml:space="preserve">. Het </w:t>
      </w:r>
      <w:r w:rsidRPr="05EF3C49">
        <w:rPr>
          <w:color w:val="2C307E"/>
        </w:rPr>
        <w:t>aandeel</w:t>
      </w:r>
      <w:r w:rsidR="003F6059">
        <w:rPr>
          <w:color w:val="2C307E"/>
        </w:rPr>
        <w:t xml:space="preserve"> VPA-laders</w:t>
      </w:r>
      <w:r w:rsidRPr="05EF3C49">
        <w:rPr>
          <w:color w:val="2C307E"/>
        </w:rPr>
        <w:t xml:space="preserve"> is wat toegenomen ten opzichte van vorig jaar, toen was </w:t>
      </w:r>
      <w:r w:rsidR="003F6059">
        <w:rPr>
          <w:color w:val="2C307E"/>
        </w:rPr>
        <w:t xml:space="preserve">dat </w:t>
      </w:r>
      <w:r w:rsidR="007E70D4">
        <w:rPr>
          <w:color w:val="2C307E"/>
        </w:rPr>
        <w:t>7</w:t>
      </w:r>
      <w:r w:rsidRPr="05EF3C49">
        <w:rPr>
          <w:color w:val="2C307E"/>
        </w:rPr>
        <w:t xml:space="preserve">%.  </w:t>
      </w:r>
    </w:p>
    <w:p w14:paraId="6EAFE95A" w14:textId="50E8F633" w:rsidR="00BB41F9" w:rsidRPr="00D77F76" w:rsidRDefault="00BB41F9" w:rsidP="00A70924">
      <w:pPr>
        <w:spacing w:after="0" w:line="276" w:lineRule="auto"/>
        <w:jc w:val="both"/>
        <w:rPr>
          <w:rFonts w:cstheme="minorHAnsi"/>
          <w:color w:val="2C307E"/>
        </w:rPr>
      </w:pPr>
      <w:r>
        <w:rPr>
          <w:noProof/>
        </w:rPr>
        <w:drawing>
          <wp:inline distT="0" distB="0" distL="0" distR="0" wp14:anchorId="1439E06A" wp14:editId="2B4E60E0">
            <wp:extent cx="2655570" cy="3450566"/>
            <wp:effectExtent l="0" t="0" r="0" b="0"/>
            <wp:docPr id="30708521" name="Grafiek 1">
              <a:extLst xmlns:a="http://schemas.openxmlformats.org/drawingml/2006/main">
                <a:ext uri="{FF2B5EF4-FFF2-40B4-BE49-F238E27FC236}">
                  <a16:creationId xmlns:a16="http://schemas.microsoft.com/office/drawing/2014/main" id="{4DFC3B16-EC0A-7902-D3F0-0577C1CD0D8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14:paraId="0099613E" w14:textId="1C54C5A3" w:rsidR="009B1174" w:rsidRDefault="009B1174" w:rsidP="00712417">
      <w:pPr>
        <w:spacing w:after="0" w:line="240" w:lineRule="auto"/>
        <w:jc w:val="both"/>
        <w:rPr>
          <w:color w:val="2C307E"/>
          <w:highlight w:val="yellow"/>
        </w:rPr>
      </w:pPr>
    </w:p>
    <w:p w14:paraId="076BC380" w14:textId="30D10C53" w:rsidR="000635C1" w:rsidRDefault="000635C1" w:rsidP="000635C1">
      <w:pPr>
        <w:spacing w:after="0" w:line="276" w:lineRule="auto"/>
        <w:jc w:val="both"/>
        <w:rPr>
          <w:b/>
          <w:color w:val="2C307E"/>
        </w:rPr>
      </w:pPr>
      <w:r w:rsidRPr="6FFD39C9">
        <w:rPr>
          <w:b/>
          <w:color w:val="2C307E"/>
        </w:rPr>
        <w:t xml:space="preserve">13% van de </w:t>
      </w:r>
      <w:r w:rsidRPr="6FFD39C9">
        <w:rPr>
          <w:b/>
          <w:bCs/>
          <w:color w:val="2C307E"/>
        </w:rPr>
        <w:t>thuislade</w:t>
      </w:r>
      <w:r w:rsidR="7C4CBD21" w:rsidRPr="6FFD39C9">
        <w:rPr>
          <w:b/>
          <w:bCs/>
          <w:color w:val="2C307E"/>
        </w:rPr>
        <w:t>r</w:t>
      </w:r>
      <w:r w:rsidRPr="6FFD39C9">
        <w:rPr>
          <w:b/>
          <w:bCs/>
          <w:color w:val="2C307E"/>
        </w:rPr>
        <w:t>s</w:t>
      </w:r>
      <w:r w:rsidRPr="6FFD39C9">
        <w:rPr>
          <w:b/>
          <w:color w:val="2C307E"/>
        </w:rPr>
        <w:t xml:space="preserve"> </w:t>
      </w:r>
      <w:r w:rsidR="007E70D4">
        <w:rPr>
          <w:b/>
          <w:color w:val="2C307E"/>
        </w:rPr>
        <w:t>laadt</w:t>
      </w:r>
      <w:r w:rsidRPr="6FFD39C9">
        <w:rPr>
          <w:b/>
          <w:color w:val="2C307E"/>
        </w:rPr>
        <w:t xml:space="preserve"> via het stopcontact, dus zonder laadpaal.</w:t>
      </w:r>
    </w:p>
    <w:p w14:paraId="035D6D9B" w14:textId="4D11545B" w:rsidR="000635C1" w:rsidRPr="00965A87" w:rsidRDefault="000635C1" w:rsidP="00364000">
      <w:pPr>
        <w:spacing w:after="0" w:line="276" w:lineRule="auto"/>
        <w:jc w:val="both"/>
        <w:rPr>
          <w:rFonts w:cstheme="minorHAnsi"/>
          <w:color w:val="2C307E"/>
        </w:rPr>
      </w:pPr>
      <w:r>
        <w:rPr>
          <w:rFonts w:cstheme="minorHAnsi"/>
          <w:color w:val="2C307E"/>
        </w:rPr>
        <w:t>4% van de thuisladers laadt via een stopcontact en parkeert in de openbare ruimte (VPA).</w:t>
      </w:r>
    </w:p>
    <w:p w14:paraId="23CB48C7" w14:textId="116D318A" w:rsidR="00364000" w:rsidRPr="00057017" w:rsidRDefault="00901CB0" w:rsidP="00A70924">
      <w:pPr>
        <w:spacing w:after="0" w:line="276" w:lineRule="auto"/>
        <w:jc w:val="both"/>
        <w:rPr>
          <w:rFonts w:cstheme="minorHAnsi"/>
          <w:b/>
          <w:bCs/>
          <w:color w:val="2C307E"/>
          <w:highlight w:val="yellow"/>
        </w:rPr>
      </w:pPr>
      <w:r>
        <w:rPr>
          <w:noProof/>
        </w:rPr>
        <w:drawing>
          <wp:inline distT="0" distB="0" distL="0" distR="0" wp14:anchorId="2512441D" wp14:editId="7AFD3653">
            <wp:extent cx="2655570" cy="1913861"/>
            <wp:effectExtent l="0" t="0" r="0" b="0"/>
            <wp:docPr id="581346874" name="Grafiek 1">
              <a:extLst xmlns:a="http://schemas.openxmlformats.org/drawingml/2006/main">
                <a:ext uri="{FF2B5EF4-FFF2-40B4-BE49-F238E27FC236}">
                  <a16:creationId xmlns:a16="http://schemas.microsoft.com/office/drawing/2014/main" id="{3A9F35E5-B110-BF2D-10A6-F8A69147456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14:paraId="4FCDE6D5" w14:textId="77777777" w:rsidR="00196CDE" w:rsidRDefault="00196CDE" w:rsidP="00A70924">
      <w:pPr>
        <w:spacing w:after="0" w:line="276" w:lineRule="auto"/>
        <w:jc w:val="both"/>
        <w:rPr>
          <w:rFonts w:cstheme="minorHAnsi"/>
          <w:b/>
          <w:bCs/>
          <w:color w:val="2C307E"/>
        </w:rPr>
      </w:pPr>
    </w:p>
    <w:p w14:paraId="3E8E17CA" w14:textId="7CBBBF52" w:rsidR="00593405" w:rsidRPr="00CB6C73" w:rsidRDefault="00593405" w:rsidP="00593405">
      <w:pPr>
        <w:spacing w:after="0" w:line="276" w:lineRule="auto"/>
        <w:jc w:val="both"/>
        <w:rPr>
          <w:rFonts w:cstheme="minorHAnsi"/>
          <w:b/>
          <w:bCs/>
          <w:color w:val="2C307E"/>
        </w:rPr>
      </w:pPr>
      <w:r w:rsidRPr="00CB6C73">
        <w:rPr>
          <w:rFonts w:cstheme="minorHAnsi"/>
          <w:b/>
          <w:bCs/>
          <w:color w:val="2C307E"/>
        </w:rPr>
        <w:t>EV-rijders die de auto hebben gekocht, zowel privé als zakelijk, laden relatief vaker op de eigen aansluiting</w:t>
      </w:r>
      <w:r>
        <w:rPr>
          <w:rFonts w:cstheme="minorHAnsi"/>
          <w:b/>
          <w:bCs/>
          <w:color w:val="2C307E"/>
        </w:rPr>
        <w:t xml:space="preserve">. </w:t>
      </w:r>
      <w:r w:rsidR="00485028">
        <w:rPr>
          <w:rFonts w:cstheme="minorHAnsi"/>
          <w:b/>
          <w:bCs/>
          <w:color w:val="2C307E"/>
        </w:rPr>
        <w:t>[N=3.713]</w:t>
      </w:r>
    </w:p>
    <w:p w14:paraId="68C68145" w14:textId="19846013" w:rsidR="005F15B5" w:rsidRPr="00485028" w:rsidRDefault="00593405" w:rsidP="00A70924">
      <w:pPr>
        <w:spacing w:after="0" w:line="276" w:lineRule="auto"/>
        <w:jc w:val="both"/>
        <w:rPr>
          <w:noProof/>
        </w:rPr>
      </w:pPr>
      <w:r w:rsidRPr="00CB6C73">
        <w:rPr>
          <w:rFonts w:cstheme="minorHAnsi"/>
          <w:color w:val="2C307E"/>
        </w:rPr>
        <w:t>Zakelijk lease als werknemer laadt het minst vaak thuis, maar nog steeds in 61% van de gevallen.</w:t>
      </w:r>
      <w:r w:rsidRPr="00CB6C73">
        <w:rPr>
          <w:noProof/>
        </w:rPr>
        <w:t xml:space="preserve"> </w:t>
      </w:r>
      <w:r w:rsidR="00B96015" w:rsidRPr="00485028">
        <w:rPr>
          <w:rFonts w:cstheme="minorHAnsi"/>
          <w:color w:val="2C307E"/>
        </w:rPr>
        <w:t xml:space="preserve">Vooral </w:t>
      </w:r>
      <w:r w:rsidR="006B20D4" w:rsidRPr="00485028">
        <w:rPr>
          <w:rFonts w:cstheme="minorHAnsi"/>
          <w:color w:val="2C307E"/>
        </w:rPr>
        <w:t>privé rijders (lease en koop)</w:t>
      </w:r>
      <w:r w:rsidR="00B96015" w:rsidRPr="00485028">
        <w:rPr>
          <w:rFonts w:cstheme="minorHAnsi"/>
          <w:color w:val="2C307E"/>
        </w:rPr>
        <w:t xml:space="preserve"> </w:t>
      </w:r>
      <w:r w:rsidR="00B62A5C" w:rsidRPr="00485028">
        <w:rPr>
          <w:rFonts w:cstheme="minorHAnsi"/>
          <w:color w:val="2C307E"/>
        </w:rPr>
        <w:t>laden vaak in de openbare ruimte via hun eigen aansluiting</w:t>
      </w:r>
      <w:r w:rsidR="00485028">
        <w:rPr>
          <w:rFonts w:cstheme="minorHAnsi"/>
          <w:color w:val="2C307E"/>
        </w:rPr>
        <w:t xml:space="preserve"> (VPA)</w:t>
      </w:r>
      <w:r w:rsidR="00D62E8F" w:rsidRPr="00485028">
        <w:rPr>
          <w:rFonts w:cstheme="minorHAnsi"/>
          <w:color w:val="2C307E"/>
        </w:rPr>
        <w:t xml:space="preserve">. </w:t>
      </w:r>
      <w:r w:rsidR="009B57E5">
        <w:rPr>
          <w:rFonts w:cstheme="minorHAnsi"/>
          <w:color w:val="2C307E"/>
        </w:rPr>
        <w:t>Privé rijders passen vaker de VPA</w:t>
      </w:r>
      <w:r w:rsidR="00BC4FF6">
        <w:rPr>
          <w:rFonts w:cstheme="minorHAnsi"/>
          <w:color w:val="2C307E"/>
        </w:rPr>
        <w:t>-</w:t>
      </w:r>
      <w:r w:rsidR="009B57E5">
        <w:rPr>
          <w:rFonts w:cstheme="minorHAnsi"/>
          <w:color w:val="2C307E"/>
        </w:rPr>
        <w:t>constructie toe</w:t>
      </w:r>
      <w:r w:rsidR="00D62E8F">
        <w:rPr>
          <w:rFonts w:cstheme="minorHAnsi"/>
          <w:color w:val="2C307E"/>
        </w:rPr>
        <w:t xml:space="preserve"> (</w:t>
      </w:r>
      <w:r w:rsidR="006B20D4">
        <w:rPr>
          <w:rFonts w:cstheme="minorHAnsi"/>
          <w:color w:val="2C307E"/>
        </w:rPr>
        <w:t>11%-13%)</w:t>
      </w:r>
      <w:r w:rsidR="009B57E5">
        <w:rPr>
          <w:rFonts w:cstheme="minorHAnsi"/>
          <w:color w:val="2C307E"/>
        </w:rPr>
        <w:t>. Zakelijke rijders doen dat minder vaak (</w:t>
      </w:r>
      <w:r w:rsidR="006B20D4">
        <w:rPr>
          <w:rFonts w:cstheme="minorHAnsi"/>
          <w:color w:val="2C307E"/>
        </w:rPr>
        <w:t>4</w:t>
      </w:r>
      <w:r w:rsidR="009B57E5">
        <w:rPr>
          <w:rFonts w:cstheme="minorHAnsi"/>
          <w:color w:val="2C307E"/>
        </w:rPr>
        <w:t>%-</w:t>
      </w:r>
      <w:r w:rsidR="006B20D4">
        <w:rPr>
          <w:rFonts w:cstheme="minorHAnsi"/>
          <w:color w:val="2C307E"/>
        </w:rPr>
        <w:t>7</w:t>
      </w:r>
      <w:r w:rsidR="009B57E5">
        <w:rPr>
          <w:rFonts w:cstheme="minorHAnsi"/>
          <w:color w:val="2C307E"/>
        </w:rPr>
        <w:t>%)</w:t>
      </w:r>
      <w:r w:rsidR="005F15B5">
        <w:rPr>
          <w:rFonts w:cstheme="minorHAnsi"/>
          <w:color w:val="2C307E"/>
        </w:rPr>
        <w:t>.</w:t>
      </w:r>
      <w:r w:rsidR="00256AED">
        <w:rPr>
          <w:rFonts w:cstheme="minorHAnsi"/>
          <w:color w:val="2C307E"/>
        </w:rPr>
        <w:t xml:space="preserve"> </w:t>
      </w:r>
    </w:p>
    <w:p w14:paraId="21D17D86" w14:textId="72C3D81A" w:rsidR="002C4DC5" w:rsidRDefault="002C4DC5" w:rsidP="00A70924">
      <w:pPr>
        <w:spacing w:after="0" w:line="276" w:lineRule="auto"/>
        <w:jc w:val="both"/>
        <w:rPr>
          <w:noProof/>
        </w:rPr>
      </w:pPr>
      <w:r>
        <w:rPr>
          <w:noProof/>
        </w:rPr>
        <w:drawing>
          <wp:inline distT="0" distB="0" distL="0" distR="0" wp14:anchorId="5E465075" wp14:editId="06714EA0">
            <wp:extent cx="2708275" cy="2984740"/>
            <wp:effectExtent l="0" t="0" r="0" b="0"/>
            <wp:docPr id="857796407" name="Grafiek 1">
              <a:extLst xmlns:a="http://schemas.openxmlformats.org/drawingml/2006/main">
                <a:ext uri="{FF2B5EF4-FFF2-40B4-BE49-F238E27FC236}">
                  <a16:creationId xmlns:a16="http://schemas.microsoft.com/office/drawing/2014/main" id="{C3C8F996-4129-E6DA-8E66-93553A33279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14:paraId="69834BEB" w14:textId="1DCBB6A2" w:rsidR="007E70D4" w:rsidRPr="006144CB" w:rsidRDefault="007E70D4" w:rsidP="007E70D4">
      <w:pPr>
        <w:spacing w:after="0" w:line="276" w:lineRule="auto"/>
        <w:jc w:val="both"/>
        <w:rPr>
          <w:b/>
          <w:bCs/>
          <w:color w:val="2C307E"/>
        </w:rPr>
      </w:pPr>
      <w:r w:rsidRPr="006144CB">
        <w:rPr>
          <w:b/>
          <w:bCs/>
          <w:color w:val="2C307E"/>
        </w:rPr>
        <w:t xml:space="preserve">67% </w:t>
      </w:r>
      <w:r w:rsidR="002912E2">
        <w:rPr>
          <w:b/>
          <w:bCs/>
          <w:color w:val="2C307E"/>
        </w:rPr>
        <w:t xml:space="preserve">van de EV-rijders </w:t>
      </w:r>
      <w:r w:rsidRPr="006144CB">
        <w:rPr>
          <w:b/>
          <w:bCs/>
          <w:color w:val="2C307E"/>
        </w:rPr>
        <w:t>heeft de mogelijkheid om op eigen terrein te parkeren en te laden</w:t>
      </w:r>
      <w:r>
        <w:rPr>
          <w:b/>
          <w:bCs/>
          <w:color w:val="2C307E"/>
        </w:rPr>
        <w:t>. [N=3.663]</w:t>
      </w:r>
    </w:p>
    <w:p w14:paraId="3F143AB1" w14:textId="455D7E41" w:rsidR="00FD4573" w:rsidRDefault="007E70D4" w:rsidP="00196CDE">
      <w:pPr>
        <w:spacing w:after="0" w:line="276" w:lineRule="auto"/>
        <w:jc w:val="both"/>
        <w:rPr>
          <w:b/>
          <w:bCs/>
          <w:color w:val="2C307E"/>
        </w:rPr>
      </w:pPr>
      <w:r w:rsidRPr="006144CB">
        <w:rPr>
          <w:color w:val="2C307E"/>
        </w:rPr>
        <w:t xml:space="preserve">Dit jaar is ook uitgevraagd wat de parkeersituatie van de EV-rijder is. 24% heeft onvoldoende eigen grond en parkeert in de openbare ruimte. 7% geeft aan een gezamenlijke parkeergelegenheid te hebben (bijvoorbeeld via een VVE). </w:t>
      </w:r>
      <w:r w:rsidR="00FD4573">
        <w:rPr>
          <w:b/>
          <w:bCs/>
          <w:color w:val="2C307E"/>
        </w:rPr>
        <w:br w:type="page"/>
      </w:r>
    </w:p>
    <w:p w14:paraId="15F3C580" w14:textId="3F290DA4" w:rsidR="00C701B5" w:rsidRDefault="00A558B4" w:rsidP="00C701B5">
      <w:pPr>
        <w:spacing w:after="0" w:line="276" w:lineRule="auto"/>
        <w:jc w:val="both"/>
        <w:rPr>
          <w:b/>
          <w:bCs/>
          <w:color w:val="2C307E"/>
        </w:rPr>
      </w:pPr>
      <w:r>
        <w:rPr>
          <w:b/>
          <w:bCs/>
          <w:color w:val="2C307E"/>
        </w:rPr>
        <w:lastRenderedPageBreak/>
        <w:t>33%</w:t>
      </w:r>
      <w:r w:rsidR="00C701B5">
        <w:rPr>
          <w:b/>
          <w:bCs/>
          <w:color w:val="2C307E"/>
        </w:rPr>
        <w:t xml:space="preserve"> van EV-rijders zonder eigen parkeergelegenheid laadt via</w:t>
      </w:r>
      <w:r w:rsidR="002912E2">
        <w:rPr>
          <w:b/>
          <w:bCs/>
          <w:color w:val="2C307E"/>
        </w:rPr>
        <w:t xml:space="preserve"> de</w:t>
      </w:r>
      <w:r w:rsidR="00C701B5">
        <w:rPr>
          <w:b/>
          <w:bCs/>
          <w:color w:val="2C307E"/>
        </w:rPr>
        <w:t xml:space="preserve"> eigen aansluiting – toch in de openbare ruimte</w:t>
      </w:r>
      <w:r w:rsidR="000635C1">
        <w:rPr>
          <w:b/>
          <w:bCs/>
          <w:color w:val="2C307E"/>
        </w:rPr>
        <w:t>.</w:t>
      </w:r>
      <w:r w:rsidR="00C701B5">
        <w:rPr>
          <w:b/>
          <w:bCs/>
          <w:color w:val="2C307E"/>
        </w:rPr>
        <w:t xml:space="preserve"> </w:t>
      </w:r>
      <w:r w:rsidR="000635C1">
        <w:rPr>
          <w:b/>
          <w:bCs/>
          <w:color w:val="2C307E"/>
        </w:rPr>
        <w:t>[</w:t>
      </w:r>
      <w:r w:rsidR="00C701B5">
        <w:rPr>
          <w:b/>
          <w:bCs/>
          <w:color w:val="2C307E"/>
        </w:rPr>
        <w:t>N=3.663]</w:t>
      </w:r>
    </w:p>
    <w:p w14:paraId="39F1FB39" w14:textId="49A271DF" w:rsidR="00BC4FF6" w:rsidRDefault="00C701B5" w:rsidP="00C701B5">
      <w:pPr>
        <w:spacing w:after="0" w:line="276" w:lineRule="auto"/>
        <w:jc w:val="both"/>
        <w:rPr>
          <w:color w:val="2C307E"/>
        </w:rPr>
      </w:pPr>
      <w:r>
        <w:rPr>
          <w:color w:val="2C307E"/>
        </w:rPr>
        <w:t>En 95% van de EV-rijders met eigen parkeergelegenheid, laadt thuis via de eigen aansluiting.</w:t>
      </w:r>
      <w:r w:rsidR="00196CDE">
        <w:rPr>
          <w:color w:val="2C307E"/>
        </w:rPr>
        <w:t xml:space="preserve"> En slechts 33% heeft de mogelijkheid om ‘thuis’ in de VvE te laden.</w:t>
      </w:r>
    </w:p>
    <w:p w14:paraId="6D0AB5BD" w14:textId="3CC70405" w:rsidR="00C701B5" w:rsidRDefault="00C701B5" w:rsidP="00C701B5">
      <w:pPr>
        <w:spacing w:after="0" w:line="276" w:lineRule="auto"/>
        <w:jc w:val="both"/>
        <w:rPr>
          <w:color w:val="2C307E"/>
        </w:rPr>
      </w:pPr>
      <w:r>
        <w:rPr>
          <w:noProof/>
        </w:rPr>
        <w:drawing>
          <wp:inline distT="0" distB="0" distL="0" distR="0" wp14:anchorId="622BC52B" wp14:editId="3E53F693">
            <wp:extent cx="2768600" cy="2854960"/>
            <wp:effectExtent l="0" t="0" r="0" b="0"/>
            <wp:docPr id="1790789113" name="Grafiek 1">
              <a:extLst xmlns:a="http://schemas.openxmlformats.org/drawingml/2006/main">
                <a:ext uri="{FF2B5EF4-FFF2-40B4-BE49-F238E27FC236}">
                  <a16:creationId xmlns:a16="http://schemas.microsoft.com/office/drawing/2014/main" id="{8441CEF1-1B12-E516-DC57-97D741975B2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14:paraId="05B643F9" w14:textId="66A29CF2" w:rsidR="00FA78D6" w:rsidRDefault="00FA78D6" w:rsidP="00FA78D6">
      <w:pPr>
        <w:spacing w:after="0" w:line="276" w:lineRule="auto"/>
        <w:jc w:val="both"/>
        <w:rPr>
          <w:b/>
          <w:bCs/>
          <w:color w:val="2C307E"/>
        </w:rPr>
      </w:pPr>
      <w:r>
        <w:rPr>
          <w:b/>
          <w:bCs/>
          <w:color w:val="2C307E"/>
        </w:rPr>
        <w:t xml:space="preserve">De </w:t>
      </w:r>
      <w:r w:rsidR="002912E2">
        <w:rPr>
          <w:b/>
          <w:bCs/>
          <w:color w:val="2C307E"/>
        </w:rPr>
        <w:t xml:space="preserve">thuislader </w:t>
      </w:r>
      <w:r>
        <w:rPr>
          <w:b/>
          <w:bCs/>
          <w:color w:val="2C307E"/>
        </w:rPr>
        <w:t xml:space="preserve">laadt vaak </w:t>
      </w:r>
      <w:r w:rsidR="002912E2">
        <w:rPr>
          <w:b/>
          <w:bCs/>
          <w:color w:val="2C307E"/>
        </w:rPr>
        <w:t>op basis van</w:t>
      </w:r>
      <w:r>
        <w:rPr>
          <w:b/>
          <w:bCs/>
          <w:color w:val="2C307E"/>
        </w:rPr>
        <w:t xml:space="preserve"> dynamische tarieven (41%).</w:t>
      </w:r>
    </w:p>
    <w:p w14:paraId="4C2455C5" w14:textId="5BFE8B54" w:rsidR="00FA78D6" w:rsidRPr="007676D0" w:rsidRDefault="00FA78D6" w:rsidP="00FA78D6">
      <w:pPr>
        <w:spacing w:after="0" w:line="276" w:lineRule="auto"/>
        <w:jc w:val="both"/>
        <w:rPr>
          <w:color w:val="2C307E"/>
        </w:rPr>
      </w:pPr>
      <w:r>
        <w:rPr>
          <w:color w:val="2C307E"/>
        </w:rPr>
        <w:t xml:space="preserve">Dat is aanzienlijk meer dan gemiddeld in Nederland, </w:t>
      </w:r>
      <w:r w:rsidR="00954085">
        <w:rPr>
          <w:color w:val="2C307E"/>
        </w:rPr>
        <w:t>eind 2024 heeft</w:t>
      </w:r>
      <w:r>
        <w:rPr>
          <w:color w:val="2C307E"/>
        </w:rPr>
        <w:t xml:space="preserve"> 5% </w:t>
      </w:r>
      <w:r w:rsidR="00954085">
        <w:rPr>
          <w:color w:val="2C307E"/>
        </w:rPr>
        <w:t>van de Nederlandse huishoudens een dynamisch energiecontract</w:t>
      </w:r>
      <w:r>
        <w:rPr>
          <w:rStyle w:val="Voetnootmarkering"/>
          <w:color w:val="2C307E"/>
        </w:rPr>
        <w:footnoteReference w:id="8"/>
      </w:r>
      <w:r>
        <w:rPr>
          <w:color w:val="2C307E"/>
        </w:rPr>
        <w:t xml:space="preserve">. </w:t>
      </w:r>
      <w:r w:rsidR="002912E2">
        <w:rPr>
          <w:color w:val="2C307E"/>
        </w:rPr>
        <w:t xml:space="preserve">Dit percentage geldt zowel voor de thuislader die op eigen terrein kan parkeren als voor de thuislader die in de openbare ruimte parkeert. </w:t>
      </w:r>
      <w:r w:rsidR="00954085">
        <w:rPr>
          <w:color w:val="2C307E"/>
        </w:rPr>
        <w:t>De</w:t>
      </w:r>
      <w:r>
        <w:rPr>
          <w:color w:val="2C307E"/>
        </w:rPr>
        <w:t xml:space="preserve"> voordelen van een dynamisch energiecontract in combinatie met het laden van de elektrische auto, lijken een belangrijke aanleiding te zijn om via de eigen aansluiting in de openbare ruimte te laden.</w:t>
      </w:r>
    </w:p>
    <w:p w14:paraId="73F091A2" w14:textId="77777777" w:rsidR="00FA78D6" w:rsidRDefault="00FA78D6" w:rsidP="00C701B5">
      <w:pPr>
        <w:spacing w:after="0" w:line="276" w:lineRule="auto"/>
        <w:jc w:val="both"/>
        <w:rPr>
          <w:b/>
          <w:bCs/>
          <w:color w:val="2C307E"/>
        </w:rPr>
      </w:pPr>
    </w:p>
    <w:p w14:paraId="1006609A" w14:textId="45607805" w:rsidR="00FA78D6" w:rsidRDefault="00270BEB" w:rsidP="00C701B5">
      <w:pPr>
        <w:spacing w:after="0" w:line="276" w:lineRule="auto"/>
        <w:jc w:val="both"/>
        <w:rPr>
          <w:b/>
          <w:bCs/>
          <w:color w:val="2C307E"/>
        </w:rPr>
      </w:pPr>
      <w:r>
        <w:rPr>
          <w:b/>
          <w:bCs/>
          <w:color w:val="2C307E"/>
        </w:rPr>
        <w:t xml:space="preserve">De </w:t>
      </w:r>
      <w:r w:rsidR="002912E2">
        <w:rPr>
          <w:b/>
          <w:bCs/>
          <w:color w:val="2C307E"/>
        </w:rPr>
        <w:t>thuislader die in</w:t>
      </w:r>
      <w:r>
        <w:rPr>
          <w:b/>
          <w:bCs/>
          <w:color w:val="2C307E"/>
        </w:rPr>
        <w:t xml:space="preserve"> de openbare ruimte parkeert heeft veel vaker zonnepanelen dan de EV-rijder die niet via de eigen aansluiting laad</w:t>
      </w:r>
      <w:r w:rsidR="00F50C6B">
        <w:rPr>
          <w:b/>
          <w:bCs/>
          <w:color w:val="2C307E"/>
        </w:rPr>
        <w:t>t</w:t>
      </w:r>
      <w:r>
        <w:rPr>
          <w:b/>
          <w:bCs/>
          <w:color w:val="2C307E"/>
        </w:rPr>
        <w:t>.</w:t>
      </w:r>
      <w:r w:rsidR="00516EF8">
        <w:rPr>
          <w:b/>
          <w:bCs/>
          <w:color w:val="2C307E"/>
        </w:rPr>
        <w:t xml:space="preserve"> [N=3.663]</w:t>
      </w:r>
    </w:p>
    <w:p w14:paraId="7A52BC2C" w14:textId="2508EC09" w:rsidR="00954085" w:rsidRDefault="00783563" w:rsidP="00783563">
      <w:pPr>
        <w:jc w:val="both"/>
        <w:rPr>
          <w:color w:val="2C307E"/>
        </w:rPr>
      </w:pPr>
      <w:r w:rsidRPr="00783563">
        <w:rPr>
          <w:color w:val="2C307E"/>
        </w:rPr>
        <w:t xml:space="preserve">91% van </w:t>
      </w:r>
      <w:r w:rsidR="00196CDE">
        <w:rPr>
          <w:color w:val="2C307E"/>
        </w:rPr>
        <w:t>de thuisladers die in de openbare ruimte parkeren en laden</w:t>
      </w:r>
      <w:r w:rsidRPr="00783563">
        <w:rPr>
          <w:color w:val="2C307E"/>
        </w:rPr>
        <w:t xml:space="preserve"> heeft zonnepanelen</w:t>
      </w:r>
      <w:r w:rsidR="00196CDE">
        <w:rPr>
          <w:color w:val="2C307E"/>
        </w:rPr>
        <w:t>,</w:t>
      </w:r>
      <w:r w:rsidRPr="00783563">
        <w:rPr>
          <w:color w:val="2C307E"/>
        </w:rPr>
        <w:t xml:space="preserve"> </w:t>
      </w:r>
      <w:r w:rsidR="00196CDE">
        <w:rPr>
          <w:color w:val="2C307E"/>
        </w:rPr>
        <w:t>é</w:t>
      </w:r>
      <w:r w:rsidRPr="00783563">
        <w:rPr>
          <w:color w:val="2C307E"/>
        </w:rPr>
        <w:t xml:space="preserve">n </w:t>
      </w:r>
      <w:r w:rsidR="000635C1">
        <w:rPr>
          <w:color w:val="2C307E"/>
        </w:rPr>
        <w:t xml:space="preserve">70% </w:t>
      </w:r>
      <w:r w:rsidRPr="00783563">
        <w:rPr>
          <w:color w:val="2C307E"/>
        </w:rPr>
        <w:t>laad</w:t>
      </w:r>
      <w:r>
        <w:rPr>
          <w:color w:val="2C307E"/>
        </w:rPr>
        <w:t>t</w:t>
      </w:r>
      <w:r w:rsidRPr="00783563">
        <w:rPr>
          <w:color w:val="2C307E"/>
        </w:rPr>
        <w:t xml:space="preserve"> de auto </w:t>
      </w:r>
      <w:r w:rsidR="000635C1">
        <w:rPr>
          <w:color w:val="2C307E"/>
        </w:rPr>
        <w:t xml:space="preserve">ook </w:t>
      </w:r>
      <w:r w:rsidRPr="00783563">
        <w:rPr>
          <w:color w:val="2C307E"/>
        </w:rPr>
        <w:t xml:space="preserve">zoveel mogelijk op tijden waarop </w:t>
      </w:r>
      <w:r w:rsidR="00F50C6B" w:rsidRPr="00783563">
        <w:rPr>
          <w:color w:val="2C307E"/>
        </w:rPr>
        <w:t>zonne-energie</w:t>
      </w:r>
      <w:r w:rsidRPr="00783563">
        <w:rPr>
          <w:color w:val="2C307E"/>
        </w:rPr>
        <w:t xml:space="preserve"> beschikbaar is. Terwijl een aanzienlijk kleiner aandeel (46%) van de EV-rijders zonder eigen</w:t>
      </w:r>
      <w:r w:rsidR="00BC4FF6">
        <w:rPr>
          <w:color w:val="2C307E"/>
        </w:rPr>
        <w:t xml:space="preserve"> </w:t>
      </w:r>
      <w:r w:rsidRPr="00783563">
        <w:rPr>
          <w:color w:val="2C307E"/>
        </w:rPr>
        <w:t>oprit en afhankelijk van openbare laadinfrastructuur, zonnepanelen heeft. Het gebruiken van eigen zonne-energie in de elektrische auto lijkt een belangrijke aanleiding te zijn om via de eigen aansluiting in de openbare ruimte te laden.</w:t>
      </w:r>
    </w:p>
    <w:p w14:paraId="1036144E" w14:textId="6E101717" w:rsidR="006475E6" w:rsidRDefault="00270BEB" w:rsidP="00783563">
      <w:pPr>
        <w:jc w:val="both"/>
        <w:rPr>
          <w:rFonts w:cstheme="minorHAnsi"/>
          <w:b/>
          <w:bCs/>
          <w:color w:val="2C307E"/>
        </w:rPr>
      </w:pPr>
      <w:r>
        <w:rPr>
          <w:noProof/>
        </w:rPr>
        <w:drawing>
          <wp:inline distT="0" distB="0" distL="0" distR="0" wp14:anchorId="0044C267" wp14:editId="4304B2CA">
            <wp:extent cx="2655570" cy="3752490"/>
            <wp:effectExtent l="0" t="0" r="0" b="0"/>
            <wp:docPr id="1055684432" name="Grafiek 1">
              <a:extLst xmlns:a="http://schemas.openxmlformats.org/drawingml/2006/main">
                <a:ext uri="{FF2B5EF4-FFF2-40B4-BE49-F238E27FC236}">
                  <a16:creationId xmlns:a16="http://schemas.microsoft.com/office/drawing/2014/main" id="{7DB2B749-4E2F-3D26-59DE-105D4A2E661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14:paraId="150A49CD" w14:textId="0C935514" w:rsidR="00AC0C22" w:rsidRPr="00FA78D6" w:rsidRDefault="001B7F21" w:rsidP="00FA78D6">
      <w:pPr>
        <w:spacing w:after="0" w:line="276" w:lineRule="auto"/>
        <w:jc w:val="both"/>
        <w:rPr>
          <w:b/>
          <w:bCs/>
          <w:color w:val="2C307E"/>
        </w:rPr>
      </w:pPr>
      <w:r>
        <w:rPr>
          <w:b/>
          <w:bCs/>
          <w:color w:val="2C307E"/>
        </w:rPr>
        <w:t>Grootste deel thuisladers</w:t>
      </w:r>
      <w:r w:rsidR="006F0D16" w:rsidRPr="00FA78D6">
        <w:rPr>
          <w:b/>
          <w:bCs/>
          <w:color w:val="2C307E"/>
        </w:rPr>
        <w:t xml:space="preserve"> laadt meer dan 81% van de kilometers thuis. [N=2.344]</w:t>
      </w:r>
    </w:p>
    <w:p w14:paraId="6C56BB4F" w14:textId="22C0DBFE" w:rsidR="00AC0C22" w:rsidRPr="00AC0C22" w:rsidRDefault="00AC0C22" w:rsidP="00C701B5">
      <w:pPr>
        <w:spacing w:after="0" w:line="276" w:lineRule="auto"/>
        <w:jc w:val="both"/>
        <w:rPr>
          <w:rFonts w:cstheme="minorHAnsi"/>
          <w:color w:val="2C307E"/>
        </w:rPr>
      </w:pPr>
      <w:r>
        <w:rPr>
          <w:rFonts w:cstheme="minorHAnsi"/>
          <w:color w:val="2C307E"/>
        </w:rPr>
        <w:t>Als men een eigen laadpaal thuis heeft, dan worden de meeste kilometers op de laadpaal</w:t>
      </w:r>
      <w:r w:rsidR="0033549A">
        <w:rPr>
          <w:rFonts w:cstheme="minorHAnsi"/>
          <w:color w:val="2C307E"/>
        </w:rPr>
        <w:t xml:space="preserve"> thuis</w:t>
      </w:r>
      <w:r>
        <w:rPr>
          <w:rFonts w:cstheme="minorHAnsi"/>
          <w:color w:val="2C307E"/>
        </w:rPr>
        <w:t xml:space="preserve"> geladen.</w:t>
      </w:r>
      <w:r w:rsidR="000E40C4">
        <w:rPr>
          <w:rFonts w:cstheme="minorHAnsi"/>
          <w:color w:val="2C307E"/>
        </w:rPr>
        <w:t xml:space="preserve"> </w:t>
      </w:r>
    </w:p>
    <w:p w14:paraId="542E9C56" w14:textId="49F54A0F" w:rsidR="002C605C" w:rsidRDefault="001E1FAE" w:rsidP="00C701B5">
      <w:pPr>
        <w:shd w:val="clear" w:color="auto" w:fill="FFFFFF" w:themeFill="background1"/>
        <w:spacing w:after="0" w:line="276" w:lineRule="auto"/>
        <w:jc w:val="both"/>
        <w:rPr>
          <w:rFonts w:cstheme="minorHAnsi"/>
          <w:color w:val="2C307E"/>
          <w:highlight w:val="yellow"/>
        </w:rPr>
      </w:pPr>
      <w:r>
        <w:rPr>
          <w:noProof/>
        </w:rPr>
        <w:drawing>
          <wp:inline distT="0" distB="0" distL="0" distR="0" wp14:anchorId="6226F598" wp14:editId="0FFA809A">
            <wp:extent cx="2655570" cy="1820174"/>
            <wp:effectExtent l="0" t="0" r="0" b="8890"/>
            <wp:docPr id="383897382" name="Grafiek 1">
              <a:extLst xmlns:a="http://schemas.openxmlformats.org/drawingml/2006/main">
                <a:ext uri="{FF2B5EF4-FFF2-40B4-BE49-F238E27FC236}">
                  <a16:creationId xmlns:a16="http://schemas.microsoft.com/office/drawing/2014/main" id="{E7ABC0C1-8892-50E2-0AA1-158D594AB4F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14:paraId="7862DA9D" w14:textId="292E94AF" w:rsidR="00712417" w:rsidRPr="00F916EA" w:rsidRDefault="00712417" w:rsidP="00364000">
      <w:pPr>
        <w:spacing w:after="0" w:line="276" w:lineRule="auto"/>
        <w:jc w:val="both"/>
        <w:rPr>
          <w:rFonts w:cstheme="minorHAnsi"/>
          <w:b/>
          <w:bCs/>
          <w:color w:val="2C307E"/>
        </w:rPr>
      </w:pPr>
      <w:r w:rsidRPr="00F916EA">
        <w:rPr>
          <w:rFonts w:cstheme="minorHAnsi"/>
          <w:b/>
          <w:bCs/>
          <w:color w:val="2C307E"/>
        </w:rPr>
        <w:lastRenderedPageBreak/>
        <w:t xml:space="preserve">Het kunnen laden </w:t>
      </w:r>
      <w:r w:rsidR="00B54AB5">
        <w:rPr>
          <w:rFonts w:cstheme="minorHAnsi"/>
          <w:b/>
          <w:bCs/>
          <w:color w:val="2C307E"/>
        </w:rPr>
        <w:t>via de eigen aansluiting</w:t>
      </w:r>
      <w:r w:rsidRPr="00F916EA">
        <w:rPr>
          <w:rFonts w:cstheme="minorHAnsi"/>
          <w:b/>
          <w:bCs/>
          <w:color w:val="2C307E"/>
        </w:rPr>
        <w:t xml:space="preserve"> </w:t>
      </w:r>
      <w:r w:rsidR="0018172E" w:rsidRPr="00F916EA">
        <w:rPr>
          <w:rFonts w:cstheme="minorHAnsi"/>
          <w:b/>
          <w:bCs/>
          <w:color w:val="2C307E"/>
        </w:rPr>
        <w:t>is</w:t>
      </w:r>
      <w:r w:rsidRPr="00F916EA">
        <w:rPr>
          <w:rFonts w:cstheme="minorHAnsi"/>
          <w:b/>
          <w:bCs/>
          <w:color w:val="2C307E"/>
        </w:rPr>
        <w:t xml:space="preserve"> voor </w:t>
      </w:r>
      <w:r w:rsidR="0018172E" w:rsidRPr="00F916EA">
        <w:rPr>
          <w:rFonts w:cstheme="minorHAnsi"/>
          <w:b/>
          <w:bCs/>
          <w:color w:val="2C307E"/>
        </w:rPr>
        <w:t>veel EV-rijders</w:t>
      </w:r>
      <w:r w:rsidRPr="00F916EA">
        <w:rPr>
          <w:rFonts w:cstheme="minorHAnsi"/>
          <w:b/>
          <w:bCs/>
          <w:color w:val="2C307E"/>
        </w:rPr>
        <w:t xml:space="preserve"> belangrijk</w:t>
      </w:r>
      <w:r w:rsidR="0018172E" w:rsidRPr="00F916EA">
        <w:rPr>
          <w:rFonts w:cstheme="minorHAnsi"/>
          <w:b/>
          <w:bCs/>
          <w:color w:val="2C307E"/>
        </w:rPr>
        <w:t xml:space="preserve"> geweest om elektrisch te gaan rijden</w:t>
      </w:r>
      <w:r w:rsidRPr="00F916EA">
        <w:rPr>
          <w:rFonts w:cstheme="minorHAnsi"/>
          <w:b/>
          <w:bCs/>
          <w:color w:val="2C307E"/>
        </w:rPr>
        <w:t>, ongeacht hoe lang ze al elektrisch rijden</w:t>
      </w:r>
      <w:r w:rsidR="0022569B" w:rsidRPr="00F916EA">
        <w:rPr>
          <w:rFonts w:cstheme="minorHAnsi"/>
          <w:b/>
          <w:bCs/>
          <w:color w:val="2C307E"/>
        </w:rPr>
        <w:t>.</w:t>
      </w:r>
      <w:r w:rsidRPr="00F916EA">
        <w:rPr>
          <w:rFonts w:cstheme="minorHAnsi"/>
          <w:b/>
          <w:bCs/>
          <w:color w:val="2C307E"/>
        </w:rPr>
        <w:t xml:space="preserve"> [N=</w:t>
      </w:r>
      <w:r w:rsidR="0087046D">
        <w:rPr>
          <w:rFonts w:cstheme="minorHAnsi"/>
          <w:b/>
          <w:bCs/>
          <w:color w:val="2C307E"/>
        </w:rPr>
        <w:t>1.446]</w:t>
      </w:r>
      <w:r w:rsidR="0087046D" w:rsidRPr="00F916EA">
        <w:rPr>
          <w:rFonts w:cstheme="minorHAnsi"/>
          <w:b/>
          <w:bCs/>
          <w:color w:val="2C307E"/>
        </w:rPr>
        <w:t xml:space="preserve"> </w:t>
      </w:r>
    </w:p>
    <w:p w14:paraId="0369A1CA" w14:textId="0E6B3618" w:rsidR="00712417" w:rsidRPr="00F916EA" w:rsidRDefault="0087046D" w:rsidP="00364000">
      <w:pPr>
        <w:spacing w:after="0" w:line="276" w:lineRule="auto"/>
        <w:jc w:val="both"/>
        <w:rPr>
          <w:color w:val="2C307E"/>
        </w:rPr>
      </w:pPr>
      <w:r>
        <w:rPr>
          <w:color w:val="2C307E"/>
        </w:rPr>
        <w:t xml:space="preserve">70% geeft aan </w:t>
      </w:r>
      <w:r w:rsidR="00051111">
        <w:rPr>
          <w:color w:val="2C307E"/>
        </w:rPr>
        <w:t xml:space="preserve">dat </w:t>
      </w:r>
      <w:r w:rsidR="00394DD3">
        <w:rPr>
          <w:color w:val="2C307E"/>
        </w:rPr>
        <w:t xml:space="preserve">de mogelijkheid van het laden op de </w:t>
      </w:r>
      <w:r w:rsidR="00B46A74">
        <w:rPr>
          <w:color w:val="2C307E"/>
        </w:rPr>
        <w:t>eigen</w:t>
      </w:r>
      <w:r w:rsidR="00051111">
        <w:rPr>
          <w:color w:val="2C307E"/>
        </w:rPr>
        <w:t xml:space="preserve"> </w:t>
      </w:r>
      <w:r w:rsidR="00B46A74">
        <w:rPr>
          <w:color w:val="2C307E"/>
        </w:rPr>
        <w:t xml:space="preserve">privé aansluiting </w:t>
      </w:r>
      <w:r w:rsidR="00D521D3">
        <w:rPr>
          <w:color w:val="2C307E"/>
        </w:rPr>
        <w:t>een grote rol</w:t>
      </w:r>
      <w:r w:rsidR="00394DD3">
        <w:rPr>
          <w:color w:val="2C307E"/>
        </w:rPr>
        <w:t xml:space="preserve"> vo</w:t>
      </w:r>
      <w:r w:rsidR="00BC4FF6">
        <w:rPr>
          <w:color w:val="2C307E"/>
        </w:rPr>
        <w:t>n</w:t>
      </w:r>
      <w:r w:rsidR="00394DD3">
        <w:rPr>
          <w:color w:val="2C307E"/>
        </w:rPr>
        <w:t xml:space="preserve">d spelen </w:t>
      </w:r>
      <w:r w:rsidR="00D521D3">
        <w:rPr>
          <w:color w:val="2C307E"/>
        </w:rPr>
        <w:t>/ door</w:t>
      </w:r>
      <w:r w:rsidR="00394DD3">
        <w:rPr>
          <w:color w:val="2C307E"/>
        </w:rPr>
        <w:t xml:space="preserve">slaggevend vond om te starten met elektrisch rijden. </w:t>
      </w:r>
      <w:r w:rsidR="00C2509C">
        <w:rPr>
          <w:color w:val="2C307E"/>
        </w:rPr>
        <w:t>Met name de meer recente EV-rijders vinden dit belangrijk.</w:t>
      </w:r>
    </w:p>
    <w:p w14:paraId="1F921731" w14:textId="2891BBEB" w:rsidR="00F916EA" w:rsidRPr="00057017" w:rsidRDefault="0026703E" w:rsidP="00364000">
      <w:pPr>
        <w:spacing w:after="0" w:line="276" w:lineRule="auto"/>
        <w:jc w:val="both"/>
        <w:rPr>
          <w:color w:val="2C307E"/>
          <w:highlight w:val="yellow"/>
        </w:rPr>
      </w:pPr>
      <w:r>
        <w:rPr>
          <w:noProof/>
        </w:rPr>
        <w:drawing>
          <wp:inline distT="0" distB="0" distL="0" distR="0" wp14:anchorId="79E2F69E" wp14:editId="6F5B238A">
            <wp:extent cx="2655570" cy="2355012"/>
            <wp:effectExtent l="0" t="0" r="0" b="0"/>
            <wp:docPr id="619223849" name="Grafiek 1">
              <a:extLst xmlns:a="http://schemas.openxmlformats.org/drawingml/2006/main">
                <a:ext uri="{FF2B5EF4-FFF2-40B4-BE49-F238E27FC236}">
                  <a16:creationId xmlns:a16="http://schemas.microsoft.com/office/drawing/2014/main" id="{A4662D25-D64C-ECE2-0D4C-CE2C952504A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14:paraId="06707377" w14:textId="766B55A0" w:rsidR="00712417" w:rsidRPr="00E742DD" w:rsidRDefault="00AF1F30" w:rsidP="00712417">
      <w:pPr>
        <w:spacing w:after="0" w:line="240" w:lineRule="auto"/>
        <w:jc w:val="both"/>
        <w:rPr>
          <w:b/>
          <w:bCs/>
          <w:color w:val="2C307E"/>
        </w:rPr>
      </w:pPr>
      <w:r w:rsidRPr="00E742DD">
        <w:rPr>
          <w:b/>
          <w:bCs/>
          <w:color w:val="2C307E"/>
        </w:rPr>
        <w:t>Iets meer dan de helft van de</w:t>
      </w:r>
      <w:r w:rsidR="00CC47E6" w:rsidRPr="00E742DD">
        <w:rPr>
          <w:b/>
          <w:bCs/>
          <w:color w:val="2C307E"/>
        </w:rPr>
        <w:t xml:space="preserve"> thuisladers die </w:t>
      </w:r>
      <w:r w:rsidR="000060C6" w:rsidRPr="00E742DD">
        <w:rPr>
          <w:b/>
          <w:bCs/>
          <w:color w:val="2C307E"/>
        </w:rPr>
        <w:t xml:space="preserve">hun </w:t>
      </w:r>
      <w:r w:rsidR="00BC4FF6">
        <w:rPr>
          <w:b/>
          <w:bCs/>
          <w:color w:val="2C307E"/>
        </w:rPr>
        <w:t xml:space="preserve">geladen </w:t>
      </w:r>
      <w:r w:rsidR="000060C6" w:rsidRPr="00E742DD">
        <w:rPr>
          <w:b/>
          <w:bCs/>
          <w:color w:val="2C307E"/>
        </w:rPr>
        <w:t>kWh thuis vergoed krijgen doen dat op basis van een laadpas</w:t>
      </w:r>
      <w:r w:rsidR="00721F2E">
        <w:rPr>
          <w:b/>
          <w:bCs/>
          <w:color w:val="2C307E"/>
        </w:rPr>
        <w:t>. [N=260]</w:t>
      </w:r>
    </w:p>
    <w:p w14:paraId="0D700076" w14:textId="3802C5BA" w:rsidR="000060C6" w:rsidRPr="00E742DD" w:rsidRDefault="000060C6" w:rsidP="00712417">
      <w:pPr>
        <w:spacing w:after="0" w:line="240" w:lineRule="auto"/>
        <w:jc w:val="both"/>
        <w:rPr>
          <w:color w:val="2C307E"/>
        </w:rPr>
      </w:pPr>
      <w:r w:rsidRPr="00E742DD">
        <w:rPr>
          <w:color w:val="2C307E"/>
        </w:rPr>
        <w:t xml:space="preserve">Deze vraag is alleen gesteld aan leaserijders. </w:t>
      </w:r>
      <w:r w:rsidR="00E742DD" w:rsidRPr="00E742DD">
        <w:rPr>
          <w:color w:val="2C307E"/>
        </w:rPr>
        <w:t>Bijna alle</w:t>
      </w:r>
      <w:r w:rsidRPr="00E742DD">
        <w:rPr>
          <w:color w:val="2C307E"/>
        </w:rPr>
        <w:t xml:space="preserve"> leaserijders die thuis laden </w:t>
      </w:r>
      <w:r w:rsidR="00E742DD" w:rsidRPr="00E742DD">
        <w:rPr>
          <w:color w:val="2C307E"/>
        </w:rPr>
        <w:t xml:space="preserve">krijgen hun laadkosten vergoed, slechts 1% geeft aan deze niet vergoed te </w:t>
      </w:r>
      <w:r w:rsidR="00721F2E" w:rsidRPr="00E742DD">
        <w:rPr>
          <w:color w:val="2C307E"/>
        </w:rPr>
        <w:t>krijgen</w:t>
      </w:r>
      <w:r w:rsidR="00E742DD" w:rsidRPr="00E742DD">
        <w:rPr>
          <w:color w:val="2C307E"/>
        </w:rPr>
        <w:t>.</w:t>
      </w:r>
      <w:r w:rsidRPr="00E742DD">
        <w:rPr>
          <w:color w:val="2C307E"/>
        </w:rPr>
        <w:t xml:space="preserve"> </w:t>
      </w:r>
    </w:p>
    <w:p w14:paraId="2210C9A2" w14:textId="323D2769" w:rsidR="000C78FC" w:rsidRPr="00057017" w:rsidRDefault="00627675" w:rsidP="000C78FC">
      <w:pPr>
        <w:spacing w:after="0" w:line="240" w:lineRule="auto"/>
        <w:jc w:val="both"/>
        <w:rPr>
          <w:color w:val="2C307E"/>
          <w:highlight w:val="yellow"/>
        </w:rPr>
      </w:pPr>
      <w:r>
        <w:rPr>
          <w:noProof/>
        </w:rPr>
        <w:drawing>
          <wp:inline distT="0" distB="0" distL="0" distR="0" wp14:anchorId="6F1DB2E5" wp14:editId="3E66C031">
            <wp:extent cx="2655570" cy="2794959"/>
            <wp:effectExtent l="0" t="0" r="0" b="0"/>
            <wp:docPr id="256424138" name="Grafiek 1">
              <a:extLst xmlns:a="http://schemas.openxmlformats.org/drawingml/2006/main">
                <a:ext uri="{FF2B5EF4-FFF2-40B4-BE49-F238E27FC236}">
                  <a16:creationId xmlns:a16="http://schemas.microsoft.com/office/drawing/2014/main" id="{126476CA-A31D-DF8A-CC9F-60C24D96FFB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14:paraId="09A7EDA8" w14:textId="72CF8395" w:rsidR="00132D92" w:rsidRPr="00EF2DC4" w:rsidRDefault="00E55197" w:rsidP="006A4C12">
      <w:pPr>
        <w:spacing w:after="0" w:line="276" w:lineRule="auto"/>
        <w:jc w:val="both"/>
        <w:rPr>
          <w:rFonts w:cstheme="minorHAnsi"/>
          <w:b/>
          <w:bCs/>
          <w:color w:val="2C307E"/>
        </w:rPr>
      </w:pPr>
      <w:r w:rsidRPr="00EF2DC4">
        <w:rPr>
          <w:rFonts w:cstheme="minorHAnsi"/>
          <w:b/>
          <w:bCs/>
          <w:color w:val="2C307E"/>
        </w:rPr>
        <w:t>83</w:t>
      </w:r>
      <w:r w:rsidR="007017FC" w:rsidRPr="00EF2DC4">
        <w:rPr>
          <w:rFonts w:cstheme="minorHAnsi"/>
          <w:b/>
          <w:bCs/>
          <w:color w:val="2C307E"/>
        </w:rPr>
        <w:t>%</w:t>
      </w:r>
      <w:r w:rsidR="00132D92" w:rsidRPr="00EF2DC4">
        <w:rPr>
          <w:rFonts w:cstheme="minorHAnsi"/>
          <w:b/>
          <w:bCs/>
          <w:color w:val="2C307E"/>
        </w:rPr>
        <w:t xml:space="preserve"> </w:t>
      </w:r>
      <w:r w:rsidR="00712417" w:rsidRPr="00EF2DC4">
        <w:rPr>
          <w:rFonts w:cstheme="minorHAnsi"/>
          <w:b/>
          <w:bCs/>
          <w:color w:val="2C307E"/>
        </w:rPr>
        <w:t>laadt thuis met een 3</w:t>
      </w:r>
      <w:r w:rsidR="005A06D9" w:rsidRPr="00EF2DC4">
        <w:rPr>
          <w:rFonts w:cstheme="minorHAnsi"/>
          <w:b/>
          <w:bCs/>
          <w:color w:val="2C307E"/>
        </w:rPr>
        <w:t>-</w:t>
      </w:r>
      <w:r w:rsidR="00712417" w:rsidRPr="00EF2DC4">
        <w:rPr>
          <w:rFonts w:cstheme="minorHAnsi"/>
          <w:b/>
          <w:bCs/>
          <w:color w:val="2C307E"/>
        </w:rPr>
        <w:t>faselader</w:t>
      </w:r>
      <w:r w:rsidR="00132D92" w:rsidRPr="00EF2DC4">
        <w:rPr>
          <w:rFonts w:cstheme="minorHAnsi"/>
          <w:b/>
          <w:bCs/>
          <w:color w:val="2C307E"/>
        </w:rPr>
        <w:t>.</w:t>
      </w:r>
      <w:r w:rsidR="006A4C12">
        <w:rPr>
          <w:rFonts w:cstheme="minorHAnsi"/>
          <w:b/>
          <w:bCs/>
          <w:color w:val="2C307E"/>
        </w:rPr>
        <w:t xml:space="preserve"> </w:t>
      </w:r>
      <w:r w:rsidR="00712417" w:rsidRPr="00EF2DC4">
        <w:rPr>
          <w:rFonts w:cstheme="minorHAnsi"/>
          <w:b/>
          <w:bCs/>
          <w:color w:val="2C307E"/>
        </w:rPr>
        <w:t>[N=</w:t>
      </w:r>
      <w:r w:rsidRPr="00EF2DC4">
        <w:rPr>
          <w:rFonts w:cstheme="minorHAnsi"/>
          <w:b/>
          <w:bCs/>
          <w:color w:val="2C307E"/>
        </w:rPr>
        <w:t>1.288</w:t>
      </w:r>
      <w:r w:rsidR="00712417" w:rsidRPr="00EF2DC4">
        <w:rPr>
          <w:rFonts w:cstheme="minorHAnsi"/>
          <w:b/>
          <w:bCs/>
          <w:color w:val="2C307E"/>
        </w:rPr>
        <w:t>]</w:t>
      </w:r>
    </w:p>
    <w:p w14:paraId="18D85607" w14:textId="7627DDEF" w:rsidR="00712417" w:rsidRPr="00EF2DC4" w:rsidRDefault="00712417" w:rsidP="006A4C12">
      <w:pPr>
        <w:spacing w:after="0" w:line="276" w:lineRule="auto"/>
        <w:jc w:val="both"/>
        <w:rPr>
          <w:rFonts w:cstheme="minorHAnsi"/>
          <w:color w:val="2C307E"/>
        </w:rPr>
      </w:pPr>
      <w:r w:rsidRPr="00EF2DC4">
        <w:rPr>
          <w:rFonts w:cstheme="minorHAnsi"/>
          <w:color w:val="2C307E"/>
        </w:rPr>
        <w:t>Dit is een</w:t>
      </w:r>
      <w:r w:rsidR="006A4C12">
        <w:rPr>
          <w:rFonts w:cstheme="minorHAnsi"/>
          <w:color w:val="2C307E"/>
        </w:rPr>
        <w:t xml:space="preserve"> lichte</w:t>
      </w:r>
      <w:r w:rsidRPr="00EF2DC4">
        <w:rPr>
          <w:rFonts w:cstheme="minorHAnsi"/>
          <w:color w:val="2C307E"/>
        </w:rPr>
        <w:t xml:space="preserve"> stijging </w:t>
      </w:r>
      <w:r w:rsidR="000C6D3A" w:rsidRPr="00EF2DC4">
        <w:rPr>
          <w:rFonts w:cstheme="minorHAnsi"/>
          <w:color w:val="2C307E"/>
        </w:rPr>
        <w:t>ten opzichte van 2024 (</w:t>
      </w:r>
      <w:r w:rsidR="00EF2DC4" w:rsidRPr="00EF2DC4">
        <w:rPr>
          <w:rFonts w:cstheme="minorHAnsi"/>
          <w:color w:val="2C307E"/>
        </w:rPr>
        <w:t>82%)</w:t>
      </w:r>
      <w:r w:rsidR="000C6D3A" w:rsidRPr="00EF2DC4">
        <w:rPr>
          <w:rFonts w:cstheme="minorHAnsi"/>
          <w:color w:val="2C307E"/>
        </w:rPr>
        <w:t xml:space="preserve"> </w:t>
      </w:r>
      <w:r w:rsidR="006A0000">
        <w:rPr>
          <w:rFonts w:cstheme="minorHAnsi"/>
          <w:color w:val="2C307E"/>
        </w:rPr>
        <w:t xml:space="preserve">en </w:t>
      </w:r>
      <w:r w:rsidRPr="00EF2DC4">
        <w:rPr>
          <w:rFonts w:cstheme="minorHAnsi"/>
          <w:color w:val="2C307E"/>
        </w:rPr>
        <w:t>2023</w:t>
      </w:r>
      <w:r w:rsidR="000C6D3A" w:rsidRPr="00EF2DC4">
        <w:rPr>
          <w:rFonts w:cstheme="minorHAnsi"/>
          <w:color w:val="2C307E"/>
        </w:rPr>
        <w:t xml:space="preserve"> (77%)</w:t>
      </w:r>
      <w:r w:rsidRPr="00EF2DC4">
        <w:rPr>
          <w:rFonts w:cstheme="minorHAnsi"/>
          <w:color w:val="2C307E"/>
        </w:rPr>
        <w:t xml:space="preserve">. </w:t>
      </w:r>
    </w:p>
    <w:p w14:paraId="56DD4A89" w14:textId="4A583397" w:rsidR="00712417" w:rsidRPr="007064C6" w:rsidRDefault="00186A36" w:rsidP="00024E46">
      <w:pPr>
        <w:spacing w:after="0" w:line="276" w:lineRule="auto"/>
        <w:jc w:val="both"/>
        <w:rPr>
          <w:rFonts w:cstheme="minorHAnsi"/>
          <w:b/>
          <w:bCs/>
          <w:color w:val="2C307E"/>
        </w:rPr>
      </w:pPr>
      <w:r w:rsidRPr="007064C6">
        <w:rPr>
          <w:rFonts w:cstheme="minorHAnsi"/>
          <w:b/>
          <w:bCs/>
          <w:color w:val="2C307E"/>
        </w:rPr>
        <w:t>3</w:t>
      </w:r>
      <w:r w:rsidR="007064C6" w:rsidRPr="007064C6">
        <w:rPr>
          <w:rFonts w:cstheme="minorHAnsi"/>
          <w:b/>
          <w:bCs/>
          <w:color w:val="2C307E"/>
        </w:rPr>
        <w:t>1</w:t>
      </w:r>
      <w:r w:rsidRPr="007064C6">
        <w:rPr>
          <w:rFonts w:cstheme="minorHAnsi"/>
          <w:b/>
          <w:bCs/>
          <w:color w:val="2C307E"/>
        </w:rPr>
        <w:t>%</w:t>
      </w:r>
      <w:r w:rsidR="00712417" w:rsidRPr="007064C6">
        <w:rPr>
          <w:rFonts w:cstheme="minorHAnsi"/>
          <w:b/>
          <w:bCs/>
          <w:color w:val="2C307E"/>
        </w:rPr>
        <w:t xml:space="preserve"> </w:t>
      </w:r>
      <w:r w:rsidR="00BE0F6D">
        <w:rPr>
          <w:rFonts w:cstheme="minorHAnsi"/>
          <w:b/>
          <w:bCs/>
          <w:color w:val="2C307E"/>
        </w:rPr>
        <w:t xml:space="preserve">van de thuisladers </w:t>
      </w:r>
      <w:r w:rsidR="00712417" w:rsidRPr="007064C6">
        <w:rPr>
          <w:rFonts w:cstheme="minorHAnsi"/>
          <w:b/>
          <w:bCs/>
          <w:color w:val="2C307E"/>
        </w:rPr>
        <w:t>heeft de aansluiting laten vergroten om een thuislaadpaal te plaatsen</w:t>
      </w:r>
      <w:r w:rsidR="009A00D8" w:rsidRPr="007064C6">
        <w:rPr>
          <w:rFonts w:cstheme="minorHAnsi"/>
          <w:b/>
          <w:bCs/>
          <w:color w:val="2C307E"/>
        </w:rPr>
        <w:t>.</w:t>
      </w:r>
      <w:r w:rsidR="00712417" w:rsidRPr="007064C6">
        <w:rPr>
          <w:rFonts w:cstheme="minorHAnsi"/>
          <w:b/>
          <w:bCs/>
          <w:color w:val="2C307E"/>
        </w:rPr>
        <w:t xml:space="preserve"> [N=</w:t>
      </w:r>
      <w:r w:rsidR="007064C6" w:rsidRPr="007064C6">
        <w:rPr>
          <w:rFonts w:cstheme="minorHAnsi"/>
          <w:b/>
          <w:bCs/>
          <w:color w:val="2C307E"/>
        </w:rPr>
        <w:t>580</w:t>
      </w:r>
      <w:r w:rsidR="00712417" w:rsidRPr="007064C6">
        <w:rPr>
          <w:rFonts w:cstheme="minorHAnsi"/>
          <w:b/>
          <w:bCs/>
          <w:color w:val="2C307E"/>
        </w:rPr>
        <w:t>]</w:t>
      </w:r>
    </w:p>
    <w:p w14:paraId="02815E96" w14:textId="44283815" w:rsidR="00712417" w:rsidRPr="007064C6" w:rsidRDefault="00712417" w:rsidP="00024E46">
      <w:pPr>
        <w:spacing w:after="0" w:line="276" w:lineRule="auto"/>
        <w:jc w:val="both"/>
        <w:rPr>
          <w:rFonts w:cstheme="minorHAnsi"/>
          <w:color w:val="2C307E"/>
        </w:rPr>
      </w:pPr>
      <w:r w:rsidRPr="007064C6">
        <w:rPr>
          <w:rFonts w:cstheme="minorHAnsi"/>
          <w:color w:val="2C307E"/>
        </w:rPr>
        <w:t>6</w:t>
      </w:r>
      <w:r w:rsidR="007064C6" w:rsidRPr="007064C6">
        <w:rPr>
          <w:rFonts w:cstheme="minorHAnsi"/>
          <w:color w:val="2C307E"/>
        </w:rPr>
        <w:t>4</w:t>
      </w:r>
      <w:r w:rsidRPr="007064C6">
        <w:rPr>
          <w:rFonts w:cstheme="minorHAnsi"/>
          <w:color w:val="2C307E"/>
        </w:rPr>
        <w:t>% van de EV-rijders met een laadpaal thuis had al een geschikte aansluiting.</w:t>
      </w:r>
      <w:r w:rsidR="00E32F81">
        <w:rPr>
          <w:rFonts w:cstheme="minorHAnsi"/>
          <w:color w:val="2C307E"/>
        </w:rPr>
        <w:t xml:space="preserve"> 2% geeft </w:t>
      </w:r>
      <w:r w:rsidR="00A80349">
        <w:rPr>
          <w:rFonts w:cstheme="minorHAnsi"/>
          <w:color w:val="2C307E"/>
        </w:rPr>
        <w:t>dat de aansluiting niet kan/niet mag worden verzwaard en 1% gaat de aansluiting nog verzwaren.</w:t>
      </w:r>
    </w:p>
    <w:p w14:paraId="510409B2" w14:textId="77777777" w:rsidR="00A80349" w:rsidRDefault="00A80349" w:rsidP="008F21B4">
      <w:pPr>
        <w:spacing w:after="0" w:line="276" w:lineRule="auto"/>
        <w:jc w:val="both"/>
        <w:rPr>
          <w:b/>
          <w:bCs/>
          <w:color w:val="2C307E"/>
        </w:rPr>
      </w:pPr>
      <w:bookmarkStart w:id="59" w:name="_Hlk206687750"/>
    </w:p>
    <w:p w14:paraId="7697E8AD" w14:textId="3BCD60B6" w:rsidR="0026703E" w:rsidRPr="008F21B4" w:rsidRDefault="00CF2105" w:rsidP="008F21B4">
      <w:pPr>
        <w:spacing w:after="0" w:line="276" w:lineRule="auto"/>
        <w:jc w:val="both"/>
        <w:rPr>
          <w:b/>
          <w:bCs/>
          <w:color w:val="2C307E"/>
        </w:rPr>
      </w:pPr>
      <w:r w:rsidRPr="008F21B4">
        <w:rPr>
          <w:b/>
          <w:bCs/>
          <w:color w:val="2C307E"/>
        </w:rPr>
        <w:t xml:space="preserve">In de meeste gevallen verliep die installatie </w:t>
      </w:r>
      <w:r w:rsidR="00641F05" w:rsidRPr="008F21B4">
        <w:rPr>
          <w:b/>
          <w:bCs/>
          <w:color w:val="2C307E"/>
        </w:rPr>
        <w:t xml:space="preserve">van een thuislaadpunt </w:t>
      </w:r>
      <w:r w:rsidRPr="008F21B4">
        <w:rPr>
          <w:b/>
          <w:bCs/>
          <w:color w:val="2C307E"/>
        </w:rPr>
        <w:t xml:space="preserve">snel; bij </w:t>
      </w:r>
      <w:r w:rsidR="00E2321F" w:rsidRPr="008F21B4">
        <w:rPr>
          <w:b/>
          <w:bCs/>
          <w:color w:val="2C307E"/>
        </w:rPr>
        <w:t>80</w:t>
      </w:r>
      <w:r w:rsidRPr="008F21B4">
        <w:rPr>
          <w:b/>
          <w:bCs/>
          <w:color w:val="2C307E"/>
        </w:rPr>
        <w:t>% was de laadpaal binnen een maand geïnstalleerd</w:t>
      </w:r>
      <w:bookmarkEnd w:id="59"/>
      <w:r w:rsidRPr="008F21B4">
        <w:rPr>
          <w:b/>
          <w:bCs/>
          <w:color w:val="2C307E"/>
        </w:rPr>
        <w:t xml:space="preserve">. </w:t>
      </w:r>
      <w:r w:rsidR="00641F05" w:rsidRPr="008F21B4">
        <w:rPr>
          <w:b/>
          <w:bCs/>
          <w:color w:val="2C307E"/>
        </w:rPr>
        <w:br/>
      </w:r>
      <w:r w:rsidR="00641F05" w:rsidRPr="008F21B4">
        <w:rPr>
          <w:color w:val="2C307E"/>
        </w:rPr>
        <w:t xml:space="preserve">46% van de </w:t>
      </w:r>
      <w:r w:rsidR="008A1648" w:rsidRPr="008F21B4">
        <w:rPr>
          <w:color w:val="2C307E"/>
        </w:rPr>
        <w:t xml:space="preserve">EV-rijders </w:t>
      </w:r>
      <w:r w:rsidR="00641F05" w:rsidRPr="008F21B4">
        <w:rPr>
          <w:color w:val="2C307E"/>
        </w:rPr>
        <w:t xml:space="preserve">heeft in de afgelopen twee jaar een laadpaal thuis laten installeren. </w:t>
      </w:r>
      <w:r w:rsidR="0026703E" w:rsidRPr="008F21B4">
        <w:rPr>
          <w:color w:val="2C307E"/>
        </w:rPr>
        <w:br/>
        <w:t xml:space="preserve">Als </w:t>
      </w:r>
      <w:r w:rsidR="00E2321F" w:rsidRPr="008F21B4">
        <w:rPr>
          <w:color w:val="2C307E"/>
        </w:rPr>
        <w:t>ook de aansluiting verzwaard is, duurt het proces in 69% van de gevallen korter dan een maand.</w:t>
      </w:r>
    </w:p>
    <w:p w14:paraId="2AA4E102" w14:textId="40BF74D9" w:rsidR="00D220D2" w:rsidRDefault="00E2321F">
      <w:pPr>
        <w:rPr>
          <w:rFonts w:cstheme="minorHAnsi"/>
          <w:color w:val="2C307E"/>
        </w:rPr>
      </w:pPr>
      <w:r>
        <w:rPr>
          <w:noProof/>
        </w:rPr>
        <w:drawing>
          <wp:inline distT="0" distB="0" distL="0" distR="0" wp14:anchorId="0BF2927C" wp14:editId="76468B20">
            <wp:extent cx="2874645" cy="2587625"/>
            <wp:effectExtent l="0" t="0" r="0" b="0"/>
            <wp:docPr id="61394342" name="Grafiek 1">
              <a:extLst xmlns:a="http://schemas.openxmlformats.org/drawingml/2006/main">
                <a:ext uri="{FF2B5EF4-FFF2-40B4-BE49-F238E27FC236}">
                  <a16:creationId xmlns:a16="http://schemas.microsoft.com/office/drawing/2014/main" id="{826CAF83-49E7-E005-681A-416E3C20548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14:paraId="267D2B06" w14:textId="77777777" w:rsidR="00A80349" w:rsidRDefault="001361CA">
      <w:pPr>
        <w:rPr>
          <w:b/>
          <w:color w:val="2C307E"/>
        </w:rPr>
      </w:pPr>
      <w:bookmarkStart w:id="60" w:name="_Hlk206687737"/>
      <w:r>
        <w:rPr>
          <w:b/>
          <w:color w:val="2C307E"/>
        </w:rPr>
        <w:t xml:space="preserve">Het verzwaren van de netaansluiting </w:t>
      </w:r>
      <w:r w:rsidR="00CA6A12">
        <w:rPr>
          <w:b/>
          <w:color w:val="2C307E"/>
        </w:rPr>
        <w:t>is in driekwart van de gevallen binnen 2 maanden gerealiseerd</w:t>
      </w:r>
      <w:bookmarkEnd w:id="60"/>
      <w:r w:rsidR="006A0000">
        <w:rPr>
          <w:b/>
          <w:color w:val="2C307E"/>
        </w:rPr>
        <w:t>. [N=181]</w:t>
      </w:r>
    </w:p>
    <w:p w14:paraId="2D1C1500" w14:textId="22F4DADE" w:rsidR="000B5EB3" w:rsidRDefault="006833D5">
      <w:pPr>
        <w:rPr>
          <w:b/>
          <w:color w:val="2C307E"/>
        </w:rPr>
      </w:pPr>
      <w:r>
        <w:rPr>
          <w:noProof/>
        </w:rPr>
        <w:drawing>
          <wp:inline distT="0" distB="0" distL="0" distR="0" wp14:anchorId="2ED5F125" wp14:editId="18CF710B">
            <wp:extent cx="2874645" cy="2199736"/>
            <wp:effectExtent l="0" t="0" r="0" b="0"/>
            <wp:docPr id="1777870929" name="Grafiek 1">
              <a:extLst xmlns:a="http://schemas.openxmlformats.org/drawingml/2006/main">
                <a:ext uri="{FF2B5EF4-FFF2-40B4-BE49-F238E27FC236}">
                  <a16:creationId xmlns:a16="http://schemas.microsoft.com/office/drawing/2014/main" id="{373678EA-6E5A-0E57-C6C9-4052A66FACD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14:paraId="4BC9BF0C" w14:textId="41F0813A" w:rsidR="008F21B4" w:rsidRDefault="008F21B4" w:rsidP="008F21B4">
      <w:pPr>
        <w:pStyle w:val="Kop2"/>
        <w:jc w:val="both"/>
      </w:pPr>
      <w:bookmarkStart w:id="61" w:name="_Hlk206687909"/>
      <w:bookmarkStart w:id="62" w:name="_Toc209710052"/>
      <w:r>
        <w:lastRenderedPageBreak/>
        <w:t>Laden in een VvE</w:t>
      </w:r>
      <w:bookmarkEnd w:id="62"/>
    </w:p>
    <w:p w14:paraId="7A9DB5DE" w14:textId="77E4E45C" w:rsidR="008F21B4" w:rsidRDefault="000635C1" w:rsidP="008F21B4">
      <w:pPr>
        <w:spacing w:after="0" w:line="276" w:lineRule="auto"/>
        <w:jc w:val="both"/>
        <w:rPr>
          <w:b/>
          <w:bCs/>
          <w:color w:val="2C307E"/>
        </w:rPr>
      </w:pPr>
      <w:r>
        <w:rPr>
          <w:b/>
          <w:bCs/>
          <w:color w:val="2C307E"/>
        </w:rPr>
        <w:t>67%</w:t>
      </w:r>
      <w:r w:rsidR="00F66972">
        <w:rPr>
          <w:b/>
          <w:bCs/>
          <w:color w:val="2C307E"/>
        </w:rPr>
        <w:t xml:space="preserve"> van EV-rijders in een V</w:t>
      </w:r>
      <w:r w:rsidR="008F21B4">
        <w:rPr>
          <w:b/>
          <w:bCs/>
          <w:color w:val="2C307E"/>
        </w:rPr>
        <w:t>ereniging van Eigenaren</w:t>
      </w:r>
      <w:r w:rsidR="00F66972">
        <w:rPr>
          <w:b/>
          <w:bCs/>
          <w:color w:val="2C307E"/>
        </w:rPr>
        <w:t xml:space="preserve"> (of vergelijkbaar collectief) </w:t>
      </w:r>
      <w:r w:rsidR="009F7629">
        <w:rPr>
          <w:b/>
          <w:bCs/>
          <w:color w:val="2C307E"/>
        </w:rPr>
        <w:t>kan niet thuis laden.</w:t>
      </w:r>
    </w:p>
    <w:p w14:paraId="5CC58B7E" w14:textId="243B269F" w:rsidR="009F7629" w:rsidRPr="008F21B4" w:rsidRDefault="00F213CC" w:rsidP="008F21B4">
      <w:pPr>
        <w:spacing w:after="0" w:line="276" w:lineRule="auto"/>
        <w:jc w:val="both"/>
        <w:rPr>
          <w:color w:val="2C307E"/>
        </w:rPr>
      </w:pPr>
      <w:r w:rsidRPr="008F21B4">
        <w:rPr>
          <w:color w:val="2C307E"/>
        </w:rPr>
        <w:t>12% laadt via de VvE aansluiting, 19% laadt via eigen aansluiting en 2% geeft aan anders te laden.</w:t>
      </w:r>
    </w:p>
    <w:bookmarkEnd w:id="61"/>
    <w:p w14:paraId="5A6984A7" w14:textId="6BA8EBA2" w:rsidR="00D10076" w:rsidRDefault="00D10076" w:rsidP="00B33125">
      <w:pPr>
        <w:spacing w:after="0" w:line="240" w:lineRule="auto"/>
        <w:jc w:val="both"/>
        <w:rPr>
          <w:color w:val="2C307E"/>
        </w:rPr>
      </w:pPr>
      <w:r>
        <w:rPr>
          <w:noProof/>
        </w:rPr>
        <w:drawing>
          <wp:inline distT="0" distB="0" distL="0" distR="0" wp14:anchorId="4A648AEE" wp14:editId="16B53412">
            <wp:extent cx="2655570" cy="2665563"/>
            <wp:effectExtent l="0" t="0" r="0" b="0"/>
            <wp:docPr id="24398846" name="Grafiek 1">
              <a:extLst xmlns:a="http://schemas.openxmlformats.org/drawingml/2006/main">
                <a:ext uri="{FF2B5EF4-FFF2-40B4-BE49-F238E27FC236}">
                  <a16:creationId xmlns:a16="http://schemas.microsoft.com/office/drawing/2014/main" id="{61F760D5-C64A-361D-7C43-8CA0866A8F5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14:paraId="5A73D7CA" w14:textId="77777777" w:rsidR="007A0508" w:rsidRDefault="007A0508" w:rsidP="00B33125">
      <w:pPr>
        <w:spacing w:after="0" w:line="276" w:lineRule="auto"/>
        <w:jc w:val="both"/>
        <w:rPr>
          <w:b/>
          <w:bCs/>
          <w:color w:val="2C307E"/>
        </w:rPr>
      </w:pPr>
    </w:p>
    <w:p w14:paraId="75BD4A6D" w14:textId="1C59D6F2" w:rsidR="008F21B4" w:rsidRPr="00E20478" w:rsidRDefault="00E20478" w:rsidP="00B33125">
      <w:pPr>
        <w:spacing w:after="0" w:line="276" w:lineRule="auto"/>
        <w:jc w:val="both"/>
        <w:rPr>
          <w:b/>
          <w:bCs/>
          <w:color w:val="2C307E"/>
        </w:rPr>
      </w:pPr>
      <w:r w:rsidRPr="00E20478">
        <w:rPr>
          <w:b/>
          <w:bCs/>
          <w:color w:val="2C307E"/>
        </w:rPr>
        <w:t>EV-rijders die via de VvE aansluiting ‘thuis’ kunnen laden, geven aan dat het hebben van deze</w:t>
      </w:r>
      <w:r w:rsidR="00B33125" w:rsidRPr="00E20478">
        <w:rPr>
          <w:b/>
          <w:bCs/>
          <w:color w:val="2C307E"/>
        </w:rPr>
        <w:t xml:space="preserve"> laadmogelijkheid bij de woning erg belangrijk</w:t>
      </w:r>
      <w:r w:rsidRPr="00E20478">
        <w:rPr>
          <w:b/>
          <w:bCs/>
          <w:color w:val="2C307E"/>
        </w:rPr>
        <w:t xml:space="preserve"> is</w:t>
      </w:r>
      <w:r w:rsidR="00B33125" w:rsidRPr="00E20478">
        <w:rPr>
          <w:b/>
          <w:bCs/>
          <w:color w:val="2C307E"/>
        </w:rPr>
        <w:t xml:space="preserve">. </w:t>
      </w:r>
      <w:r>
        <w:rPr>
          <w:b/>
          <w:bCs/>
          <w:color w:val="2C307E"/>
        </w:rPr>
        <w:t>[N=39]</w:t>
      </w:r>
    </w:p>
    <w:p w14:paraId="1D72E246" w14:textId="0203D54D" w:rsidR="00E20478" w:rsidRPr="00363955" w:rsidRDefault="00B33125" w:rsidP="00B33125">
      <w:pPr>
        <w:spacing w:after="0" w:line="276" w:lineRule="auto"/>
        <w:jc w:val="both"/>
        <w:rPr>
          <w:color w:val="2C307E"/>
        </w:rPr>
      </w:pPr>
      <w:r w:rsidRPr="00363955">
        <w:rPr>
          <w:color w:val="2C307E"/>
        </w:rPr>
        <w:t>Bijna twee</w:t>
      </w:r>
      <w:r w:rsidR="00EA055A">
        <w:rPr>
          <w:color w:val="2C307E"/>
        </w:rPr>
        <w:t xml:space="preserve"> </w:t>
      </w:r>
      <w:r w:rsidRPr="00363955">
        <w:rPr>
          <w:color w:val="2C307E"/>
        </w:rPr>
        <w:t>derde geeft aan dat dit een grote of doorslaggevende rol speelde bij de beslissing om elektrisch te gaan rijden.</w:t>
      </w:r>
    </w:p>
    <w:p w14:paraId="6EEC7F29" w14:textId="63078581" w:rsidR="00363955" w:rsidRDefault="00363955" w:rsidP="00B33125">
      <w:pPr>
        <w:spacing w:after="0" w:line="276" w:lineRule="auto"/>
        <w:jc w:val="both"/>
      </w:pPr>
      <w:r>
        <w:rPr>
          <w:noProof/>
        </w:rPr>
        <w:drawing>
          <wp:inline distT="0" distB="0" distL="0" distR="0" wp14:anchorId="3299A372" wp14:editId="1941BFCB">
            <wp:extent cx="2655570" cy="3200400"/>
            <wp:effectExtent l="0" t="0" r="0" b="0"/>
            <wp:docPr id="1998343096" name="Grafiek 1">
              <a:extLst xmlns:a="http://schemas.openxmlformats.org/drawingml/2006/main">
                <a:ext uri="{FF2B5EF4-FFF2-40B4-BE49-F238E27FC236}">
                  <a16:creationId xmlns:a16="http://schemas.microsoft.com/office/drawing/2014/main" id="{72C0B768-8B18-EE00-850B-999BFE6F163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14:paraId="3300EC62" w14:textId="349D9CD4" w:rsidR="000B73D1" w:rsidRDefault="000B73D1" w:rsidP="00B33125">
      <w:pPr>
        <w:spacing w:after="0" w:line="276" w:lineRule="auto"/>
        <w:jc w:val="both"/>
        <w:rPr>
          <w:b/>
          <w:bCs/>
          <w:color w:val="2C307E"/>
        </w:rPr>
      </w:pPr>
      <w:r w:rsidRPr="005C5759">
        <w:rPr>
          <w:b/>
          <w:bCs/>
          <w:color w:val="2C307E"/>
        </w:rPr>
        <w:t>91 EV</w:t>
      </w:r>
      <w:r w:rsidR="00EA055A">
        <w:rPr>
          <w:b/>
          <w:bCs/>
          <w:color w:val="2C307E"/>
        </w:rPr>
        <w:t>-</w:t>
      </w:r>
      <w:r w:rsidRPr="005C5759">
        <w:rPr>
          <w:b/>
          <w:bCs/>
          <w:color w:val="2C307E"/>
        </w:rPr>
        <w:t>rijders hebben</w:t>
      </w:r>
      <w:r w:rsidR="00000C86">
        <w:rPr>
          <w:b/>
          <w:bCs/>
          <w:color w:val="2C307E"/>
        </w:rPr>
        <w:t xml:space="preserve"> in de</w:t>
      </w:r>
      <w:r w:rsidRPr="005C5759">
        <w:rPr>
          <w:b/>
          <w:bCs/>
          <w:color w:val="2C307E"/>
        </w:rPr>
        <w:t xml:space="preserve"> afgelopen </w:t>
      </w:r>
      <w:r w:rsidR="00000C86">
        <w:rPr>
          <w:b/>
          <w:bCs/>
          <w:color w:val="2C307E"/>
        </w:rPr>
        <w:t xml:space="preserve">twee </w:t>
      </w:r>
      <w:r w:rsidRPr="005C5759">
        <w:rPr>
          <w:b/>
          <w:bCs/>
          <w:color w:val="2C307E"/>
        </w:rPr>
        <w:t xml:space="preserve">jaar een laadpunt aangevraagd bij een VvE </w:t>
      </w:r>
      <w:r w:rsidR="005C5759" w:rsidRPr="005C5759">
        <w:rPr>
          <w:b/>
          <w:bCs/>
          <w:color w:val="2C307E"/>
        </w:rPr>
        <w:t>of vergelijkbaar collectief</w:t>
      </w:r>
      <w:r w:rsidR="00EA055A">
        <w:rPr>
          <w:b/>
          <w:bCs/>
          <w:color w:val="2C307E"/>
        </w:rPr>
        <w:t>. [N=259]</w:t>
      </w:r>
    </w:p>
    <w:p w14:paraId="5B9CB260" w14:textId="30E22025" w:rsidR="00F574A0" w:rsidRPr="00F574A0" w:rsidRDefault="00F574A0" w:rsidP="00B33125">
      <w:pPr>
        <w:spacing w:after="0" w:line="276" w:lineRule="auto"/>
        <w:jc w:val="both"/>
        <w:rPr>
          <w:color w:val="2C307E"/>
        </w:rPr>
      </w:pPr>
      <w:r>
        <w:rPr>
          <w:color w:val="2C307E"/>
        </w:rPr>
        <w:t xml:space="preserve">Verreweg het grootste deel is een VvE, </w:t>
      </w:r>
      <w:r w:rsidR="00DF0810">
        <w:rPr>
          <w:color w:val="2C307E"/>
        </w:rPr>
        <w:t xml:space="preserve">twee </w:t>
      </w:r>
      <w:r w:rsidR="009B70EC">
        <w:rPr>
          <w:color w:val="2C307E"/>
        </w:rPr>
        <w:t xml:space="preserve">respondenten hebben via de woningcorporatie een aanvraag gedaan en </w:t>
      </w:r>
      <w:r w:rsidR="00E150B6">
        <w:rPr>
          <w:color w:val="2C307E"/>
        </w:rPr>
        <w:t>drie</w:t>
      </w:r>
      <w:r w:rsidR="009B70EC">
        <w:rPr>
          <w:color w:val="2C307E"/>
        </w:rPr>
        <w:t xml:space="preserve"> via een commerciële verhuurder.</w:t>
      </w:r>
    </w:p>
    <w:p w14:paraId="58F6AB62" w14:textId="2EFC344A" w:rsidR="000B73D1" w:rsidRDefault="000B73D1" w:rsidP="00B33125">
      <w:pPr>
        <w:spacing w:after="0" w:line="276" w:lineRule="auto"/>
        <w:jc w:val="both"/>
      </w:pPr>
    </w:p>
    <w:p w14:paraId="1A1A9363" w14:textId="5E249D0D" w:rsidR="00712417" w:rsidRPr="009B70EC" w:rsidRDefault="00991817" w:rsidP="00024E46">
      <w:pPr>
        <w:spacing w:after="0" w:line="276" w:lineRule="auto"/>
        <w:jc w:val="both"/>
        <w:rPr>
          <w:color w:val="2C307E"/>
        </w:rPr>
      </w:pPr>
      <w:r w:rsidRPr="009B70EC">
        <w:rPr>
          <w:rFonts w:cstheme="minorHAnsi"/>
          <w:b/>
          <w:bCs/>
          <w:color w:val="2C307E"/>
        </w:rPr>
        <w:t>7</w:t>
      </w:r>
      <w:r w:rsidR="00AA2401" w:rsidRPr="009B70EC">
        <w:rPr>
          <w:rFonts w:cstheme="minorHAnsi"/>
          <w:b/>
          <w:bCs/>
          <w:color w:val="2C307E"/>
        </w:rPr>
        <w:t>8</w:t>
      </w:r>
      <w:r w:rsidRPr="009B70EC">
        <w:rPr>
          <w:rFonts w:cstheme="minorHAnsi"/>
          <w:b/>
          <w:bCs/>
          <w:color w:val="2C307E"/>
        </w:rPr>
        <w:t>%</w:t>
      </w:r>
      <w:r w:rsidR="00712417" w:rsidRPr="009B70EC">
        <w:rPr>
          <w:rFonts w:cstheme="minorHAnsi"/>
          <w:b/>
          <w:bCs/>
          <w:color w:val="2C307E"/>
        </w:rPr>
        <w:t xml:space="preserve"> van de EV-rijders die het afgelopen jaar een laadpaal heeft aangevraagd bij een VvE </w:t>
      </w:r>
      <w:r w:rsidR="009B70EC" w:rsidRPr="009B70EC">
        <w:rPr>
          <w:rFonts w:cstheme="minorHAnsi"/>
          <w:b/>
          <w:bCs/>
          <w:color w:val="2C307E"/>
        </w:rPr>
        <w:t xml:space="preserve">(of vergelijkbaar collectief) </w:t>
      </w:r>
      <w:r w:rsidR="00712417" w:rsidRPr="009B70EC">
        <w:rPr>
          <w:rFonts w:cstheme="minorHAnsi"/>
          <w:b/>
          <w:bCs/>
          <w:color w:val="2C307E"/>
        </w:rPr>
        <w:t>heeft knelpunten ervaren.</w:t>
      </w:r>
      <w:r w:rsidR="00A4735C" w:rsidRPr="009B70EC">
        <w:rPr>
          <w:rFonts w:cstheme="minorHAnsi"/>
          <w:b/>
          <w:bCs/>
          <w:color w:val="2C307E"/>
        </w:rPr>
        <w:t xml:space="preserve"> [N=</w:t>
      </w:r>
      <w:r w:rsidR="00702D68" w:rsidRPr="009B70EC">
        <w:rPr>
          <w:rFonts w:cstheme="minorHAnsi"/>
          <w:b/>
          <w:bCs/>
          <w:color w:val="2C307E"/>
        </w:rPr>
        <w:t>91</w:t>
      </w:r>
      <w:r w:rsidR="00A4735C" w:rsidRPr="009B70EC">
        <w:rPr>
          <w:rFonts w:cstheme="minorHAnsi"/>
          <w:b/>
          <w:bCs/>
          <w:color w:val="2C307E"/>
        </w:rPr>
        <w:t>]</w:t>
      </w:r>
    </w:p>
    <w:p w14:paraId="08950E57" w14:textId="517B47D4" w:rsidR="00712417" w:rsidRPr="009B70EC" w:rsidRDefault="00712417" w:rsidP="00024E46">
      <w:pPr>
        <w:spacing w:after="0" w:line="276" w:lineRule="auto"/>
        <w:jc w:val="both"/>
        <w:rPr>
          <w:color w:val="2C307E"/>
        </w:rPr>
      </w:pPr>
      <w:r w:rsidRPr="009B70EC">
        <w:rPr>
          <w:color w:val="2C307E"/>
        </w:rPr>
        <w:t xml:space="preserve">Dat is </w:t>
      </w:r>
      <w:r w:rsidR="009B70EC" w:rsidRPr="009B70EC">
        <w:rPr>
          <w:color w:val="2C307E"/>
        </w:rPr>
        <w:t>meer</w:t>
      </w:r>
      <w:r w:rsidRPr="009B70EC">
        <w:rPr>
          <w:color w:val="2C307E"/>
        </w:rPr>
        <w:t xml:space="preserve"> dan </w:t>
      </w:r>
      <w:r w:rsidR="00EA055A">
        <w:rPr>
          <w:color w:val="2C307E"/>
        </w:rPr>
        <w:t>vorig</w:t>
      </w:r>
      <w:r w:rsidRPr="009B70EC">
        <w:rPr>
          <w:color w:val="2C307E"/>
        </w:rPr>
        <w:t xml:space="preserve"> jaar (7</w:t>
      </w:r>
      <w:r w:rsidR="009B70EC" w:rsidRPr="009B70EC">
        <w:rPr>
          <w:color w:val="2C307E"/>
        </w:rPr>
        <w:t>0</w:t>
      </w:r>
      <w:r w:rsidR="00991817" w:rsidRPr="009B70EC">
        <w:rPr>
          <w:color w:val="2C307E"/>
        </w:rPr>
        <w:t>%)</w:t>
      </w:r>
      <w:r w:rsidR="00EA055A">
        <w:rPr>
          <w:color w:val="2C307E"/>
        </w:rPr>
        <w:t>. In 2025 zien we een stijging na</w:t>
      </w:r>
      <w:r w:rsidR="009B70EC" w:rsidRPr="009B70EC">
        <w:rPr>
          <w:color w:val="2C307E"/>
        </w:rPr>
        <w:t xml:space="preserve"> de</w:t>
      </w:r>
      <w:r w:rsidR="00E2321F">
        <w:rPr>
          <w:color w:val="2C307E"/>
        </w:rPr>
        <w:t xml:space="preserve"> licht</w:t>
      </w:r>
      <w:r w:rsidR="009B70EC" w:rsidRPr="009B70EC">
        <w:rPr>
          <w:color w:val="2C307E"/>
        </w:rPr>
        <w:t xml:space="preserve"> dalende trend van de afgelopen jaren.</w:t>
      </w:r>
    </w:p>
    <w:p w14:paraId="356E0662" w14:textId="01C6D7EA" w:rsidR="00EA055A" w:rsidRDefault="00530D42" w:rsidP="00712417">
      <w:pPr>
        <w:spacing w:after="0" w:line="240" w:lineRule="auto"/>
        <w:jc w:val="both"/>
        <w:rPr>
          <w:color w:val="2C307E"/>
          <w:highlight w:val="yellow"/>
        </w:rPr>
      </w:pPr>
      <w:r>
        <w:rPr>
          <w:noProof/>
        </w:rPr>
        <w:drawing>
          <wp:inline distT="0" distB="0" distL="0" distR="0" wp14:anchorId="42C13A7A" wp14:editId="225B8B5D">
            <wp:extent cx="2655570" cy="1820173"/>
            <wp:effectExtent l="0" t="0" r="0" b="0"/>
            <wp:docPr id="1303298844" name="Grafiek 1">
              <a:extLst xmlns:a="http://schemas.openxmlformats.org/drawingml/2006/main">
                <a:ext uri="{FF2B5EF4-FFF2-40B4-BE49-F238E27FC236}">
                  <a16:creationId xmlns:a16="http://schemas.microsoft.com/office/drawing/2014/main" id="{B7E9093A-05F9-7A0E-46DA-270D572FAEF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14:paraId="6FC0E252" w14:textId="77777777" w:rsidR="001C5A11" w:rsidRDefault="001C5A11" w:rsidP="001C5A11">
      <w:pPr>
        <w:spacing w:after="0" w:line="240" w:lineRule="auto"/>
        <w:jc w:val="both"/>
        <w:rPr>
          <w:color w:val="2C307E"/>
        </w:rPr>
      </w:pPr>
      <w:r w:rsidRPr="009863F2">
        <w:rPr>
          <w:b/>
          <w:bCs/>
          <w:color w:val="2C307E"/>
        </w:rPr>
        <w:t>In 24% van de gevallen hebben de knelpunten ertoe geleid dat er geen laadpunt is geplaatst</w:t>
      </w:r>
      <w:r>
        <w:rPr>
          <w:color w:val="2C307E"/>
        </w:rPr>
        <w:t xml:space="preserve">. </w:t>
      </w:r>
      <w:r>
        <w:rPr>
          <w:b/>
          <w:bCs/>
          <w:color w:val="2C307E"/>
        </w:rPr>
        <w:t>[N=91]</w:t>
      </w:r>
      <w:r w:rsidRPr="009863F2">
        <w:rPr>
          <w:color w:val="2C307E"/>
        </w:rPr>
        <w:t xml:space="preserve"> </w:t>
      </w:r>
    </w:p>
    <w:p w14:paraId="55B75022" w14:textId="77777777" w:rsidR="001C5A11" w:rsidRPr="009863F2" w:rsidRDefault="001C5A11" w:rsidP="001C5A11">
      <w:pPr>
        <w:spacing w:after="0" w:line="240" w:lineRule="auto"/>
        <w:jc w:val="both"/>
        <w:rPr>
          <w:color w:val="2C307E"/>
        </w:rPr>
      </w:pPr>
      <w:r>
        <w:rPr>
          <w:color w:val="2C307E"/>
        </w:rPr>
        <w:t>18% geeft aan knelpunten te ervaren, maar het laadpunt is wel (bijna) gerealiseerd en in 36% van de gevallen is het onduidelijk of het laadpunt gerealiseerd kan worden</w:t>
      </w:r>
    </w:p>
    <w:p w14:paraId="2E7C7D70" w14:textId="77777777" w:rsidR="001C5A11" w:rsidRDefault="001C5A11" w:rsidP="00712417">
      <w:pPr>
        <w:spacing w:after="0" w:line="240" w:lineRule="auto"/>
        <w:jc w:val="both"/>
        <w:rPr>
          <w:color w:val="2C307E"/>
          <w:highlight w:val="yellow"/>
        </w:rPr>
      </w:pPr>
    </w:p>
    <w:p w14:paraId="026BB496" w14:textId="0691CA29" w:rsidR="001C5A11" w:rsidRDefault="001C5A11" w:rsidP="00712417">
      <w:pPr>
        <w:spacing w:after="0" w:line="240" w:lineRule="auto"/>
        <w:jc w:val="both"/>
        <w:rPr>
          <w:color w:val="2C307E"/>
          <w:highlight w:val="yellow"/>
        </w:rPr>
      </w:pPr>
      <w:r>
        <w:rPr>
          <w:noProof/>
        </w:rPr>
        <w:drawing>
          <wp:inline distT="0" distB="0" distL="0" distR="0" wp14:anchorId="22053308" wp14:editId="0C769ACA">
            <wp:extent cx="2655570" cy="2708694"/>
            <wp:effectExtent l="0" t="0" r="0" b="0"/>
            <wp:docPr id="570949113" name="Grafiek 1">
              <a:extLst xmlns:a="http://schemas.openxmlformats.org/drawingml/2006/main">
                <a:ext uri="{FF2B5EF4-FFF2-40B4-BE49-F238E27FC236}">
                  <a16:creationId xmlns:a16="http://schemas.microsoft.com/office/drawing/2014/main" id="{F5755DC1-DAA4-8593-3663-0F2C2A7C77E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tbl>
      <w:tblPr>
        <w:tblStyle w:val="Tabelraster"/>
        <w:tblpPr w:leftFromText="141" w:rightFromText="141" w:vertAnchor="text" w:horzAnchor="margin" w:tblpY="2636"/>
        <w:tblOverlap w:val="never"/>
        <w:tblW w:w="9565" w:type="dxa"/>
        <w:shd w:val="clear" w:color="auto" w:fill="DEEAF6" w:themeFill="accent5" w:themeFillTint="33"/>
        <w:tblLook w:val="04A0" w:firstRow="1" w:lastRow="0" w:firstColumn="1" w:lastColumn="0" w:noHBand="0" w:noVBand="1"/>
      </w:tblPr>
      <w:tblGrid>
        <w:gridCol w:w="3981"/>
        <w:gridCol w:w="1594"/>
        <w:gridCol w:w="1330"/>
        <w:gridCol w:w="1330"/>
        <w:gridCol w:w="1330"/>
      </w:tblGrid>
      <w:tr w:rsidR="009863F2" w:rsidRPr="002C1A66" w14:paraId="227584CA" w14:textId="77777777" w:rsidTr="001C5A11">
        <w:trPr>
          <w:trHeight w:val="419"/>
        </w:trPr>
        <w:tc>
          <w:tcPr>
            <w:tcW w:w="3981" w:type="dxa"/>
            <w:shd w:val="clear" w:color="auto" w:fill="DEEAF6" w:themeFill="accent5" w:themeFillTint="33"/>
          </w:tcPr>
          <w:p w14:paraId="11802708" w14:textId="77777777" w:rsidR="009863F2" w:rsidRPr="009863F2" w:rsidRDefault="009863F2" w:rsidP="001C5A11">
            <w:pPr>
              <w:jc w:val="both"/>
              <w:rPr>
                <w:rFonts w:eastAsia="Calibri" w:cstheme="minorHAnsi"/>
                <w:b/>
                <w:bCs/>
                <w:color w:val="2C307E"/>
                <w:sz w:val="20"/>
                <w:szCs w:val="20"/>
              </w:rPr>
            </w:pPr>
            <w:r w:rsidRPr="009863F2">
              <w:rPr>
                <w:rFonts w:eastAsia="Calibri" w:cstheme="minorHAnsi"/>
                <w:b/>
                <w:bCs/>
                <w:color w:val="2C307E"/>
                <w:sz w:val="20"/>
                <w:szCs w:val="20"/>
              </w:rPr>
              <w:lastRenderedPageBreak/>
              <w:t>Top 5 knelpunten laden in een VvE</w:t>
            </w:r>
          </w:p>
        </w:tc>
        <w:tc>
          <w:tcPr>
            <w:tcW w:w="1594" w:type="dxa"/>
            <w:shd w:val="clear" w:color="auto" w:fill="DEEAF6" w:themeFill="accent5" w:themeFillTint="33"/>
          </w:tcPr>
          <w:p w14:paraId="7C66181F" w14:textId="77777777" w:rsidR="009863F2" w:rsidRPr="009863F2" w:rsidRDefault="009863F2" w:rsidP="001C5A11">
            <w:pPr>
              <w:jc w:val="both"/>
              <w:rPr>
                <w:rFonts w:eastAsia="Calibri" w:cstheme="minorHAnsi"/>
                <w:b/>
                <w:bCs/>
                <w:color w:val="2C307E"/>
                <w:sz w:val="20"/>
                <w:szCs w:val="20"/>
              </w:rPr>
            </w:pPr>
            <w:r w:rsidRPr="009863F2">
              <w:rPr>
                <w:rFonts w:eastAsia="Calibri" w:cstheme="minorHAnsi"/>
                <w:b/>
                <w:bCs/>
                <w:color w:val="2C307E"/>
                <w:sz w:val="20"/>
                <w:szCs w:val="20"/>
              </w:rPr>
              <w:t>2022</w:t>
            </w:r>
          </w:p>
        </w:tc>
        <w:tc>
          <w:tcPr>
            <w:tcW w:w="1330" w:type="dxa"/>
            <w:shd w:val="clear" w:color="auto" w:fill="DEEAF6" w:themeFill="accent5" w:themeFillTint="33"/>
          </w:tcPr>
          <w:p w14:paraId="73B862A2" w14:textId="77777777" w:rsidR="009863F2" w:rsidRPr="009863F2" w:rsidRDefault="009863F2" w:rsidP="001C5A11">
            <w:pPr>
              <w:jc w:val="both"/>
              <w:rPr>
                <w:rFonts w:eastAsia="Calibri" w:cstheme="minorHAnsi"/>
                <w:b/>
                <w:bCs/>
                <w:color w:val="2C307E"/>
                <w:sz w:val="20"/>
                <w:szCs w:val="20"/>
              </w:rPr>
            </w:pPr>
            <w:r w:rsidRPr="009863F2">
              <w:rPr>
                <w:rFonts w:eastAsia="Calibri" w:cstheme="minorHAnsi"/>
                <w:b/>
                <w:bCs/>
                <w:color w:val="2C307E"/>
                <w:sz w:val="20"/>
                <w:szCs w:val="20"/>
              </w:rPr>
              <w:t>2023</w:t>
            </w:r>
          </w:p>
        </w:tc>
        <w:tc>
          <w:tcPr>
            <w:tcW w:w="1330" w:type="dxa"/>
            <w:shd w:val="clear" w:color="auto" w:fill="DEEAF6" w:themeFill="accent5" w:themeFillTint="33"/>
          </w:tcPr>
          <w:p w14:paraId="03ACC6FC" w14:textId="77777777" w:rsidR="009863F2" w:rsidRPr="009863F2" w:rsidRDefault="009863F2" w:rsidP="001C5A11">
            <w:pPr>
              <w:jc w:val="both"/>
              <w:rPr>
                <w:rFonts w:eastAsia="Calibri" w:cstheme="minorHAnsi"/>
                <w:b/>
                <w:bCs/>
                <w:color w:val="2C307E"/>
                <w:sz w:val="20"/>
                <w:szCs w:val="20"/>
              </w:rPr>
            </w:pPr>
            <w:r w:rsidRPr="009863F2">
              <w:rPr>
                <w:rFonts w:eastAsia="Calibri" w:cstheme="minorHAnsi"/>
                <w:b/>
                <w:bCs/>
                <w:color w:val="2C307E"/>
                <w:sz w:val="20"/>
                <w:szCs w:val="20"/>
              </w:rPr>
              <w:t>2024</w:t>
            </w:r>
          </w:p>
        </w:tc>
        <w:tc>
          <w:tcPr>
            <w:tcW w:w="1330" w:type="dxa"/>
            <w:shd w:val="clear" w:color="auto" w:fill="DEEAF6" w:themeFill="accent5" w:themeFillTint="33"/>
          </w:tcPr>
          <w:p w14:paraId="165A54D7" w14:textId="77777777" w:rsidR="009863F2" w:rsidRPr="009863F2" w:rsidRDefault="009863F2" w:rsidP="001C5A11">
            <w:pPr>
              <w:jc w:val="both"/>
              <w:rPr>
                <w:rFonts w:eastAsia="Calibri" w:cstheme="minorHAnsi"/>
                <w:b/>
                <w:bCs/>
                <w:color w:val="2C307E"/>
                <w:sz w:val="20"/>
                <w:szCs w:val="20"/>
              </w:rPr>
            </w:pPr>
            <w:r w:rsidRPr="009863F2">
              <w:rPr>
                <w:rFonts w:eastAsia="Calibri" w:cstheme="minorHAnsi"/>
                <w:b/>
                <w:bCs/>
                <w:color w:val="2C307E"/>
                <w:sz w:val="20"/>
                <w:szCs w:val="20"/>
              </w:rPr>
              <w:t>2025</w:t>
            </w:r>
          </w:p>
        </w:tc>
      </w:tr>
      <w:tr w:rsidR="009863F2" w:rsidRPr="002C1A66" w14:paraId="384D6982" w14:textId="77777777" w:rsidTr="001C5A11">
        <w:trPr>
          <w:trHeight w:val="823"/>
        </w:trPr>
        <w:tc>
          <w:tcPr>
            <w:tcW w:w="3981" w:type="dxa"/>
            <w:shd w:val="clear" w:color="auto" w:fill="DEEAF6" w:themeFill="accent5" w:themeFillTint="33"/>
          </w:tcPr>
          <w:p w14:paraId="1173F434" w14:textId="77777777" w:rsidR="009863F2" w:rsidRPr="009863F2" w:rsidRDefault="009863F2" w:rsidP="001C5A11">
            <w:pPr>
              <w:jc w:val="both"/>
              <w:rPr>
                <w:rFonts w:eastAsia="Calibri" w:cstheme="minorHAnsi"/>
                <w:color w:val="2C307E"/>
                <w:sz w:val="20"/>
                <w:szCs w:val="20"/>
              </w:rPr>
            </w:pPr>
            <w:r w:rsidRPr="009863F2">
              <w:rPr>
                <w:rFonts w:eastAsia="Calibri" w:cstheme="minorHAnsi"/>
                <w:color w:val="2C307E"/>
                <w:sz w:val="20"/>
                <w:szCs w:val="20"/>
              </w:rPr>
              <w:t>Er waren zorgen rondom brandgevaar van elektrische auto’s *</w:t>
            </w:r>
            <w:r w:rsidRPr="009863F2">
              <w:rPr>
                <w:rStyle w:val="Voetnootmarkering"/>
                <w:rFonts w:eastAsia="Calibri" w:cstheme="minorHAnsi"/>
                <w:color w:val="2C307E"/>
                <w:sz w:val="20"/>
                <w:szCs w:val="20"/>
              </w:rPr>
              <w:footnoteReference w:id="9"/>
            </w:r>
          </w:p>
        </w:tc>
        <w:tc>
          <w:tcPr>
            <w:tcW w:w="1594" w:type="dxa"/>
            <w:shd w:val="clear" w:color="auto" w:fill="DEEAF6" w:themeFill="accent5" w:themeFillTint="33"/>
          </w:tcPr>
          <w:p w14:paraId="286C38EC" w14:textId="77777777" w:rsidR="009863F2" w:rsidRPr="009863F2" w:rsidRDefault="009863F2" w:rsidP="001C5A11">
            <w:pPr>
              <w:jc w:val="both"/>
              <w:rPr>
                <w:rFonts w:eastAsia="Calibri" w:cstheme="minorHAnsi"/>
                <w:color w:val="2C307E"/>
                <w:sz w:val="20"/>
                <w:szCs w:val="20"/>
              </w:rPr>
            </w:pPr>
            <w:r w:rsidRPr="009863F2">
              <w:rPr>
                <w:rFonts w:eastAsia="Calibri" w:cstheme="minorHAnsi"/>
                <w:color w:val="2C307E"/>
                <w:sz w:val="20"/>
                <w:szCs w:val="20"/>
              </w:rPr>
              <w:t>37%*</w:t>
            </w:r>
          </w:p>
        </w:tc>
        <w:tc>
          <w:tcPr>
            <w:tcW w:w="1330" w:type="dxa"/>
            <w:shd w:val="clear" w:color="auto" w:fill="DEEAF6" w:themeFill="accent5" w:themeFillTint="33"/>
          </w:tcPr>
          <w:p w14:paraId="5AD07AE4" w14:textId="77777777" w:rsidR="009863F2" w:rsidRPr="009863F2" w:rsidRDefault="009863F2" w:rsidP="001C5A11">
            <w:pPr>
              <w:jc w:val="both"/>
              <w:rPr>
                <w:rFonts w:eastAsia="Calibri" w:cstheme="minorHAnsi"/>
                <w:color w:val="2C307E"/>
                <w:sz w:val="20"/>
                <w:szCs w:val="20"/>
              </w:rPr>
            </w:pPr>
            <w:r w:rsidRPr="009863F2">
              <w:rPr>
                <w:rFonts w:eastAsia="Calibri" w:cstheme="minorHAnsi"/>
                <w:color w:val="2C307E"/>
                <w:sz w:val="20"/>
                <w:szCs w:val="20"/>
              </w:rPr>
              <w:t>44%*</w:t>
            </w:r>
          </w:p>
        </w:tc>
        <w:tc>
          <w:tcPr>
            <w:tcW w:w="1330" w:type="dxa"/>
            <w:shd w:val="clear" w:color="auto" w:fill="DEEAF6" w:themeFill="accent5" w:themeFillTint="33"/>
          </w:tcPr>
          <w:p w14:paraId="0B076FC6" w14:textId="77777777" w:rsidR="009863F2" w:rsidRPr="009863F2" w:rsidRDefault="009863F2" w:rsidP="001C5A11">
            <w:pPr>
              <w:jc w:val="both"/>
              <w:rPr>
                <w:rFonts w:eastAsia="Calibri" w:cstheme="minorHAnsi"/>
                <w:color w:val="2C307E"/>
                <w:sz w:val="20"/>
                <w:szCs w:val="20"/>
              </w:rPr>
            </w:pPr>
            <w:r w:rsidRPr="009863F2">
              <w:rPr>
                <w:rFonts w:eastAsia="Calibri" w:cstheme="minorHAnsi"/>
                <w:color w:val="2C307E"/>
                <w:sz w:val="20"/>
                <w:szCs w:val="20"/>
              </w:rPr>
              <w:t>38%*</w:t>
            </w:r>
          </w:p>
        </w:tc>
        <w:tc>
          <w:tcPr>
            <w:tcW w:w="1330" w:type="dxa"/>
            <w:shd w:val="clear" w:color="auto" w:fill="DEEAF6" w:themeFill="accent5" w:themeFillTint="33"/>
          </w:tcPr>
          <w:p w14:paraId="3757A478" w14:textId="77777777" w:rsidR="009863F2" w:rsidRPr="009863F2" w:rsidRDefault="009863F2" w:rsidP="001C5A11">
            <w:pPr>
              <w:jc w:val="both"/>
              <w:rPr>
                <w:rFonts w:eastAsia="Calibri" w:cstheme="minorHAnsi"/>
                <w:color w:val="2C307E"/>
                <w:sz w:val="20"/>
                <w:szCs w:val="20"/>
              </w:rPr>
            </w:pPr>
            <w:r w:rsidRPr="009863F2">
              <w:rPr>
                <w:rFonts w:eastAsia="Calibri" w:cstheme="minorHAnsi"/>
                <w:color w:val="2C307E"/>
                <w:sz w:val="20"/>
                <w:szCs w:val="20"/>
              </w:rPr>
              <w:t>51%</w:t>
            </w:r>
          </w:p>
        </w:tc>
      </w:tr>
      <w:tr w:rsidR="009863F2" w:rsidRPr="002C1A66" w14:paraId="3512AE22" w14:textId="77777777" w:rsidTr="001C5A11">
        <w:trPr>
          <w:trHeight w:val="706"/>
        </w:trPr>
        <w:tc>
          <w:tcPr>
            <w:tcW w:w="3981" w:type="dxa"/>
            <w:shd w:val="clear" w:color="auto" w:fill="DEEAF6" w:themeFill="accent5" w:themeFillTint="33"/>
          </w:tcPr>
          <w:p w14:paraId="0CD578DF" w14:textId="77777777" w:rsidR="009863F2" w:rsidRPr="009863F2" w:rsidRDefault="009863F2" w:rsidP="001C5A11">
            <w:pPr>
              <w:jc w:val="both"/>
              <w:rPr>
                <w:rFonts w:eastAsia="Calibri" w:cstheme="minorHAnsi"/>
                <w:color w:val="2C307E"/>
                <w:sz w:val="20"/>
                <w:szCs w:val="20"/>
              </w:rPr>
            </w:pPr>
            <w:r w:rsidRPr="009863F2">
              <w:rPr>
                <w:rFonts w:eastAsia="Calibri" w:cstheme="minorHAnsi"/>
                <w:color w:val="2C307E"/>
                <w:sz w:val="20"/>
                <w:szCs w:val="20"/>
              </w:rPr>
              <w:t>De VVE en/of andere bewoners maakten bezwaar </w:t>
            </w:r>
          </w:p>
        </w:tc>
        <w:tc>
          <w:tcPr>
            <w:tcW w:w="1594" w:type="dxa"/>
            <w:shd w:val="clear" w:color="auto" w:fill="DEEAF6" w:themeFill="accent5" w:themeFillTint="33"/>
          </w:tcPr>
          <w:p w14:paraId="748AB1EA" w14:textId="77777777" w:rsidR="009863F2" w:rsidRPr="009863F2" w:rsidRDefault="009863F2" w:rsidP="001C5A11">
            <w:pPr>
              <w:jc w:val="both"/>
              <w:rPr>
                <w:rFonts w:eastAsia="Calibri" w:cstheme="minorHAnsi"/>
                <w:color w:val="2C307E"/>
                <w:sz w:val="20"/>
                <w:szCs w:val="20"/>
              </w:rPr>
            </w:pPr>
            <w:r w:rsidRPr="009863F2">
              <w:rPr>
                <w:rFonts w:eastAsia="Calibri" w:cstheme="minorHAnsi"/>
                <w:color w:val="2C307E"/>
                <w:sz w:val="20"/>
                <w:szCs w:val="20"/>
              </w:rPr>
              <w:t>37%</w:t>
            </w:r>
          </w:p>
        </w:tc>
        <w:tc>
          <w:tcPr>
            <w:tcW w:w="1330" w:type="dxa"/>
            <w:shd w:val="clear" w:color="auto" w:fill="DEEAF6" w:themeFill="accent5" w:themeFillTint="33"/>
          </w:tcPr>
          <w:p w14:paraId="07D852FA" w14:textId="77777777" w:rsidR="009863F2" w:rsidRPr="009863F2" w:rsidRDefault="009863F2" w:rsidP="001C5A11">
            <w:pPr>
              <w:jc w:val="both"/>
              <w:rPr>
                <w:rFonts w:eastAsia="Calibri" w:cstheme="minorHAnsi"/>
                <w:color w:val="2C307E"/>
                <w:sz w:val="20"/>
                <w:szCs w:val="20"/>
              </w:rPr>
            </w:pPr>
            <w:r w:rsidRPr="009863F2">
              <w:rPr>
                <w:rFonts w:eastAsia="Calibri" w:cstheme="minorHAnsi"/>
                <w:color w:val="2C307E"/>
                <w:sz w:val="20"/>
                <w:szCs w:val="20"/>
              </w:rPr>
              <w:t>32%</w:t>
            </w:r>
          </w:p>
        </w:tc>
        <w:tc>
          <w:tcPr>
            <w:tcW w:w="1330" w:type="dxa"/>
            <w:shd w:val="clear" w:color="auto" w:fill="DEEAF6" w:themeFill="accent5" w:themeFillTint="33"/>
          </w:tcPr>
          <w:p w14:paraId="10F3E2C4" w14:textId="77777777" w:rsidR="009863F2" w:rsidRPr="009863F2" w:rsidRDefault="009863F2" w:rsidP="001C5A11">
            <w:pPr>
              <w:jc w:val="both"/>
              <w:rPr>
                <w:rFonts w:eastAsia="Calibri" w:cstheme="minorHAnsi"/>
                <w:color w:val="2C307E"/>
                <w:sz w:val="20"/>
                <w:szCs w:val="20"/>
              </w:rPr>
            </w:pPr>
            <w:r w:rsidRPr="009863F2">
              <w:rPr>
                <w:rFonts w:eastAsia="Calibri" w:cstheme="minorHAnsi"/>
                <w:color w:val="2C307E"/>
                <w:sz w:val="20"/>
                <w:szCs w:val="20"/>
              </w:rPr>
              <w:t>37%</w:t>
            </w:r>
          </w:p>
        </w:tc>
        <w:tc>
          <w:tcPr>
            <w:tcW w:w="1330" w:type="dxa"/>
            <w:shd w:val="clear" w:color="auto" w:fill="DEEAF6" w:themeFill="accent5" w:themeFillTint="33"/>
          </w:tcPr>
          <w:p w14:paraId="774F378A" w14:textId="77777777" w:rsidR="009863F2" w:rsidRPr="009863F2" w:rsidRDefault="009863F2" w:rsidP="001C5A11">
            <w:pPr>
              <w:jc w:val="both"/>
              <w:rPr>
                <w:rFonts w:eastAsia="Calibri" w:cstheme="minorHAnsi"/>
                <w:color w:val="2C307E"/>
                <w:sz w:val="20"/>
                <w:szCs w:val="20"/>
              </w:rPr>
            </w:pPr>
            <w:r w:rsidRPr="009863F2">
              <w:rPr>
                <w:rFonts w:eastAsia="Calibri" w:cstheme="minorHAnsi"/>
                <w:color w:val="2C307E"/>
                <w:sz w:val="20"/>
                <w:szCs w:val="20"/>
              </w:rPr>
              <w:t>45%</w:t>
            </w:r>
          </w:p>
        </w:tc>
      </w:tr>
      <w:tr w:rsidR="009863F2" w:rsidRPr="002C1A66" w14:paraId="137FBE70" w14:textId="77777777" w:rsidTr="001C5A11">
        <w:trPr>
          <w:trHeight w:val="548"/>
        </w:trPr>
        <w:tc>
          <w:tcPr>
            <w:tcW w:w="3981" w:type="dxa"/>
            <w:shd w:val="clear" w:color="auto" w:fill="DEEAF6" w:themeFill="accent5" w:themeFillTint="33"/>
          </w:tcPr>
          <w:p w14:paraId="28AF11B7" w14:textId="77777777" w:rsidR="009863F2" w:rsidRPr="009863F2" w:rsidRDefault="009863F2" w:rsidP="001C5A11">
            <w:pPr>
              <w:jc w:val="both"/>
              <w:rPr>
                <w:rFonts w:eastAsia="Calibri" w:cstheme="minorHAnsi"/>
                <w:color w:val="2C307E"/>
                <w:sz w:val="20"/>
                <w:szCs w:val="20"/>
              </w:rPr>
            </w:pPr>
            <w:r w:rsidRPr="009863F2">
              <w:rPr>
                <w:rFonts w:eastAsia="Calibri" w:cstheme="minorHAnsi"/>
                <w:color w:val="2C307E"/>
                <w:sz w:val="20"/>
                <w:szCs w:val="20"/>
              </w:rPr>
              <w:t>Er was geen financiering voor laadpunten/er was sprake van een financieel probleem </w:t>
            </w:r>
          </w:p>
        </w:tc>
        <w:tc>
          <w:tcPr>
            <w:tcW w:w="1594" w:type="dxa"/>
            <w:shd w:val="clear" w:color="auto" w:fill="DEEAF6" w:themeFill="accent5" w:themeFillTint="33"/>
          </w:tcPr>
          <w:p w14:paraId="5F475845" w14:textId="77777777" w:rsidR="009863F2" w:rsidRPr="009863F2" w:rsidRDefault="009863F2" w:rsidP="001C5A11">
            <w:pPr>
              <w:jc w:val="both"/>
              <w:rPr>
                <w:rFonts w:eastAsia="Calibri" w:cstheme="minorHAnsi"/>
                <w:color w:val="2C307E"/>
                <w:sz w:val="20"/>
                <w:szCs w:val="20"/>
              </w:rPr>
            </w:pPr>
            <w:r w:rsidRPr="009863F2">
              <w:rPr>
                <w:rFonts w:eastAsia="Calibri" w:cstheme="minorHAnsi"/>
                <w:color w:val="2C307E"/>
                <w:sz w:val="20"/>
                <w:szCs w:val="20"/>
              </w:rPr>
              <w:t>17%</w:t>
            </w:r>
          </w:p>
        </w:tc>
        <w:tc>
          <w:tcPr>
            <w:tcW w:w="1330" w:type="dxa"/>
            <w:shd w:val="clear" w:color="auto" w:fill="DEEAF6" w:themeFill="accent5" w:themeFillTint="33"/>
          </w:tcPr>
          <w:p w14:paraId="4F123126" w14:textId="77777777" w:rsidR="009863F2" w:rsidRPr="009863F2" w:rsidRDefault="009863F2" w:rsidP="001C5A11">
            <w:pPr>
              <w:jc w:val="both"/>
              <w:rPr>
                <w:rFonts w:eastAsia="Calibri" w:cstheme="minorHAnsi"/>
                <w:color w:val="2C307E"/>
                <w:sz w:val="20"/>
                <w:szCs w:val="20"/>
              </w:rPr>
            </w:pPr>
            <w:r w:rsidRPr="009863F2">
              <w:rPr>
                <w:rFonts w:eastAsia="Calibri" w:cstheme="minorHAnsi"/>
                <w:color w:val="2C307E"/>
                <w:sz w:val="20"/>
                <w:szCs w:val="20"/>
              </w:rPr>
              <w:t>18%</w:t>
            </w:r>
          </w:p>
        </w:tc>
        <w:tc>
          <w:tcPr>
            <w:tcW w:w="1330" w:type="dxa"/>
            <w:shd w:val="clear" w:color="auto" w:fill="DEEAF6" w:themeFill="accent5" w:themeFillTint="33"/>
          </w:tcPr>
          <w:p w14:paraId="07F44FBB" w14:textId="77777777" w:rsidR="009863F2" w:rsidRPr="009863F2" w:rsidRDefault="009863F2" w:rsidP="001C5A11">
            <w:pPr>
              <w:jc w:val="both"/>
              <w:rPr>
                <w:rFonts w:eastAsia="Calibri" w:cstheme="minorHAnsi"/>
                <w:color w:val="2C307E"/>
                <w:sz w:val="20"/>
                <w:szCs w:val="20"/>
              </w:rPr>
            </w:pPr>
            <w:r w:rsidRPr="009863F2">
              <w:rPr>
                <w:rFonts w:eastAsia="Calibri" w:cstheme="minorHAnsi"/>
                <w:color w:val="2C307E"/>
                <w:sz w:val="20"/>
                <w:szCs w:val="20"/>
              </w:rPr>
              <w:t>21%</w:t>
            </w:r>
          </w:p>
        </w:tc>
        <w:tc>
          <w:tcPr>
            <w:tcW w:w="1330" w:type="dxa"/>
            <w:shd w:val="clear" w:color="auto" w:fill="DEEAF6" w:themeFill="accent5" w:themeFillTint="33"/>
          </w:tcPr>
          <w:p w14:paraId="42A37301" w14:textId="77777777" w:rsidR="009863F2" w:rsidRPr="009863F2" w:rsidRDefault="009863F2" w:rsidP="001C5A11">
            <w:pPr>
              <w:jc w:val="both"/>
              <w:rPr>
                <w:rFonts w:eastAsia="Calibri" w:cstheme="minorHAnsi"/>
                <w:color w:val="2C307E"/>
                <w:sz w:val="20"/>
                <w:szCs w:val="20"/>
              </w:rPr>
            </w:pPr>
            <w:r w:rsidRPr="009863F2">
              <w:rPr>
                <w:rFonts w:eastAsia="Calibri" w:cstheme="minorHAnsi"/>
                <w:color w:val="2C307E"/>
                <w:sz w:val="20"/>
                <w:szCs w:val="20"/>
              </w:rPr>
              <w:t>35%</w:t>
            </w:r>
          </w:p>
        </w:tc>
      </w:tr>
      <w:tr w:rsidR="009863F2" w:rsidRPr="002C1A66" w14:paraId="12AFEA41" w14:textId="77777777" w:rsidTr="001C5A11">
        <w:trPr>
          <w:trHeight w:val="574"/>
        </w:trPr>
        <w:tc>
          <w:tcPr>
            <w:tcW w:w="3981" w:type="dxa"/>
            <w:shd w:val="clear" w:color="auto" w:fill="DEEAF6" w:themeFill="accent5" w:themeFillTint="33"/>
          </w:tcPr>
          <w:p w14:paraId="26B996B2" w14:textId="77777777" w:rsidR="009863F2" w:rsidRPr="009863F2" w:rsidRDefault="009863F2" w:rsidP="001C5A11">
            <w:pPr>
              <w:jc w:val="both"/>
              <w:rPr>
                <w:rFonts w:eastAsia="Calibri" w:cstheme="minorHAnsi"/>
                <w:color w:val="2C307E"/>
                <w:sz w:val="20"/>
                <w:szCs w:val="20"/>
              </w:rPr>
            </w:pPr>
            <w:r w:rsidRPr="009863F2">
              <w:rPr>
                <w:rFonts w:eastAsia="Calibri" w:cstheme="minorHAnsi"/>
                <w:color w:val="2C307E"/>
                <w:sz w:val="20"/>
                <w:szCs w:val="20"/>
              </w:rPr>
              <w:t>Er was onvoldoende kennis binnen de VvE / geen gebruik van een adviseur </w:t>
            </w:r>
          </w:p>
        </w:tc>
        <w:tc>
          <w:tcPr>
            <w:tcW w:w="1594" w:type="dxa"/>
            <w:shd w:val="clear" w:color="auto" w:fill="DEEAF6" w:themeFill="accent5" w:themeFillTint="33"/>
          </w:tcPr>
          <w:p w14:paraId="38D6F37F" w14:textId="77777777" w:rsidR="009863F2" w:rsidRPr="009863F2" w:rsidRDefault="009863F2" w:rsidP="001C5A11">
            <w:pPr>
              <w:jc w:val="both"/>
              <w:rPr>
                <w:rFonts w:eastAsia="Calibri" w:cstheme="minorHAnsi"/>
                <w:color w:val="2C307E"/>
                <w:sz w:val="20"/>
                <w:szCs w:val="20"/>
              </w:rPr>
            </w:pPr>
            <w:r w:rsidRPr="009863F2">
              <w:rPr>
                <w:rFonts w:eastAsia="Calibri" w:cstheme="minorHAnsi"/>
                <w:color w:val="2C307E"/>
                <w:sz w:val="20"/>
                <w:szCs w:val="20"/>
              </w:rPr>
              <w:t>-</w:t>
            </w:r>
          </w:p>
        </w:tc>
        <w:tc>
          <w:tcPr>
            <w:tcW w:w="1330" w:type="dxa"/>
            <w:shd w:val="clear" w:color="auto" w:fill="DEEAF6" w:themeFill="accent5" w:themeFillTint="33"/>
          </w:tcPr>
          <w:p w14:paraId="294817E5" w14:textId="77777777" w:rsidR="009863F2" w:rsidRPr="009863F2" w:rsidRDefault="009863F2" w:rsidP="001C5A11">
            <w:pPr>
              <w:jc w:val="both"/>
              <w:rPr>
                <w:rFonts w:eastAsia="Calibri" w:cstheme="minorHAnsi"/>
                <w:color w:val="2C307E"/>
                <w:sz w:val="20"/>
                <w:szCs w:val="20"/>
              </w:rPr>
            </w:pPr>
            <w:r w:rsidRPr="009863F2">
              <w:rPr>
                <w:rFonts w:eastAsia="Calibri" w:cstheme="minorHAnsi"/>
                <w:color w:val="2C307E"/>
                <w:sz w:val="20"/>
                <w:szCs w:val="20"/>
              </w:rPr>
              <w:t>-</w:t>
            </w:r>
          </w:p>
        </w:tc>
        <w:tc>
          <w:tcPr>
            <w:tcW w:w="1330" w:type="dxa"/>
            <w:shd w:val="clear" w:color="auto" w:fill="DEEAF6" w:themeFill="accent5" w:themeFillTint="33"/>
          </w:tcPr>
          <w:p w14:paraId="4DC96DFA" w14:textId="77777777" w:rsidR="009863F2" w:rsidRPr="009863F2" w:rsidRDefault="009863F2" w:rsidP="001C5A11">
            <w:pPr>
              <w:jc w:val="both"/>
              <w:rPr>
                <w:rFonts w:eastAsia="Calibri" w:cstheme="minorHAnsi"/>
                <w:color w:val="2C307E"/>
                <w:sz w:val="20"/>
                <w:szCs w:val="20"/>
              </w:rPr>
            </w:pPr>
            <w:r w:rsidRPr="009863F2">
              <w:rPr>
                <w:rFonts w:eastAsia="Calibri" w:cstheme="minorHAnsi"/>
                <w:color w:val="2C307E"/>
                <w:sz w:val="20"/>
                <w:szCs w:val="20"/>
              </w:rPr>
              <w:t>-</w:t>
            </w:r>
          </w:p>
        </w:tc>
        <w:tc>
          <w:tcPr>
            <w:tcW w:w="1330" w:type="dxa"/>
            <w:shd w:val="clear" w:color="auto" w:fill="DEEAF6" w:themeFill="accent5" w:themeFillTint="33"/>
          </w:tcPr>
          <w:p w14:paraId="438CFC18" w14:textId="77777777" w:rsidR="009863F2" w:rsidRPr="009863F2" w:rsidRDefault="009863F2" w:rsidP="001C5A11">
            <w:pPr>
              <w:jc w:val="both"/>
              <w:rPr>
                <w:rFonts w:eastAsia="Calibri" w:cstheme="minorHAnsi"/>
                <w:color w:val="2C307E"/>
                <w:sz w:val="20"/>
                <w:szCs w:val="20"/>
              </w:rPr>
            </w:pPr>
            <w:r w:rsidRPr="009863F2">
              <w:rPr>
                <w:rFonts w:eastAsia="Calibri" w:cstheme="minorHAnsi"/>
                <w:color w:val="2C307E"/>
                <w:sz w:val="20"/>
                <w:szCs w:val="20"/>
              </w:rPr>
              <w:t>33%</w:t>
            </w:r>
          </w:p>
        </w:tc>
      </w:tr>
      <w:tr w:rsidR="009863F2" w:rsidRPr="002C1A66" w14:paraId="259BA6CA" w14:textId="77777777" w:rsidTr="001C5A11">
        <w:trPr>
          <w:trHeight w:val="732"/>
        </w:trPr>
        <w:tc>
          <w:tcPr>
            <w:tcW w:w="3981" w:type="dxa"/>
            <w:shd w:val="clear" w:color="auto" w:fill="DEEAF6" w:themeFill="accent5" w:themeFillTint="33"/>
          </w:tcPr>
          <w:p w14:paraId="01BA88AC" w14:textId="77777777" w:rsidR="009863F2" w:rsidRPr="009863F2" w:rsidRDefault="009863F2" w:rsidP="001C5A11">
            <w:pPr>
              <w:jc w:val="both"/>
              <w:rPr>
                <w:rFonts w:eastAsia="Calibri" w:cstheme="minorHAnsi"/>
                <w:color w:val="2C307E"/>
                <w:sz w:val="20"/>
                <w:szCs w:val="20"/>
              </w:rPr>
            </w:pPr>
            <w:r w:rsidRPr="009863F2">
              <w:rPr>
                <w:rFonts w:eastAsia="Calibri" w:cstheme="minorHAnsi"/>
                <w:color w:val="2C307E"/>
                <w:sz w:val="20"/>
                <w:szCs w:val="20"/>
              </w:rPr>
              <w:t>De aanleg van een laadpunt zou voor mij als rijder te kostbaar worden </w:t>
            </w:r>
          </w:p>
        </w:tc>
        <w:tc>
          <w:tcPr>
            <w:tcW w:w="1594" w:type="dxa"/>
            <w:shd w:val="clear" w:color="auto" w:fill="DEEAF6" w:themeFill="accent5" w:themeFillTint="33"/>
          </w:tcPr>
          <w:p w14:paraId="6C19E5C7" w14:textId="77777777" w:rsidR="009863F2" w:rsidRPr="009863F2" w:rsidRDefault="009863F2" w:rsidP="001C5A11">
            <w:pPr>
              <w:jc w:val="both"/>
              <w:rPr>
                <w:rFonts w:eastAsia="Calibri" w:cstheme="minorHAnsi"/>
                <w:color w:val="2C307E"/>
                <w:sz w:val="20"/>
                <w:szCs w:val="20"/>
              </w:rPr>
            </w:pPr>
            <w:r w:rsidRPr="009863F2">
              <w:rPr>
                <w:rFonts w:eastAsia="Calibri" w:cstheme="minorHAnsi"/>
                <w:color w:val="2C307E"/>
                <w:sz w:val="20"/>
                <w:szCs w:val="20"/>
              </w:rPr>
              <w:t>-</w:t>
            </w:r>
          </w:p>
        </w:tc>
        <w:tc>
          <w:tcPr>
            <w:tcW w:w="1330" w:type="dxa"/>
            <w:shd w:val="clear" w:color="auto" w:fill="DEEAF6" w:themeFill="accent5" w:themeFillTint="33"/>
          </w:tcPr>
          <w:p w14:paraId="38910572" w14:textId="77777777" w:rsidR="009863F2" w:rsidRPr="009863F2" w:rsidRDefault="009863F2" w:rsidP="001C5A11">
            <w:pPr>
              <w:jc w:val="both"/>
              <w:rPr>
                <w:rFonts w:eastAsia="Calibri" w:cstheme="minorHAnsi"/>
                <w:color w:val="2C307E"/>
                <w:sz w:val="20"/>
                <w:szCs w:val="20"/>
              </w:rPr>
            </w:pPr>
            <w:r w:rsidRPr="009863F2">
              <w:rPr>
                <w:rFonts w:eastAsia="Calibri" w:cstheme="minorHAnsi"/>
                <w:color w:val="2C307E"/>
                <w:sz w:val="20"/>
                <w:szCs w:val="20"/>
              </w:rPr>
              <w:t>-</w:t>
            </w:r>
          </w:p>
        </w:tc>
        <w:tc>
          <w:tcPr>
            <w:tcW w:w="1330" w:type="dxa"/>
            <w:shd w:val="clear" w:color="auto" w:fill="DEEAF6" w:themeFill="accent5" w:themeFillTint="33"/>
          </w:tcPr>
          <w:p w14:paraId="2E8AC473" w14:textId="77777777" w:rsidR="009863F2" w:rsidRPr="009863F2" w:rsidRDefault="009863F2" w:rsidP="001C5A11">
            <w:pPr>
              <w:jc w:val="both"/>
              <w:rPr>
                <w:rFonts w:eastAsia="Calibri" w:cstheme="minorHAnsi"/>
                <w:color w:val="2C307E"/>
                <w:sz w:val="20"/>
                <w:szCs w:val="20"/>
              </w:rPr>
            </w:pPr>
            <w:r w:rsidRPr="009863F2">
              <w:rPr>
                <w:rFonts w:eastAsia="Calibri" w:cstheme="minorHAnsi"/>
                <w:color w:val="2C307E"/>
                <w:sz w:val="20"/>
                <w:szCs w:val="20"/>
              </w:rPr>
              <w:t>-</w:t>
            </w:r>
          </w:p>
        </w:tc>
        <w:tc>
          <w:tcPr>
            <w:tcW w:w="1330" w:type="dxa"/>
            <w:shd w:val="clear" w:color="auto" w:fill="DEEAF6" w:themeFill="accent5" w:themeFillTint="33"/>
          </w:tcPr>
          <w:p w14:paraId="1C9F480C" w14:textId="77777777" w:rsidR="009863F2" w:rsidRPr="009863F2" w:rsidRDefault="009863F2" w:rsidP="001C5A11">
            <w:pPr>
              <w:jc w:val="both"/>
              <w:rPr>
                <w:rFonts w:eastAsia="Calibri" w:cstheme="minorHAnsi"/>
                <w:color w:val="2C307E"/>
                <w:sz w:val="20"/>
                <w:szCs w:val="20"/>
              </w:rPr>
            </w:pPr>
            <w:r w:rsidRPr="009863F2">
              <w:rPr>
                <w:rFonts w:eastAsia="Calibri" w:cstheme="minorHAnsi"/>
                <w:color w:val="2C307E"/>
                <w:sz w:val="20"/>
                <w:szCs w:val="20"/>
              </w:rPr>
              <w:t>22%</w:t>
            </w:r>
          </w:p>
        </w:tc>
      </w:tr>
    </w:tbl>
    <w:p w14:paraId="142A5C19" w14:textId="77777777" w:rsidR="001C5A11" w:rsidRPr="00C83081" w:rsidRDefault="001C5A11" w:rsidP="001C5A11">
      <w:pPr>
        <w:spacing w:after="0" w:line="276" w:lineRule="auto"/>
        <w:jc w:val="both"/>
        <w:rPr>
          <w:rFonts w:cstheme="minorHAnsi"/>
          <w:b/>
          <w:bCs/>
          <w:color w:val="2C307E"/>
        </w:rPr>
      </w:pPr>
      <w:r w:rsidRPr="00C83081">
        <w:rPr>
          <w:rFonts w:cstheme="minorHAnsi"/>
          <w:b/>
          <w:bCs/>
          <w:color w:val="2C307E"/>
        </w:rPr>
        <w:t xml:space="preserve">Zorgen rondom brandgevaar van elektrische auto’s is het meest voorkomende knelpunt </w:t>
      </w:r>
      <w:r>
        <w:rPr>
          <w:rFonts w:cstheme="minorHAnsi"/>
          <w:b/>
          <w:bCs/>
          <w:color w:val="2C307E"/>
        </w:rPr>
        <w:t xml:space="preserve">bij de aanvraag voor een laadpunt in een VvE </w:t>
      </w:r>
      <w:r w:rsidRPr="00C83081">
        <w:rPr>
          <w:rFonts w:cstheme="minorHAnsi"/>
          <w:b/>
          <w:bCs/>
          <w:color w:val="2C307E"/>
        </w:rPr>
        <w:t>(51%)</w:t>
      </w:r>
      <w:r>
        <w:rPr>
          <w:rFonts w:cstheme="minorHAnsi"/>
          <w:b/>
          <w:bCs/>
          <w:color w:val="2C307E"/>
        </w:rPr>
        <w:t>.</w:t>
      </w:r>
      <w:r w:rsidRPr="00C83081">
        <w:rPr>
          <w:rFonts w:cstheme="minorHAnsi"/>
          <w:b/>
          <w:bCs/>
          <w:color w:val="2C307E"/>
        </w:rPr>
        <w:t xml:space="preserve"> [N=69]</w:t>
      </w:r>
    </w:p>
    <w:p w14:paraId="381BE18E" w14:textId="77777777" w:rsidR="001C5A11" w:rsidRDefault="001C5A11" w:rsidP="001C5A11">
      <w:pPr>
        <w:spacing w:after="0" w:line="240" w:lineRule="auto"/>
        <w:jc w:val="both"/>
        <w:rPr>
          <w:color w:val="2C307E"/>
        </w:rPr>
      </w:pPr>
      <w:r w:rsidRPr="005C19F4">
        <w:rPr>
          <w:color w:val="2C307E"/>
        </w:rPr>
        <w:t>Ook bezwaar van V</w:t>
      </w:r>
      <w:r>
        <w:rPr>
          <w:color w:val="2C307E"/>
        </w:rPr>
        <w:t>v</w:t>
      </w:r>
      <w:r w:rsidRPr="005C19F4">
        <w:rPr>
          <w:color w:val="2C307E"/>
        </w:rPr>
        <w:t>E en/of bewoners en gebrek aan financierin</w:t>
      </w:r>
      <w:r>
        <w:rPr>
          <w:color w:val="2C307E"/>
        </w:rPr>
        <w:t>g</w:t>
      </w:r>
      <w:r w:rsidRPr="005C19F4">
        <w:rPr>
          <w:color w:val="2C307E"/>
        </w:rPr>
        <w:t xml:space="preserve"> en kennis worden vaak genoemd.</w:t>
      </w:r>
      <w:r>
        <w:rPr>
          <w:color w:val="2C307E"/>
        </w:rPr>
        <w:t xml:space="preserve"> Knelpunt 4 en 5 zijn in eerdere edities niet uitgevraagd.</w:t>
      </w:r>
    </w:p>
    <w:p w14:paraId="618391ED" w14:textId="77777777" w:rsidR="001B27A8" w:rsidRDefault="001B27A8" w:rsidP="00712417">
      <w:pPr>
        <w:spacing w:after="0" w:line="240" w:lineRule="auto"/>
        <w:jc w:val="both"/>
        <w:rPr>
          <w:color w:val="2C307E"/>
        </w:rPr>
      </w:pPr>
    </w:p>
    <w:p w14:paraId="67A99EFF" w14:textId="234610CB" w:rsidR="00EA055A" w:rsidRDefault="00EA055A" w:rsidP="00712417">
      <w:pPr>
        <w:spacing w:after="0" w:line="240" w:lineRule="auto"/>
        <w:jc w:val="both"/>
        <w:rPr>
          <w:color w:val="2C307E"/>
          <w:highlight w:val="yellow"/>
        </w:rPr>
      </w:pPr>
    </w:p>
    <w:p w14:paraId="3B993047" w14:textId="77777777" w:rsidR="001C5A11" w:rsidRDefault="001C5A11">
      <w:pPr>
        <w:rPr>
          <w:rFonts w:asciiTheme="majorHAnsi" w:eastAsiaTheme="majorEastAsia" w:hAnsiTheme="majorHAnsi" w:cstheme="majorBidi"/>
          <w:color w:val="2F5496" w:themeColor="accent1" w:themeShade="BF"/>
          <w:sz w:val="26"/>
          <w:szCs w:val="26"/>
        </w:rPr>
      </w:pPr>
      <w:bookmarkStart w:id="63" w:name="_Toc143700620"/>
      <w:bookmarkStart w:id="64" w:name="_Toc176513697"/>
      <w:bookmarkStart w:id="65" w:name="_Toc176537576"/>
      <w:r>
        <w:br w:type="page"/>
      </w:r>
    </w:p>
    <w:p w14:paraId="3990BC0D" w14:textId="55B0186D" w:rsidR="00712417" w:rsidRPr="003170C3" w:rsidRDefault="00712417" w:rsidP="00B826F0">
      <w:pPr>
        <w:pStyle w:val="Kop2"/>
        <w:jc w:val="both"/>
      </w:pPr>
      <w:bookmarkStart w:id="66" w:name="_Toc209710053"/>
      <w:r w:rsidRPr="003170C3">
        <w:lastRenderedPageBreak/>
        <w:t>Openbaar laden</w:t>
      </w:r>
      <w:bookmarkEnd w:id="63"/>
      <w:bookmarkEnd w:id="64"/>
      <w:bookmarkEnd w:id="65"/>
      <w:bookmarkEnd w:id="66"/>
    </w:p>
    <w:p w14:paraId="72992539" w14:textId="77777777" w:rsidR="00712417" w:rsidRPr="003170C3" w:rsidRDefault="00712417" w:rsidP="00B2226E">
      <w:pPr>
        <w:spacing w:after="0" w:line="276" w:lineRule="auto"/>
        <w:jc w:val="both"/>
        <w:rPr>
          <w:rFonts w:cstheme="minorHAnsi"/>
          <w:b/>
          <w:bCs/>
          <w:color w:val="2C307E"/>
        </w:rPr>
      </w:pPr>
      <w:r w:rsidRPr="003170C3">
        <w:rPr>
          <w:rFonts w:cstheme="minorHAnsi"/>
          <w:b/>
          <w:bCs/>
          <w:color w:val="2C307E"/>
        </w:rPr>
        <w:t xml:space="preserve">Algemeen rapportcijfer </w:t>
      </w:r>
    </w:p>
    <w:p w14:paraId="7835FC0F" w14:textId="77777777" w:rsidR="00712417" w:rsidRPr="003170C3" w:rsidRDefault="00712417" w:rsidP="00B2226E">
      <w:pPr>
        <w:spacing w:after="0" w:line="276" w:lineRule="auto"/>
        <w:jc w:val="both"/>
        <w:rPr>
          <w:rFonts w:cstheme="minorHAnsi"/>
          <w:color w:val="2C307E"/>
        </w:rPr>
      </w:pPr>
      <w:r w:rsidRPr="003170C3">
        <w:rPr>
          <w:rFonts w:cstheme="minorHAnsi"/>
          <w:color w:val="2C307E"/>
        </w:rPr>
        <w:t>Openbaar laden in buurt van de woning</w:t>
      </w:r>
    </w:p>
    <w:tbl>
      <w:tblPr>
        <w:tblStyle w:val="Tabelraster"/>
        <w:tblW w:w="0" w:type="auto"/>
        <w:shd w:val="clear" w:color="auto" w:fill="DEEAF6" w:themeFill="accent5" w:themeFillTint="33"/>
        <w:tblLook w:val="04A0" w:firstRow="1" w:lastRow="0" w:firstColumn="1" w:lastColumn="0" w:noHBand="0" w:noVBand="1"/>
      </w:tblPr>
      <w:tblGrid>
        <w:gridCol w:w="2547"/>
        <w:gridCol w:w="1602"/>
      </w:tblGrid>
      <w:tr w:rsidR="00712417" w:rsidRPr="003170C3" w14:paraId="3451CC7B" w14:textId="77777777">
        <w:tc>
          <w:tcPr>
            <w:tcW w:w="2547" w:type="dxa"/>
            <w:shd w:val="clear" w:color="auto" w:fill="DEEAF6" w:themeFill="accent5" w:themeFillTint="33"/>
          </w:tcPr>
          <w:p w14:paraId="4A13B6AC" w14:textId="77777777" w:rsidR="00712417" w:rsidRPr="006F7844" w:rsidRDefault="00712417">
            <w:pPr>
              <w:jc w:val="both"/>
              <w:rPr>
                <w:rFonts w:cstheme="minorHAnsi"/>
                <w:b/>
                <w:bCs/>
                <w:color w:val="2C307E"/>
                <w:sz w:val="20"/>
                <w:szCs w:val="20"/>
              </w:rPr>
            </w:pPr>
            <w:r w:rsidRPr="006F7844">
              <w:rPr>
                <w:rFonts w:cstheme="minorHAnsi"/>
                <w:b/>
                <w:bCs/>
                <w:color w:val="2C307E"/>
                <w:sz w:val="20"/>
                <w:szCs w:val="20"/>
              </w:rPr>
              <w:t>Rapportcijfer algemeen</w:t>
            </w:r>
          </w:p>
        </w:tc>
        <w:tc>
          <w:tcPr>
            <w:tcW w:w="1602" w:type="dxa"/>
            <w:shd w:val="clear" w:color="auto" w:fill="DEEAF6" w:themeFill="accent5" w:themeFillTint="33"/>
          </w:tcPr>
          <w:p w14:paraId="7153BBA0" w14:textId="6032CB97" w:rsidR="00712417" w:rsidRPr="006F7844" w:rsidRDefault="00712417">
            <w:pPr>
              <w:jc w:val="both"/>
              <w:rPr>
                <w:rFonts w:cstheme="minorHAnsi"/>
                <w:color w:val="2C307E"/>
                <w:sz w:val="20"/>
                <w:szCs w:val="20"/>
              </w:rPr>
            </w:pPr>
            <w:r w:rsidRPr="006F7844">
              <w:rPr>
                <w:rFonts w:cstheme="minorHAnsi"/>
                <w:color w:val="2C307E"/>
                <w:sz w:val="20"/>
                <w:szCs w:val="20"/>
              </w:rPr>
              <w:t>7,</w:t>
            </w:r>
            <w:r w:rsidR="0063010F" w:rsidRPr="006F7844">
              <w:rPr>
                <w:rFonts w:cstheme="minorHAnsi"/>
                <w:color w:val="2C307E"/>
                <w:sz w:val="20"/>
                <w:szCs w:val="20"/>
              </w:rPr>
              <w:t>2</w:t>
            </w:r>
          </w:p>
        </w:tc>
      </w:tr>
      <w:tr w:rsidR="00712417" w:rsidRPr="003170C3" w14:paraId="01149FF6" w14:textId="77777777">
        <w:tc>
          <w:tcPr>
            <w:tcW w:w="2547" w:type="dxa"/>
            <w:shd w:val="clear" w:color="auto" w:fill="DEEAF6" w:themeFill="accent5" w:themeFillTint="33"/>
          </w:tcPr>
          <w:p w14:paraId="411E5F21" w14:textId="77777777" w:rsidR="00712417" w:rsidRPr="006F7844" w:rsidRDefault="00712417">
            <w:pPr>
              <w:jc w:val="both"/>
              <w:rPr>
                <w:rFonts w:cstheme="minorHAnsi"/>
                <w:b/>
                <w:bCs/>
                <w:color w:val="2C307E"/>
                <w:sz w:val="20"/>
                <w:szCs w:val="20"/>
              </w:rPr>
            </w:pPr>
            <w:r w:rsidRPr="006F7844">
              <w:rPr>
                <w:rFonts w:cstheme="minorHAnsi"/>
                <w:b/>
                <w:bCs/>
                <w:color w:val="2C307E"/>
                <w:sz w:val="20"/>
                <w:szCs w:val="20"/>
              </w:rPr>
              <w:t>Rapportcijfer met ervaren knelpunt</w:t>
            </w:r>
          </w:p>
        </w:tc>
        <w:tc>
          <w:tcPr>
            <w:tcW w:w="1602" w:type="dxa"/>
            <w:shd w:val="clear" w:color="auto" w:fill="DEEAF6" w:themeFill="accent5" w:themeFillTint="33"/>
          </w:tcPr>
          <w:p w14:paraId="453443AA" w14:textId="73432F0E" w:rsidR="00712417" w:rsidRPr="006F7844" w:rsidRDefault="0063010F">
            <w:pPr>
              <w:jc w:val="both"/>
              <w:rPr>
                <w:rFonts w:cstheme="minorHAnsi"/>
                <w:color w:val="2C307E"/>
                <w:sz w:val="20"/>
                <w:szCs w:val="20"/>
              </w:rPr>
            </w:pPr>
            <w:r w:rsidRPr="006F7844">
              <w:rPr>
                <w:rFonts w:cstheme="minorHAnsi"/>
                <w:color w:val="2C307E"/>
                <w:sz w:val="20"/>
                <w:szCs w:val="20"/>
              </w:rPr>
              <w:t>6,9</w:t>
            </w:r>
          </w:p>
        </w:tc>
      </w:tr>
      <w:tr w:rsidR="00712417" w:rsidRPr="003170C3" w14:paraId="74A2A74B" w14:textId="77777777">
        <w:tc>
          <w:tcPr>
            <w:tcW w:w="2547" w:type="dxa"/>
            <w:shd w:val="clear" w:color="auto" w:fill="DEEAF6" w:themeFill="accent5" w:themeFillTint="33"/>
          </w:tcPr>
          <w:p w14:paraId="0F49539F" w14:textId="77777777" w:rsidR="00712417" w:rsidRPr="006F7844" w:rsidRDefault="00712417">
            <w:pPr>
              <w:jc w:val="both"/>
              <w:rPr>
                <w:rFonts w:cstheme="minorHAnsi"/>
                <w:b/>
                <w:bCs/>
                <w:color w:val="2C307E"/>
                <w:sz w:val="20"/>
                <w:szCs w:val="20"/>
              </w:rPr>
            </w:pPr>
            <w:r w:rsidRPr="006F7844">
              <w:rPr>
                <w:rFonts w:cstheme="minorHAnsi"/>
                <w:b/>
                <w:bCs/>
                <w:color w:val="2C307E"/>
                <w:sz w:val="20"/>
                <w:szCs w:val="20"/>
              </w:rPr>
              <w:t>Rapportcijfer zonder ervaren knelpunt</w:t>
            </w:r>
          </w:p>
        </w:tc>
        <w:tc>
          <w:tcPr>
            <w:tcW w:w="1602" w:type="dxa"/>
            <w:shd w:val="clear" w:color="auto" w:fill="DEEAF6" w:themeFill="accent5" w:themeFillTint="33"/>
          </w:tcPr>
          <w:p w14:paraId="0B19B789" w14:textId="57442A0F" w:rsidR="00712417" w:rsidRPr="006F7844" w:rsidRDefault="00712417">
            <w:pPr>
              <w:jc w:val="both"/>
              <w:rPr>
                <w:rFonts w:cstheme="minorHAnsi"/>
                <w:color w:val="2C307E"/>
                <w:sz w:val="20"/>
                <w:szCs w:val="20"/>
              </w:rPr>
            </w:pPr>
            <w:r w:rsidRPr="006F7844">
              <w:rPr>
                <w:rFonts w:cstheme="minorHAnsi"/>
                <w:color w:val="2C307E"/>
                <w:sz w:val="20"/>
                <w:szCs w:val="20"/>
              </w:rPr>
              <w:t>8,</w:t>
            </w:r>
            <w:r w:rsidR="0063010F" w:rsidRPr="006F7844">
              <w:rPr>
                <w:rFonts w:cstheme="minorHAnsi"/>
                <w:color w:val="2C307E"/>
                <w:sz w:val="20"/>
                <w:szCs w:val="20"/>
              </w:rPr>
              <w:t>0</w:t>
            </w:r>
            <w:r w:rsidRPr="006F7844">
              <w:rPr>
                <w:rFonts w:cstheme="minorHAnsi"/>
                <w:color w:val="2C307E"/>
                <w:sz w:val="20"/>
                <w:szCs w:val="20"/>
              </w:rPr>
              <w:t xml:space="preserve"> </w:t>
            </w:r>
          </w:p>
        </w:tc>
      </w:tr>
    </w:tbl>
    <w:p w14:paraId="51B84B2D" w14:textId="77777777" w:rsidR="009C2482" w:rsidRPr="003170C3" w:rsidRDefault="009C2482" w:rsidP="00712417">
      <w:pPr>
        <w:spacing w:after="0" w:line="240" w:lineRule="auto"/>
        <w:jc w:val="both"/>
        <w:rPr>
          <w:rFonts w:cstheme="minorHAnsi"/>
          <w:color w:val="2C307E"/>
        </w:rPr>
      </w:pPr>
    </w:p>
    <w:p w14:paraId="1EF8EA5D" w14:textId="21AF00A4" w:rsidR="00712417" w:rsidRPr="003170C3" w:rsidRDefault="00712417" w:rsidP="00B2226E">
      <w:pPr>
        <w:spacing w:after="0" w:line="276" w:lineRule="auto"/>
        <w:jc w:val="both"/>
        <w:rPr>
          <w:rFonts w:cstheme="minorHAnsi"/>
          <w:color w:val="2C307E"/>
        </w:rPr>
      </w:pPr>
      <w:r w:rsidRPr="003170C3">
        <w:rPr>
          <w:rFonts w:cstheme="minorHAnsi"/>
          <w:color w:val="2C307E"/>
        </w:rPr>
        <w:t>Openbaar laden elders</w:t>
      </w:r>
    </w:p>
    <w:tbl>
      <w:tblPr>
        <w:tblStyle w:val="Tabelraster"/>
        <w:tblW w:w="0" w:type="auto"/>
        <w:shd w:val="clear" w:color="auto" w:fill="DEEAF6" w:themeFill="accent5" w:themeFillTint="33"/>
        <w:tblLook w:val="04A0" w:firstRow="1" w:lastRow="0" w:firstColumn="1" w:lastColumn="0" w:noHBand="0" w:noVBand="1"/>
      </w:tblPr>
      <w:tblGrid>
        <w:gridCol w:w="2547"/>
        <w:gridCol w:w="1602"/>
      </w:tblGrid>
      <w:tr w:rsidR="00712417" w:rsidRPr="003170C3" w14:paraId="1AF039DB" w14:textId="77777777">
        <w:tc>
          <w:tcPr>
            <w:tcW w:w="2547" w:type="dxa"/>
            <w:shd w:val="clear" w:color="auto" w:fill="DEEAF6" w:themeFill="accent5" w:themeFillTint="33"/>
          </w:tcPr>
          <w:p w14:paraId="4E43A243" w14:textId="77777777" w:rsidR="00712417" w:rsidRPr="006F7844" w:rsidRDefault="00712417" w:rsidP="00B826F0">
            <w:pPr>
              <w:jc w:val="both"/>
              <w:rPr>
                <w:rFonts w:cstheme="minorHAnsi"/>
                <w:b/>
                <w:bCs/>
                <w:color w:val="2C307E"/>
                <w:sz w:val="20"/>
                <w:szCs w:val="20"/>
              </w:rPr>
            </w:pPr>
            <w:r w:rsidRPr="006F7844">
              <w:rPr>
                <w:rFonts w:cstheme="minorHAnsi"/>
                <w:b/>
                <w:bCs/>
                <w:color w:val="2C307E"/>
                <w:sz w:val="20"/>
                <w:szCs w:val="20"/>
              </w:rPr>
              <w:t>Rapportcijfer algemeen</w:t>
            </w:r>
          </w:p>
        </w:tc>
        <w:tc>
          <w:tcPr>
            <w:tcW w:w="1602" w:type="dxa"/>
            <w:shd w:val="clear" w:color="auto" w:fill="DEEAF6" w:themeFill="accent5" w:themeFillTint="33"/>
          </w:tcPr>
          <w:p w14:paraId="13B4D230" w14:textId="5EBF0A4A" w:rsidR="00712417" w:rsidRPr="006F7844" w:rsidRDefault="00712417">
            <w:pPr>
              <w:jc w:val="both"/>
              <w:rPr>
                <w:rFonts w:cstheme="minorHAnsi"/>
                <w:color w:val="2C307E"/>
                <w:sz w:val="20"/>
                <w:szCs w:val="20"/>
              </w:rPr>
            </w:pPr>
            <w:r w:rsidRPr="006F7844">
              <w:rPr>
                <w:rFonts w:cstheme="minorHAnsi"/>
                <w:color w:val="2C307E"/>
                <w:sz w:val="20"/>
                <w:szCs w:val="20"/>
              </w:rPr>
              <w:t>6,</w:t>
            </w:r>
            <w:r w:rsidR="0063010F" w:rsidRPr="006F7844">
              <w:rPr>
                <w:rFonts w:cstheme="minorHAnsi"/>
                <w:color w:val="2C307E"/>
                <w:sz w:val="20"/>
                <w:szCs w:val="20"/>
              </w:rPr>
              <w:t>7</w:t>
            </w:r>
          </w:p>
        </w:tc>
      </w:tr>
      <w:tr w:rsidR="00712417" w:rsidRPr="003170C3" w14:paraId="05E8B3C7" w14:textId="77777777">
        <w:tc>
          <w:tcPr>
            <w:tcW w:w="2547" w:type="dxa"/>
            <w:shd w:val="clear" w:color="auto" w:fill="DEEAF6" w:themeFill="accent5" w:themeFillTint="33"/>
          </w:tcPr>
          <w:p w14:paraId="0CE845CD" w14:textId="77777777" w:rsidR="00712417" w:rsidRPr="006F7844" w:rsidRDefault="00712417" w:rsidP="00B826F0">
            <w:pPr>
              <w:jc w:val="both"/>
              <w:rPr>
                <w:rFonts w:cstheme="minorHAnsi"/>
                <w:b/>
                <w:bCs/>
                <w:color w:val="2C307E"/>
                <w:sz w:val="20"/>
                <w:szCs w:val="20"/>
              </w:rPr>
            </w:pPr>
            <w:r w:rsidRPr="006F7844">
              <w:rPr>
                <w:rFonts w:cstheme="minorHAnsi"/>
                <w:b/>
                <w:bCs/>
                <w:color w:val="2C307E"/>
                <w:sz w:val="20"/>
                <w:szCs w:val="20"/>
              </w:rPr>
              <w:t>Rapportcijfer met ervaren knelpunt</w:t>
            </w:r>
          </w:p>
        </w:tc>
        <w:tc>
          <w:tcPr>
            <w:tcW w:w="1602" w:type="dxa"/>
            <w:shd w:val="clear" w:color="auto" w:fill="DEEAF6" w:themeFill="accent5" w:themeFillTint="33"/>
          </w:tcPr>
          <w:p w14:paraId="45CA88A3" w14:textId="671A7B03" w:rsidR="00712417" w:rsidRPr="006F7844" w:rsidRDefault="00712417">
            <w:pPr>
              <w:jc w:val="both"/>
              <w:rPr>
                <w:rFonts w:cstheme="minorHAnsi"/>
                <w:color w:val="2C307E"/>
                <w:sz w:val="20"/>
                <w:szCs w:val="20"/>
              </w:rPr>
            </w:pPr>
            <w:r w:rsidRPr="006F7844">
              <w:rPr>
                <w:rFonts w:cstheme="minorHAnsi"/>
                <w:color w:val="2C307E"/>
                <w:sz w:val="20"/>
                <w:szCs w:val="20"/>
              </w:rPr>
              <w:t>6,</w:t>
            </w:r>
            <w:r w:rsidR="0063010F" w:rsidRPr="006F7844">
              <w:rPr>
                <w:rFonts w:cstheme="minorHAnsi"/>
                <w:color w:val="2C307E"/>
                <w:sz w:val="20"/>
                <w:szCs w:val="20"/>
              </w:rPr>
              <w:t>4</w:t>
            </w:r>
          </w:p>
        </w:tc>
      </w:tr>
      <w:tr w:rsidR="00712417" w:rsidRPr="00057017" w14:paraId="7CCD53A5" w14:textId="77777777" w:rsidTr="00027086">
        <w:trPr>
          <w:trHeight w:val="59"/>
        </w:trPr>
        <w:tc>
          <w:tcPr>
            <w:tcW w:w="2547" w:type="dxa"/>
            <w:shd w:val="clear" w:color="auto" w:fill="DEEAF6" w:themeFill="accent5" w:themeFillTint="33"/>
          </w:tcPr>
          <w:p w14:paraId="4B45959C" w14:textId="77777777" w:rsidR="00712417" w:rsidRPr="006F7844" w:rsidRDefault="00712417" w:rsidP="00B826F0">
            <w:pPr>
              <w:jc w:val="both"/>
              <w:rPr>
                <w:rFonts w:cstheme="minorHAnsi"/>
                <w:b/>
                <w:bCs/>
                <w:color w:val="2C307E"/>
                <w:sz w:val="20"/>
                <w:szCs w:val="20"/>
              </w:rPr>
            </w:pPr>
            <w:r w:rsidRPr="006F7844">
              <w:rPr>
                <w:rFonts w:cstheme="minorHAnsi"/>
                <w:b/>
                <w:bCs/>
                <w:color w:val="2C307E"/>
                <w:sz w:val="20"/>
                <w:szCs w:val="20"/>
              </w:rPr>
              <w:t>Rapportcijfer zonder ervaren knelpunt</w:t>
            </w:r>
          </w:p>
        </w:tc>
        <w:tc>
          <w:tcPr>
            <w:tcW w:w="1602" w:type="dxa"/>
            <w:shd w:val="clear" w:color="auto" w:fill="DEEAF6" w:themeFill="accent5" w:themeFillTint="33"/>
          </w:tcPr>
          <w:p w14:paraId="478963FA" w14:textId="4ACC0260" w:rsidR="00712417" w:rsidRPr="006F7844" w:rsidRDefault="00712417">
            <w:pPr>
              <w:jc w:val="both"/>
              <w:rPr>
                <w:rFonts w:cstheme="minorHAnsi"/>
                <w:color w:val="2C307E"/>
                <w:sz w:val="20"/>
                <w:szCs w:val="20"/>
              </w:rPr>
            </w:pPr>
            <w:r w:rsidRPr="006F7844">
              <w:rPr>
                <w:rFonts w:cstheme="minorHAnsi"/>
                <w:color w:val="2C307E"/>
                <w:sz w:val="20"/>
                <w:szCs w:val="20"/>
              </w:rPr>
              <w:t>7,1</w:t>
            </w:r>
          </w:p>
        </w:tc>
      </w:tr>
    </w:tbl>
    <w:p w14:paraId="6C0EDB5F" w14:textId="77777777" w:rsidR="00712417" w:rsidRPr="00057017" w:rsidRDefault="00712417" w:rsidP="00712417">
      <w:pPr>
        <w:spacing w:after="0" w:line="240" w:lineRule="auto"/>
        <w:jc w:val="both"/>
        <w:rPr>
          <w:rFonts w:cstheme="minorHAnsi"/>
          <w:color w:val="2C307E"/>
          <w:highlight w:val="yellow"/>
        </w:rPr>
      </w:pPr>
    </w:p>
    <w:p w14:paraId="6A631E1E" w14:textId="77777777" w:rsidR="00C30967" w:rsidRDefault="00C30967" w:rsidP="00C30967">
      <w:pPr>
        <w:spacing w:after="0" w:line="240" w:lineRule="auto"/>
        <w:jc w:val="both"/>
        <w:rPr>
          <w:rFonts w:cstheme="minorHAnsi"/>
          <w:color w:val="2C307E"/>
        </w:rPr>
      </w:pPr>
      <w:r>
        <w:rPr>
          <w:rFonts w:cstheme="minorHAnsi"/>
          <w:color w:val="2C307E"/>
        </w:rPr>
        <w:t xml:space="preserve">De rapportcijfers zijn vergelijkbaar, maar iets lager dan vorig jaar. Toen kreeg openbaar laden in de buurt van de woning een 7,4, en elders een 6,8. </w:t>
      </w:r>
    </w:p>
    <w:tbl>
      <w:tblPr>
        <w:tblStyle w:val="Rastertabel1licht-Accent1"/>
        <w:tblpPr w:leftFromText="141" w:rightFromText="141" w:vertAnchor="text" w:horzAnchor="margin" w:tblpY="5316"/>
        <w:tblOverlap w:val="never"/>
        <w:tblW w:w="11207" w:type="pct"/>
        <w:tblLayout w:type="fixed"/>
        <w:tblLook w:val="04A0" w:firstRow="1" w:lastRow="0" w:firstColumn="1" w:lastColumn="0" w:noHBand="0" w:noVBand="1"/>
      </w:tblPr>
      <w:tblGrid>
        <w:gridCol w:w="281"/>
        <w:gridCol w:w="3684"/>
        <w:gridCol w:w="1135"/>
        <w:gridCol w:w="2125"/>
        <w:gridCol w:w="2126"/>
      </w:tblGrid>
      <w:tr w:rsidR="002D0DAE" w:rsidRPr="00CA0D55" w14:paraId="30D9DF2C" w14:textId="77777777" w:rsidTr="002D0DAE">
        <w:trPr>
          <w:cnfStyle w:val="100000000000" w:firstRow="1" w:lastRow="0" w:firstColumn="0" w:lastColumn="0" w:oddVBand="0" w:evenVBand="0" w:oddHBand="0"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150" w:type="pct"/>
            <w:noWrap/>
            <w:hideMark/>
          </w:tcPr>
          <w:p w14:paraId="3D6C5A6D" w14:textId="77777777" w:rsidR="002D0DAE" w:rsidRPr="006F7844" w:rsidRDefault="002D0DAE" w:rsidP="002D0DAE">
            <w:pPr>
              <w:rPr>
                <w:rFonts w:eastAsia="Times New Roman" w:cstheme="minorHAnsi"/>
                <w:color w:val="002060"/>
                <w:sz w:val="20"/>
                <w:szCs w:val="20"/>
                <w:lang w:eastAsia="nl-NL"/>
              </w:rPr>
            </w:pPr>
          </w:p>
        </w:tc>
        <w:tc>
          <w:tcPr>
            <w:tcW w:w="1970" w:type="pct"/>
            <w:noWrap/>
            <w:hideMark/>
          </w:tcPr>
          <w:p w14:paraId="00D5ECFB" w14:textId="77777777" w:rsidR="002D0DAE" w:rsidRPr="006F7844" w:rsidRDefault="002D0DAE" w:rsidP="002D0DAE">
            <w:pP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color w:val="002060"/>
                <w:sz w:val="20"/>
                <w:szCs w:val="20"/>
                <w:lang w:eastAsia="nl-NL"/>
              </w:rPr>
            </w:pPr>
            <w:r w:rsidRPr="006F7844">
              <w:rPr>
                <w:rFonts w:eastAsia="Times New Roman" w:cstheme="minorHAnsi"/>
                <w:color w:val="002060"/>
                <w:sz w:val="20"/>
                <w:szCs w:val="20"/>
                <w:lang w:eastAsia="nl-NL"/>
              </w:rPr>
              <w:t>Knelpunt</w:t>
            </w:r>
          </w:p>
          <w:p w14:paraId="29F10372" w14:textId="77777777" w:rsidR="002D0DAE" w:rsidRPr="006F7844" w:rsidRDefault="002D0DAE" w:rsidP="002D0DAE">
            <w:pPr>
              <w:cnfStyle w:val="100000000000" w:firstRow="1" w:lastRow="0" w:firstColumn="0" w:lastColumn="0" w:oddVBand="0" w:evenVBand="0" w:oddHBand="0" w:evenHBand="0" w:firstRowFirstColumn="0" w:firstRowLastColumn="0" w:lastRowFirstColumn="0" w:lastRowLastColumn="0"/>
              <w:rPr>
                <w:rFonts w:eastAsia="Times New Roman" w:cstheme="minorHAnsi"/>
                <w:color w:val="002060"/>
                <w:sz w:val="20"/>
                <w:szCs w:val="20"/>
                <w:lang w:eastAsia="nl-NL"/>
              </w:rPr>
            </w:pPr>
            <w:r w:rsidRPr="006F7844">
              <w:rPr>
                <w:rFonts w:eastAsia="Times New Roman" w:cstheme="minorHAnsi"/>
                <w:color w:val="002060"/>
                <w:sz w:val="20"/>
                <w:szCs w:val="20"/>
                <w:lang w:eastAsia="nl-NL"/>
              </w:rPr>
              <w:t>Top 5 vaakst genoemd</w:t>
            </w:r>
          </w:p>
        </w:tc>
        <w:tc>
          <w:tcPr>
            <w:tcW w:w="607" w:type="pct"/>
          </w:tcPr>
          <w:p w14:paraId="1E1DF0FA" w14:textId="77777777" w:rsidR="002D0DAE" w:rsidRPr="006F7844" w:rsidRDefault="002D0DAE" w:rsidP="002D0DAE">
            <w:pPr>
              <w:cnfStyle w:val="100000000000" w:firstRow="1" w:lastRow="0" w:firstColumn="0" w:lastColumn="0" w:oddVBand="0" w:evenVBand="0" w:oddHBand="0" w:evenHBand="0" w:firstRowFirstColumn="0" w:firstRowLastColumn="0" w:lastRowFirstColumn="0" w:lastRowLastColumn="0"/>
              <w:rPr>
                <w:rFonts w:eastAsia="Times New Roman" w:cstheme="minorHAnsi"/>
                <w:color w:val="002060"/>
                <w:sz w:val="20"/>
                <w:szCs w:val="20"/>
                <w:lang w:eastAsia="nl-NL"/>
              </w:rPr>
            </w:pPr>
            <w:r w:rsidRPr="006F7844">
              <w:rPr>
                <w:rFonts w:eastAsia="Times New Roman" w:cstheme="minorHAnsi"/>
                <w:color w:val="002060"/>
                <w:sz w:val="20"/>
                <w:szCs w:val="20"/>
                <w:lang w:eastAsia="nl-NL"/>
              </w:rPr>
              <w:t xml:space="preserve">Genoemd door: </w:t>
            </w:r>
          </w:p>
        </w:tc>
        <w:tc>
          <w:tcPr>
            <w:tcW w:w="1136" w:type="pct"/>
            <w:noWrap/>
            <w:hideMark/>
          </w:tcPr>
          <w:p w14:paraId="7DB26D83" w14:textId="77777777" w:rsidR="002D0DAE" w:rsidRPr="006F7844" w:rsidRDefault="002D0DAE" w:rsidP="002D0DAE">
            <w:pP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color w:val="002060"/>
                <w:sz w:val="20"/>
                <w:szCs w:val="20"/>
                <w:lang w:eastAsia="nl-NL"/>
              </w:rPr>
            </w:pPr>
            <w:r w:rsidRPr="006F7844">
              <w:rPr>
                <w:rFonts w:eastAsia="Times New Roman" w:cstheme="minorHAnsi"/>
                <w:color w:val="002060"/>
                <w:sz w:val="20"/>
                <w:szCs w:val="20"/>
                <w:lang w:eastAsia="nl-NL"/>
              </w:rPr>
              <w:t>Komt hoe vaak voor?</w:t>
            </w:r>
          </w:p>
          <w:p w14:paraId="4120361C" w14:textId="77777777" w:rsidR="002D0DAE" w:rsidRPr="006F7844" w:rsidRDefault="002D0DAE" w:rsidP="002D0DAE">
            <w:pP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color w:val="002060"/>
                <w:sz w:val="20"/>
                <w:szCs w:val="20"/>
                <w:lang w:eastAsia="nl-NL"/>
              </w:rPr>
            </w:pPr>
            <w:r w:rsidRPr="006F7844">
              <w:rPr>
                <w:rFonts w:eastAsia="Times New Roman" w:cstheme="minorHAnsi"/>
                <w:color w:val="002060"/>
                <w:sz w:val="20"/>
                <w:szCs w:val="20"/>
                <w:lang w:eastAsia="nl-NL"/>
              </w:rPr>
              <w:t>(% van de laadsessies)</w:t>
            </w:r>
          </w:p>
          <w:p w14:paraId="0BC8A79E" w14:textId="77777777" w:rsidR="002D0DAE" w:rsidRPr="006F7844" w:rsidRDefault="002D0DAE" w:rsidP="002D0DAE">
            <w:pPr>
              <w:cnfStyle w:val="100000000000" w:firstRow="1" w:lastRow="0" w:firstColumn="0" w:lastColumn="0" w:oddVBand="0" w:evenVBand="0" w:oddHBand="0" w:evenHBand="0" w:firstRowFirstColumn="0" w:firstRowLastColumn="0" w:lastRowFirstColumn="0" w:lastRowLastColumn="0"/>
              <w:rPr>
                <w:rFonts w:eastAsia="Times New Roman" w:cstheme="minorHAnsi"/>
                <w:color w:val="002060"/>
                <w:sz w:val="20"/>
                <w:szCs w:val="20"/>
                <w:lang w:eastAsia="nl-NL"/>
              </w:rPr>
            </w:pPr>
            <w:r w:rsidRPr="006F7844">
              <w:rPr>
                <w:rFonts w:eastAsia="Times New Roman" w:cstheme="minorHAnsi"/>
                <w:color w:val="002060"/>
                <w:sz w:val="20"/>
                <w:szCs w:val="20"/>
                <w:lang w:eastAsia="nl-NL"/>
              </w:rPr>
              <w:t>(als men het knelpunt weleens ervaart)</w:t>
            </w:r>
          </w:p>
        </w:tc>
        <w:tc>
          <w:tcPr>
            <w:tcW w:w="1137" w:type="pct"/>
          </w:tcPr>
          <w:p w14:paraId="2BD30AE7" w14:textId="21A81DAA" w:rsidR="002D0DAE" w:rsidRPr="006F7844" w:rsidRDefault="002D0DAE" w:rsidP="002D0DAE">
            <w:pP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color w:val="002060"/>
                <w:sz w:val="20"/>
                <w:szCs w:val="20"/>
                <w:lang w:eastAsia="nl-NL"/>
              </w:rPr>
            </w:pPr>
            <w:r w:rsidRPr="006F7844">
              <w:rPr>
                <w:rFonts w:eastAsia="Times New Roman" w:cstheme="minorHAnsi"/>
                <w:color w:val="002060"/>
                <w:sz w:val="20"/>
                <w:szCs w:val="20"/>
                <w:lang w:eastAsia="nl-NL"/>
              </w:rPr>
              <w:t>Ervaar het knelpunt als</w:t>
            </w:r>
            <w:r w:rsidR="00AA394E">
              <w:rPr>
                <w:rFonts w:eastAsia="Times New Roman" w:cstheme="minorHAnsi"/>
                <w:color w:val="002060"/>
                <w:sz w:val="20"/>
                <w:szCs w:val="20"/>
                <w:lang w:eastAsia="nl-NL"/>
              </w:rPr>
              <w:t xml:space="preserve"> </w:t>
            </w:r>
            <w:r w:rsidRPr="006F7844">
              <w:rPr>
                <w:rFonts w:eastAsia="Times New Roman" w:cstheme="minorHAnsi"/>
                <w:color w:val="002060"/>
                <w:sz w:val="20"/>
                <w:szCs w:val="20"/>
                <w:lang w:eastAsia="nl-NL"/>
              </w:rPr>
              <w:t>heel (erg) hinderlijk</w:t>
            </w:r>
          </w:p>
          <w:p w14:paraId="5A5603BA" w14:textId="77777777" w:rsidR="002D0DAE" w:rsidRPr="006F7844" w:rsidRDefault="002D0DAE" w:rsidP="002D0DAE">
            <w:pPr>
              <w:cnfStyle w:val="100000000000" w:firstRow="1" w:lastRow="0" w:firstColumn="0" w:lastColumn="0" w:oddVBand="0" w:evenVBand="0" w:oddHBand="0" w:evenHBand="0" w:firstRowFirstColumn="0" w:firstRowLastColumn="0" w:lastRowFirstColumn="0" w:lastRowLastColumn="0"/>
              <w:rPr>
                <w:rFonts w:eastAsia="Times New Roman" w:cstheme="minorHAnsi"/>
                <w:color w:val="002060"/>
                <w:sz w:val="20"/>
                <w:szCs w:val="20"/>
                <w:lang w:eastAsia="nl-NL"/>
              </w:rPr>
            </w:pPr>
            <w:r w:rsidRPr="006F7844">
              <w:rPr>
                <w:rFonts w:eastAsia="Times New Roman" w:cstheme="minorHAnsi"/>
                <w:color w:val="002060"/>
                <w:sz w:val="20"/>
                <w:szCs w:val="20"/>
                <w:lang w:eastAsia="nl-NL"/>
              </w:rPr>
              <w:t>(als men het knelpunt weleens ervaart)</w:t>
            </w:r>
          </w:p>
        </w:tc>
      </w:tr>
      <w:tr w:rsidR="002D0DAE" w:rsidRPr="00CA0D55" w14:paraId="13F290EE" w14:textId="77777777" w:rsidTr="002D0DAE">
        <w:trPr>
          <w:trHeight w:val="295"/>
        </w:trPr>
        <w:tc>
          <w:tcPr>
            <w:cnfStyle w:val="001000000000" w:firstRow="0" w:lastRow="0" w:firstColumn="1" w:lastColumn="0" w:oddVBand="0" w:evenVBand="0" w:oddHBand="0" w:evenHBand="0" w:firstRowFirstColumn="0" w:firstRowLastColumn="0" w:lastRowFirstColumn="0" w:lastRowLastColumn="0"/>
            <w:tcW w:w="150" w:type="pct"/>
            <w:noWrap/>
            <w:hideMark/>
          </w:tcPr>
          <w:p w14:paraId="31536457" w14:textId="77777777" w:rsidR="002D0DAE" w:rsidRPr="006F7844" w:rsidRDefault="002D0DAE" w:rsidP="002D0DAE">
            <w:pPr>
              <w:jc w:val="right"/>
              <w:rPr>
                <w:rFonts w:eastAsia="Times New Roman" w:cstheme="minorHAnsi"/>
                <w:color w:val="002060"/>
                <w:sz w:val="20"/>
                <w:szCs w:val="20"/>
                <w:lang w:eastAsia="nl-NL"/>
              </w:rPr>
            </w:pPr>
            <w:r w:rsidRPr="006F7844">
              <w:rPr>
                <w:rFonts w:eastAsia="Times New Roman" w:cstheme="minorHAnsi"/>
                <w:color w:val="002060"/>
                <w:sz w:val="20"/>
                <w:szCs w:val="20"/>
                <w:lang w:eastAsia="nl-NL"/>
              </w:rPr>
              <w:t>1</w:t>
            </w:r>
          </w:p>
        </w:tc>
        <w:tc>
          <w:tcPr>
            <w:tcW w:w="1970" w:type="pct"/>
            <w:noWrap/>
          </w:tcPr>
          <w:p w14:paraId="673D30C6" w14:textId="77777777" w:rsidR="002D0DAE" w:rsidRPr="006F7844" w:rsidRDefault="002D0DAE" w:rsidP="002D0DAE">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2060"/>
                <w:sz w:val="20"/>
                <w:szCs w:val="20"/>
                <w:lang w:eastAsia="nl-NL"/>
              </w:rPr>
            </w:pPr>
            <w:r w:rsidRPr="006F7844">
              <w:rPr>
                <w:rFonts w:eastAsia="Times New Roman" w:cstheme="minorHAnsi"/>
                <w:color w:val="002060"/>
                <w:sz w:val="20"/>
                <w:szCs w:val="20"/>
                <w:lang w:eastAsia="nl-NL"/>
              </w:rPr>
              <w:t>Laadpaal is bezet door een EV die laadt</w:t>
            </w:r>
          </w:p>
        </w:tc>
        <w:tc>
          <w:tcPr>
            <w:tcW w:w="607" w:type="pct"/>
          </w:tcPr>
          <w:p w14:paraId="31850D99" w14:textId="77777777" w:rsidR="002D0DAE" w:rsidRPr="006F7844" w:rsidRDefault="002D0DAE" w:rsidP="002D0DA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2060"/>
                <w:sz w:val="20"/>
                <w:szCs w:val="20"/>
                <w:lang w:eastAsia="nl-NL"/>
              </w:rPr>
            </w:pPr>
            <w:r w:rsidRPr="006F7844">
              <w:rPr>
                <w:rFonts w:eastAsia="Times New Roman" w:cstheme="minorHAnsi"/>
                <w:color w:val="002060"/>
                <w:sz w:val="20"/>
                <w:szCs w:val="20"/>
                <w:lang w:eastAsia="nl-NL"/>
              </w:rPr>
              <w:t>48%</w:t>
            </w:r>
          </w:p>
        </w:tc>
        <w:tc>
          <w:tcPr>
            <w:tcW w:w="1136" w:type="pct"/>
            <w:noWrap/>
          </w:tcPr>
          <w:p w14:paraId="58676F1D" w14:textId="77777777" w:rsidR="002D0DAE" w:rsidRPr="006F7844" w:rsidRDefault="002D0DAE" w:rsidP="002D0DA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2060"/>
                <w:sz w:val="20"/>
                <w:szCs w:val="20"/>
                <w:lang w:eastAsia="nl-NL"/>
              </w:rPr>
            </w:pPr>
            <w:r w:rsidRPr="006F7844">
              <w:rPr>
                <w:rFonts w:eastAsia="Times New Roman" w:cstheme="minorHAnsi"/>
                <w:color w:val="002060"/>
                <w:sz w:val="20"/>
                <w:szCs w:val="20"/>
                <w:lang w:eastAsia="nl-NL"/>
              </w:rPr>
              <w:t>25%</w:t>
            </w:r>
          </w:p>
        </w:tc>
        <w:tc>
          <w:tcPr>
            <w:tcW w:w="1137" w:type="pct"/>
          </w:tcPr>
          <w:p w14:paraId="131E7EC9" w14:textId="77777777" w:rsidR="002D0DAE" w:rsidRPr="006F7844" w:rsidRDefault="002D0DAE" w:rsidP="002D0DA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2060"/>
                <w:sz w:val="20"/>
                <w:szCs w:val="20"/>
                <w:lang w:eastAsia="nl-NL"/>
              </w:rPr>
            </w:pPr>
            <w:r w:rsidRPr="006F7844">
              <w:rPr>
                <w:rFonts w:eastAsia="Times New Roman" w:cstheme="minorHAnsi"/>
                <w:color w:val="002060"/>
                <w:sz w:val="20"/>
                <w:szCs w:val="20"/>
                <w:lang w:eastAsia="nl-NL"/>
              </w:rPr>
              <w:t>9%</w:t>
            </w:r>
          </w:p>
        </w:tc>
      </w:tr>
      <w:tr w:rsidR="002D0DAE" w:rsidRPr="00CA0D55" w14:paraId="19364D0D" w14:textId="77777777" w:rsidTr="002D0DAE">
        <w:trPr>
          <w:trHeight w:val="295"/>
        </w:trPr>
        <w:tc>
          <w:tcPr>
            <w:cnfStyle w:val="001000000000" w:firstRow="0" w:lastRow="0" w:firstColumn="1" w:lastColumn="0" w:oddVBand="0" w:evenVBand="0" w:oddHBand="0" w:evenHBand="0" w:firstRowFirstColumn="0" w:firstRowLastColumn="0" w:lastRowFirstColumn="0" w:lastRowLastColumn="0"/>
            <w:tcW w:w="150" w:type="pct"/>
            <w:noWrap/>
            <w:hideMark/>
          </w:tcPr>
          <w:p w14:paraId="5BAEBEDE" w14:textId="77777777" w:rsidR="002D0DAE" w:rsidRPr="006F7844" w:rsidRDefault="002D0DAE" w:rsidP="002D0DAE">
            <w:pPr>
              <w:jc w:val="right"/>
              <w:rPr>
                <w:rFonts w:eastAsia="Times New Roman" w:cstheme="minorHAnsi"/>
                <w:color w:val="002060"/>
                <w:sz w:val="20"/>
                <w:szCs w:val="20"/>
                <w:lang w:eastAsia="nl-NL"/>
              </w:rPr>
            </w:pPr>
            <w:r w:rsidRPr="006F7844">
              <w:rPr>
                <w:rFonts w:eastAsia="Times New Roman" w:cstheme="minorHAnsi"/>
                <w:color w:val="002060"/>
                <w:sz w:val="20"/>
                <w:szCs w:val="20"/>
                <w:lang w:eastAsia="nl-NL"/>
              </w:rPr>
              <w:t>2</w:t>
            </w:r>
          </w:p>
        </w:tc>
        <w:tc>
          <w:tcPr>
            <w:tcW w:w="1970" w:type="pct"/>
            <w:noWrap/>
          </w:tcPr>
          <w:p w14:paraId="59DD44A1" w14:textId="77777777" w:rsidR="002D0DAE" w:rsidRPr="006F7844" w:rsidRDefault="002D0DAE" w:rsidP="002D0DAE">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2060"/>
                <w:sz w:val="20"/>
                <w:szCs w:val="20"/>
                <w:lang w:eastAsia="nl-NL"/>
              </w:rPr>
            </w:pPr>
            <w:r w:rsidRPr="006F7844">
              <w:rPr>
                <w:rFonts w:eastAsia="Times New Roman" w:cstheme="minorHAnsi"/>
                <w:color w:val="002060"/>
                <w:sz w:val="20"/>
                <w:szCs w:val="20"/>
                <w:lang w:eastAsia="nl-NL"/>
              </w:rPr>
              <w:t>Laadpaal is bezet door een EV die niet laadt</w:t>
            </w:r>
          </w:p>
        </w:tc>
        <w:tc>
          <w:tcPr>
            <w:tcW w:w="607" w:type="pct"/>
          </w:tcPr>
          <w:p w14:paraId="189EC99B" w14:textId="77777777" w:rsidR="002D0DAE" w:rsidRPr="006F7844" w:rsidRDefault="002D0DAE" w:rsidP="002D0DA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2060"/>
                <w:sz w:val="20"/>
                <w:szCs w:val="20"/>
                <w:lang w:eastAsia="nl-NL"/>
              </w:rPr>
            </w:pPr>
            <w:r w:rsidRPr="006F7844">
              <w:rPr>
                <w:rFonts w:eastAsia="Times New Roman" w:cstheme="minorHAnsi"/>
                <w:color w:val="002060"/>
                <w:sz w:val="20"/>
                <w:szCs w:val="20"/>
                <w:lang w:eastAsia="nl-NL"/>
              </w:rPr>
              <w:t>46%</w:t>
            </w:r>
          </w:p>
        </w:tc>
        <w:tc>
          <w:tcPr>
            <w:tcW w:w="1136" w:type="pct"/>
            <w:noWrap/>
          </w:tcPr>
          <w:p w14:paraId="1EA8EF1D" w14:textId="77777777" w:rsidR="002D0DAE" w:rsidRPr="006F7844" w:rsidRDefault="002D0DAE" w:rsidP="002D0DA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2060"/>
                <w:sz w:val="20"/>
                <w:szCs w:val="20"/>
                <w:lang w:eastAsia="nl-NL"/>
              </w:rPr>
            </w:pPr>
            <w:r w:rsidRPr="006F7844">
              <w:rPr>
                <w:rFonts w:eastAsia="Times New Roman" w:cstheme="minorHAnsi"/>
                <w:color w:val="002060"/>
                <w:sz w:val="20"/>
                <w:szCs w:val="20"/>
                <w:lang w:eastAsia="nl-NL"/>
              </w:rPr>
              <w:t>19%</w:t>
            </w:r>
          </w:p>
        </w:tc>
        <w:tc>
          <w:tcPr>
            <w:tcW w:w="1137" w:type="pct"/>
          </w:tcPr>
          <w:p w14:paraId="51EA0107" w14:textId="77777777" w:rsidR="002D0DAE" w:rsidRPr="006F7844" w:rsidRDefault="002D0DAE" w:rsidP="002D0DA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2060"/>
                <w:sz w:val="20"/>
                <w:szCs w:val="20"/>
                <w:lang w:eastAsia="nl-NL"/>
              </w:rPr>
            </w:pPr>
            <w:r w:rsidRPr="006F7844">
              <w:rPr>
                <w:rFonts w:eastAsia="Times New Roman" w:cstheme="minorHAnsi"/>
                <w:color w:val="002060"/>
                <w:sz w:val="20"/>
                <w:szCs w:val="20"/>
                <w:lang w:eastAsia="nl-NL"/>
              </w:rPr>
              <w:t>59%</w:t>
            </w:r>
          </w:p>
        </w:tc>
      </w:tr>
      <w:tr w:rsidR="002D0DAE" w:rsidRPr="00CA0D55" w14:paraId="46847AA2" w14:textId="77777777" w:rsidTr="002D0DAE">
        <w:trPr>
          <w:trHeight w:val="295"/>
        </w:trPr>
        <w:tc>
          <w:tcPr>
            <w:cnfStyle w:val="001000000000" w:firstRow="0" w:lastRow="0" w:firstColumn="1" w:lastColumn="0" w:oddVBand="0" w:evenVBand="0" w:oddHBand="0" w:evenHBand="0" w:firstRowFirstColumn="0" w:firstRowLastColumn="0" w:lastRowFirstColumn="0" w:lastRowLastColumn="0"/>
            <w:tcW w:w="150" w:type="pct"/>
            <w:noWrap/>
            <w:hideMark/>
          </w:tcPr>
          <w:p w14:paraId="5336A797" w14:textId="77777777" w:rsidR="002D0DAE" w:rsidRPr="006F7844" w:rsidRDefault="002D0DAE" w:rsidP="002D0DAE">
            <w:pPr>
              <w:jc w:val="right"/>
              <w:rPr>
                <w:rFonts w:eastAsia="Times New Roman" w:cstheme="minorHAnsi"/>
                <w:color w:val="002060"/>
                <w:sz w:val="20"/>
                <w:szCs w:val="20"/>
                <w:lang w:eastAsia="nl-NL"/>
              </w:rPr>
            </w:pPr>
            <w:r w:rsidRPr="006F7844">
              <w:rPr>
                <w:rFonts w:eastAsia="Times New Roman" w:cstheme="minorHAnsi"/>
                <w:color w:val="002060"/>
                <w:sz w:val="20"/>
                <w:szCs w:val="20"/>
                <w:lang w:eastAsia="nl-NL"/>
              </w:rPr>
              <w:t>3</w:t>
            </w:r>
          </w:p>
        </w:tc>
        <w:tc>
          <w:tcPr>
            <w:tcW w:w="1970" w:type="pct"/>
            <w:noWrap/>
          </w:tcPr>
          <w:p w14:paraId="72C82AB6" w14:textId="77777777" w:rsidR="002D0DAE" w:rsidRPr="006F7844" w:rsidRDefault="002D0DAE" w:rsidP="002D0DAE">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2060"/>
                <w:sz w:val="20"/>
                <w:szCs w:val="20"/>
                <w:lang w:eastAsia="nl-NL"/>
              </w:rPr>
            </w:pPr>
            <w:r w:rsidRPr="006F7844">
              <w:rPr>
                <w:rFonts w:eastAsia="Times New Roman" w:cstheme="minorHAnsi"/>
                <w:color w:val="002060"/>
                <w:sz w:val="20"/>
                <w:szCs w:val="20"/>
                <w:lang w:eastAsia="nl-NL"/>
              </w:rPr>
              <w:t>Laadpaal is defect</w:t>
            </w:r>
          </w:p>
        </w:tc>
        <w:tc>
          <w:tcPr>
            <w:tcW w:w="607" w:type="pct"/>
          </w:tcPr>
          <w:p w14:paraId="041B86AD" w14:textId="77777777" w:rsidR="002D0DAE" w:rsidRPr="006F7844" w:rsidRDefault="002D0DAE" w:rsidP="002D0DA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2060"/>
                <w:sz w:val="20"/>
                <w:szCs w:val="20"/>
                <w:lang w:eastAsia="nl-NL"/>
              </w:rPr>
            </w:pPr>
            <w:r w:rsidRPr="006F7844">
              <w:rPr>
                <w:rFonts w:eastAsia="Times New Roman" w:cstheme="minorHAnsi"/>
                <w:color w:val="002060"/>
                <w:sz w:val="20"/>
                <w:szCs w:val="20"/>
                <w:lang w:eastAsia="nl-NL"/>
              </w:rPr>
              <w:t>42%</w:t>
            </w:r>
          </w:p>
        </w:tc>
        <w:tc>
          <w:tcPr>
            <w:tcW w:w="1136" w:type="pct"/>
            <w:noWrap/>
          </w:tcPr>
          <w:p w14:paraId="2F0A4662" w14:textId="77777777" w:rsidR="002D0DAE" w:rsidRPr="006F7844" w:rsidRDefault="002D0DAE" w:rsidP="002D0DA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2060"/>
                <w:sz w:val="20"/>
                <w:szCs w:val="20"/>
                <w:lang w:eastAsia="nl-NL"/>
              </w:rPr>
            </w:pPr>
            <w:r w:rsidRPr="006F7844">
              <w:rPr>
                <w:rFonts w:eastAsia="Times New Roman" w:cstheme="minorHAnsi"/>
                <w:color w:val="002060"/>
                <w:sz w:val="20"/>
                <w:szCs w:val="20"/>
                <w:lang w:eastAsia="nl-NL"/>
              </w:rPr>
              <w:t>12%</w:t>
            </w:r>
          </w:p>
        </w:tc>
        <w:tc>
          <w:tcPr>
            <w:tcW w:w="1137" w:type="pct"/>
          </w:tcPr>
          <w:p w14:paraId="383AE589" w14:textId="77777777" w:rsidR="002D0DAE" w:rsidRPr="006F7844" w:rsidRDefault="002D0DAE" w:rsidP="002D0DA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2060"/>
                <w:sz w:val="20"/>
                <w:szCs w:val="20"/>
                <w:lang w:eastAsia="nl-NL"/>
              </w:rPr>
            </w:pPr>
            <w:r w:rsidRPr="006F7844">
              <w:rPr>
                <w:rFonts w:eastAsia="Times New Roman" w:cstheme="minorHAnsi"/>
                <w:color w:val="002060"/>
                <w:sz w:val="20"/>
                <w:szCs w:val="20"/>
                <w:lang w:eastAsia="nl-NL"/>
              </w:rPr>
              <w:t>63%</w:t>
            </w:r>
          </w:p>
        </w:tc>
      </w:tr>
      <w:tr w:rsidR="002D0DAE" w:rsidRPr="00CA0D55" w14:paraId="66FFE80E" w14:textId="77777777" w:rsidTr="002D0DAE">
        <w:trPr>
          <w:trHeight w:val="295"/>
        </w:trPr>
        <w:tc>
          <w:tcPr>
            <w:cnfStyle w:val="001000000000" w:firstRow="0" w:lastRow="0" w:firstColumn="1" w:lastColumn="0" w:oddVBand="0" w:evenVBand="0" w:oddHBand="0" w:evenHBand="0" w:firstRowFirstColumn="0" w:firstRowLastColumn="0" w:lastRowFirstColumn="0" w:lastRowLastColumn="0"/>
            <w:tcW w:w="150" w:type="pct"/>
            <w:noWrap/>
            <w:hideMark/>
          </w:tcPr>
          <w:p w14:paraId="636165BA" w14:textId="77777777" w:rsidR="002D0DAE" w:rsidRPr="006F7844" w:rsidRDefault="002D0DAE" w:rsidP="002D0DAE">
            <w:pPr>
              <w:jc w:val="right"/>
              <w:rPr>
                <w:rFonts w:eastAsia="Times New Roman" w:cstheme="minorHAnsi"/>
                <w:color w:val="002060"/>
                <w:sz w:val="20"/>
                <w:szCs w:val="20"/>
                <w:lang w:eastAsia="nl-NL"/>
              </w:rPr>
            </w:pPr>
            <w:r w:rsidRPr="006F7844">
              <w:rPr>
                <w:rFonts w:eastAsia="Times New Roman" w:cstheme="minorHAnsi"/>
                <w:color w:val="002060"/>
                <w:sz w:val="20"/>
                <w:szCs w:val="20"/>
                <w:lang w:eastAsia="nl-NL"/>
              </w:rPr>
              <w:t>4</w:t>
            </w:r>
          </w:p>
        </w:tc>
        <w:tc>
          <w:tcPr>
            <w:tcW w:w="1970" w:type="pct"/>
            <w:noWrap/>
          </w:tcPr>
          <w:p w14:paraId="2A887859" w14:textId="77777777" w:rsidR="002D0DAE" w:rsidRPr="006F7844" w:rsidRDefault="002D0DAE" w:rsidP="002D0DAE">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2060"/>
                <w:sz w:val="20"/>
                <w:szCs w:val="20"/>
                <w:lang w:eastAsia="nl-NL"/>
              </w:rPr>
            </w:pPr>
            <w:r w:rsidRPr="006F7844">
              <w:rPr>
                <w:rFonts w:eastAsia="Times New Roman" w:cstheme="minorHAnsi"/>
                <w:color w:val="002060"/>
                <w:sz w:val="20"/>
                <w:szCs w:val="20"/>
                <w:lang w:eastAsia="nl-NL"/>
              </w:rPr>
              <w:t>Laadplek is bezet door een fossiele brandstofauto</w:t>
            </w:r>
          </w:p>
        </w:tc>
        <w:tc>
          <w:tcPr>
            <w:tcW w:w="607" w:type="pct"/>
          </w:tcPr>
          <w:p w14:paraId="507DB7C3" w14:textId="77777777" w:rsidR="002D0DAE" w:rsidRPr="006F7844" w:rsidRDefault="002D0DAE" w:rsidP="002D0DA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2060"/>
                <w:sz w:val="20"/>
                <w:szCs w:val="20"/>
                <w:lang w:eastAsia="nl-NL"/>
              </w:rPr>
            </w:pPr>
            <w:r w:rsidRPr="006F7844">
              <w:rPr>
                <w:rFonts w:eastAsia="Times New Roman" w:cstheme="minorHAnsi"/>
                <w:color w:val="002060"/>
                <w:sz w:val="20"/>
                <w:szCs w:val="20"/>
                <w:lang w:eastAsia="nl-NL"/>
              </w:rPr>
              <w:t>42%</w:t>
            </w:r>
          </w:p>
        </w:tc>
        <w:tc>
          <w:tcPr>
            <w:tcW w:w="1136" w:type="pct"/>
            <w:noWrap/>
          </w:tcPr>
          <w:p w14:paraId="01FF8DFC" w14:textId="77777777" w:rsidR="002D0DAE" w:rsidRPr="006F7844" w:rsidRDefault="002D0DAE" w:rsidP="002D0DA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2060"/>
                <w:sz w:val="20"/>
                <w:szCs w:val="20"/>
                <w:lang w:eastAsia="nl-NL"/>
              </w:rPr>
            </w:pPr>
            <w:r w:rsidRPr="006F7844">
              <w:rPr>
                <w:rFonts w:eastAsia="Times New Roman" w:cstheme="minorHAnsi"/>
                <w:color w:val="002060"/>
                <w:sz w:val="20"/>
                <w:szCs w:val="20"/>
                <w:lang w:eastAsia="nl-NL"/>
              </w:rPr>
              <w:t>17%</w:t>
            </w:r>
          </w:p>
        </w:tc>
        <w:tc>
          <w:tcPr>
            <w:tcW w:w="1137" w:type="pct"/>
          </w:tcPr>
          <w:p w14:paraId="43F69D5E" w14:textId="77777777" w:rsidR="002D0DAE" w:rsidRPr="006F7844" w:rsidRDefault="002D0DAE" w:rsidP="002D0DA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2060"/>
                <w:sz w:val="20"/>
                <w:szCs w:val="20"/>
                <w:lang w:eastAsia="nl-NL"/>
              </w:rPr>
            </w:pPr>
            <w:r w:rsidRPr="006F7844">
              <w:rPr>
                <w:rFonts w:eastAsia="Times New Roman" w:cstheme="minorHAnsi"/>
                <w:color w:val="002060"/>
                <w:sz w:val="20"/>
                <w:szCs w:val="20"/>
                <w:lang w:eastAsia="nl-NL"/>
              </w:rPr>
              <w:t>77%</w:t>
            </w:r>
          </w:p>
        </w:tc>
      </w:tr>
      <w:tr w:rsidR="002D0DAE" w:rsidRPr="00CA0D55" w14:paraId="15527EC2" w14:textId="77777777" w:rsidTr="002D0DAE">
        <w:trPr>
          <w:trHeight w:val="295"/>
        </w:trPr>
        <w:tc>
          <w:tcPr>
            <w:cnfStyle w:val="001000000000" w:firstRow="0" w:lastRow="0" w:firstColumn="1" w:lastColumn="0" w:oddVBand="0" w:evenVBand="0" w:oddHBand="0" w:evenHBand="0" w:firstRowFirstColumn="0" w:firstRowLastColumn="0" w:lastRowFirstColumn="0" w:lastRowLastColumn="0"/>
            <w:tcW w:w="150" w:type="pct"/>
            <w:noWrap/>
            <w:hideMark/>
          </w:tcPr>
          <w:p w14:paraId="027647D1" w14:textId="77777777" w:rsidR="002D0DAE" w:rsidRPr="006F7844" w:rsidRDefault="002D0DAE" w:rsidP="002D0DAE">
            <w:pPr>
              <w:jc w:val="right"/>
              <w:rPr>
                <w:rFonts w:eastAsia="Times New Roman" w:cstheme="minorHAnsi"/>
                <w:color w:val="002060"/>
                <w:sz w:val="20"/>
                <w:szCs w:val="20"/>
                <w:lang w:eastAsia="nl-NL"/>
              </w:rPr>
            </w:pPr>
            <w:r w:rsidRPr="006F7844">
              <w:rPr>
                <w:rFonts w:eastAsia="Times New Roman" w:cstheme="minorHAnsi"/>
                <w:color w:val="002060"/>
                <w:sz w:val="20"/>
                <w:szCs w:val="20"/>
                <w:lang w:eastAsia="nl-NL"/>
              </w:rPr>
              <w:t>5</w:t>
            </w:r>
          </w:p>
        </w:tc>
        <w:tc>
          <w:tcPr>
            <w:tcW w:w="1970" w:type="pct"/>
            <w:noWrap/>
          </w:tcPr>
          <w:p w14:paraId="0EADD187" w14:textId="77777777" w:rsidR="002D0DAE" w:rsidRPr="006F7844" w:rsidRDefault="002D0DAE" w:rsidP="002D0DAE">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2060"/>
                <w:sz w:val="20"/>
                <w:szCs w:val="20"/>
                <w:lang w:eastAsia="nl-NL"/>
              </w:rPr>
            </w:pPr>
            <w:r w:rsidRPr="006F7844">
              <w:rPr>
                <w:rFonts w:eastAsia="Times New Roman" w:cstheme="minorHAnsi"/>
                <w:color w:val="002060"/>
                <w:sz w:val="20"/>
                <w:szCs w:val="20"/>
                <w:lang w:eastAsia="nl-NL"/>
              </w:rPr>
              <w:t>Er zijn niet voldoende laadpalen in de buurt</w:t>
            </w:r>
          </w:p>
        </w:tc>
        <w:tc>
          <w:tcPr>
            <w:tcW w:w="607" w:type="pct"/>
          </w:tcPr>
          <w:p w14:paraId="3D4BEF27" w14:textId="77777777" w:rsidR="002D0DAE" w:rsidRPr="006F7844" w:rsidRDefault="002D0DAE" w:rsidP="002D0DA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2060"/>
                <w:sz w:val="20"/>
                <w:szCs w:val="20"/>
                <w:lang w:eastAsia="nl-NL"/>
              </w:rPr>
            </w:pPr>
            <w:r w:rsidRPr="006F7844">
              <w:rPr>
                <w:rFonts w:eastAsia="Times New Roman" w:cstheme="minorHAnsi"/>
                <w:color w:val="002060"/>
                <w:sz w:val="20"/>
                <w:szCs w:val="20"/>
                <w:lang w:eastAsia="nl-NL"/>
              </w:rPr>
              <w:t>40%</w:t>
            </w:r>
          </w:p>
        </w:tc>
        <w:tc>
          <w:tcPr>
            <w:tcW w:w="1136" w:type="pct"/>
            <w:noWrap/>
          </w:tcPr>
          <w:p w14:paraId="2522841C" w14:textId="77777777" w:rsidR="002D0DAE" w:rsidRPr="006F7844" w:rsidRDefault="002D0DAE" w:rsidP="002D0DA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2060"/>
                <w:sz w:val="20"/>
                <w:szCs w:val="20"/>
                <w:lang w:eastAsia="nl-NL"/>
              </w:rPr>
            </w:pPr>
            <w:r w:rsidRPr="006F7844">
              <w:rPr>
                <w:rFonts w:eastAsia="Times New Roman" w:cstheme="minorHAnsi"/>
                <w:color w:val="002060"/>
                <w:sz w:val="20"/>
                <w:szCs w:val="20"/>
                <w:lang w:eastAsia="nl-NL"/>
              </w:rPr>
              <w:t>23%</w:t>
            </w:r>
          </w:p>
        </w:tc>
        <w:tc>
          <w:tcPr>
            <w:tcW w:w="1137" w:type="pct"/>
          </w:tcPr>
          <w:p w14:paraId="3832F0F3" w14:textId="77777777" w:rsidR="002D0DAE" w:rsidRPr="006F7844" w:rsidRDefault="002D0DAE" w:rsidP="002D0DA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2060"/>
                <w:sz w:val="20"/>
                <w:szCs w:val="20"/>
                <w:lang w:eastAsia="nl-NL"/>
              </w:rPr>
            </w:pPr>
            <w:r w:rsidRPr="006F7844">
              <w:rPr>
                <w:rFonts w:eastAsia="Times New Roman" w:cstheme="minorHAnsi"/>
                <w:color w:val="002060"/>
                <w:sz w:val="20"/>
                <w:szCs w:val="20"/>
                <w:lang w:eastAsia="nl-NL"/>
              </w:rPr>
              <w:t>30%</w:t>
            </w:r>
          </w:p>
        </w:tc>
      </w:tr>
    </w:tbl>
    <w:p w14:paraId="77876506" w14:textId="633684EA" w:rsidR="00C30967" w:rsidRDefault="00C30967" w:rsidP="00C30967">
      <w:pPr>
        <w:spacing w:after="0" w:line="240" w:lineRule="auto"/>
        <w:jc w:val="both"/>
        <w:rPr>
          <w:rFonts w:cstheme="minorHAnsi"/>
          <w:color w:val="2C307E"/>
        </w:rPr>
      </w:pPr>
      <w:r>
        <w:rPr>
          <w:rFonts w:cstheme="minorHAnsi"/>
          <w:color w:val="2C307E"/>
        </w:rPr>
        <w:t xml:space="preserve">Het al dan niet ervaren van knelpunten maakt bij het openbaar laden in de buurt van de woning uit: er wordt ruim een punt hoger gegeven door </w:t>
      </w:r>
      <w:r w:rsidR="008A1648">
        <w:rPr>
          <w:rFonts w:cstheme="minorHAnsi"/>
          <w:color w:val="2C307E"/>
        </w:rPr>
        <w:t>EV-rijders</w:t>
      </w:r>
      <w:r>
        <w:rPr>
          <w:rFonts w:cstheme="minorHAnsi"/>
          <w:color w:val="2C307E"/>
        </w:rPr>
        <w:t xml:space="preserve"> die geen knelpunten ervaren ten opzichte van degenen die wel knelpunten meemaken. Bij het openbaar laden elders is dit verschil kleiner. </w:t>
      </w:r>
    </w:p>
    <w:p w14:paraId="4FCCAC88" w14:textId="77777777" w:rsidR="006250E1" w:rsidRDefault="006250E1" w:rsidP="006250E1">
      <w:pPr>
        <w:spacing w:after="0" w:line="240" w:lineRule="auto"/>
        <w:jc w:val="both"/>
        <w:rPr>
          <w:rFonts w:cstheme="minorHAnsi"/>
          <w:b/>
          <w:bCs/>
          <w:color w:val="2C307E"/>
        </w:rPr>
      </w:pPr>
    </w:p>
    <w:p w14:paraId="0F13C7CE" w14:textId="267ACB0E" w:rsidR="006250E1" w:rsidRDefault="006250E1" w:rsidP="006250E1">
      <w:pPr>
        <w:spacing w:after="0" w:line="240" w:lineRule="auto"/>
        <w:jc w:val="both"/>
        <w:rPr>
          <w:rFonts w:cstheme="minorHAnsi"/>
          <w:b/>
          <w:bCs/>
          <w:color w:val="2C307E"/>
        </w:rPr>
      </w:pPr>
      <w:r>
        <w:rPr>
          <w:rFonts w:cstheme="minorHAnsi"/>
          <w:b/>
          <w:bCs/>
          <w:color w:val="2C307E"/>
        </w:rPr>
        <w:t>Hoe vaak komt het knelpunt voor?</w:t>
      </w:r>
    </w:p>
    <w:p w14:paraId="04E4D500" w14:textId="7EFBCDE6" w:rsidR="006250E1" w:rsidRDefault="003865FF" w:rsidP="006250E1">
      <w:pPr>
        <w:spacing w:after="0" w:line="240" w:lineRule="auto"/>
        <w:jc w:val="both"/>
        <w:rPr>
          <w:rFonts w:cstheme="minorHAnsi"/>
          <w:color w:val="2C307E"/>
        </w:rPr>
      </w:pPr>
      <w:r>
        <w:rPr>
          <w:rFonts w:cstheme="minorHAnsi"/>
          <w:color w:val="2C307E"/>
        </w:rPr>
        <w:t>Er is</w:t>
      </w:r>
      <w:r w:rsidR="006250E1">
        <w:rPr>
          <w:rFonts w:cstheme="minorHAnsi"/>
          <w:color w:val="2C307E"/>
        </w:rPr>
        <w:t xml:space="preserve"> gevraagd welke knelpunten </w:t>
      </w:r>
      <w:r>
        <w:rPr>
          <w:rFonts w:cstheme="minorHAnsi"/>
          <w:color w:val="2C307E"/>
        </w:rPr>
        <w:t>EV-rijders</w:t>
      </w:r>
      <w:r w:rsidR="006250E1">
        <w:rPr>
          <w:rFonts w:cstheme="minorHAnsi"/>
          <w:color w:val="2C307E"/>
        </w:rPr>
        <w:t xml:space="preserve"> ervaren, maar ook in hoeveel </w:t>
      </w:r>
      <w:r>
        <w:rPr>
          <w:rFonts w:cstheme="minorHAnsi"/>
          <w:color w:val="2C307E"/>
        </w:rPr>
        <w:t>procent</w:t>
      </w:r>
      <w:r w:rsidR="006250E1">
        <w:rPr>
          <w:rFonts w:cstheme="minorHAnsi"/>
          <w:color w:val="2C307E"/>
        </w:rPr>
        <w:t xml:space="preserve"> van de laadsessies deze voorkom</w:t>
      </w:r>
      <w:r w:rsidR="00E12E5E">
        <w:rPr>
          <w:rFonts w:cstheme="minorHAnsi"/>
          <w:color w:val="2C307E"/>
        </w:rPr>
        <w:t>en</w:t>
      </w:r>
      <w:r w:rsidR="006250E1">
        <w:rPr>
          <w:rFonts w:cstheme="minorHAnsi"/>
          <w:color w:val="2C307E"/>
        </w:rPr>
        <w:t xml:space="preserve">. Het kan dus zijn dat een </w:t>
      </w:r>
      <w:r w:rsidR="008F5FB2">
        <w:rPr>
          <w:rFonts w:cstheme="minorHAnsi"/>
          <w:color w:val="2C307E"/>
        </w:rPr>
        <w:t>knel</w:t>
      </w:r>
      <w:r w:rsidR="006250E1">
        <w:rPr>
          <w:rFonts w:cstheme="minorHAnsi"/>
          <w:color w:val="2C307E"/>
        </w:rPr>
        <w:t xml:space="preserve">punt </w:t>
      </w:r>
      <w:r w:rsidR="00937930">
        <w:rPr>
          <w:rFonts w:cstheme="minorHAnsi"/>
          <w:color w:val="2C307E"/>
        </w:rPr>
        <w:t xml:space="preserve">weliswaar </w:t>
      </w:r>
      <w:r w:rsidR="006250E1">
        <w:rPr>
          <w:rFonts w:cstheme="minorHAnsi"/>
          <w:color w:val="2C307E"/>
        </w:rPr>
        <w:t>vaak wordt genoemd, maar dat het in relatief weinig sessies voorkomt.</w:t>
      </w:r>
    </w:p>
    <w:p w14:paraId="2441FEDF" w14:textId="77777777" w:rsidR="00C30967" w:rsidRDefault="00C30967" w:rsidP="00B2226E">
      <w:pPr>
        <w:spacing w:after="0" w:line="276" w:lineRule="auto"/>
        <w:jc w:val="both"/>
        <w:rPr>
          <w:rFonts w:cstheme="minorHAnsi"/>
          <w:b/>
          <w:bCs/>
          <w:color w:val="2C307E"/>
        </w:rPr>
      </w:pPr>
    </w:p>
    <w:p w14:paraId="36853027" w14:textId="77777777" w:rsidR="006250E1" w:rsidRDefault="006250E1" w:rsidP="00B2226E">
      <w:pPr>
        <w:spacing w:after="0" w:line="276" w:lineRule="auto"/>
        <w:jc w:val="both"/>
        <w:rPr>
          <w:rFonts w:cstheme="minorHAnsi"/>
          <w:b/>
          <w:bCs/>
          <w:color w:val="2C307E"/>
        </w:rPr>
      </w:pPr>
    </w:p>
    <w:p w14:paraId="2ADBF1AD" w14:textId="77777777" w:rsidR="006250E1" w:rsidRDefault="006250E1" w:rsidP="00B2226E">
      <w:pPr>
        <w:spacing w:after="0" w:line="276" w:lineRule="auto"/>
        <w:jc w:val="both"/>
        <w:rPr>
          <w:rFonts w:cstheme="minorHAnsi"/>
          <w:b/>
          <w:bCs/>
          <w:color w:val="2C307E"/>
        </w:rPr>
      </w:pPr>
    </w:p>
    <w:p w14:paraId="31F548C8" w14:textId="77777777" w:rsidR="006250E1" w:rsidRDefault="006250E1" w:rsidP="00B2226E">
      <w:pPr>
        <w:spacing w:after="0" w:line="276" w:lineRule="auto"/>
        <w:jc w:val="both"/>
        <w:rPr>
          <w:rFonts w:cstheme="minorHAnsi"/>
          <w:b/>
          <w:bCs/>
          <w:color w:val="2C307E"/>
        </w:rPr>
      </w:pPr>
    </w:p>
    <w:p w14:paraId="59A0CDF3" w14:textId="77777777" w:rsidR="006250E1" w:rsidRDefault="006250E1" w:rsidP="00B2226E">
      <w:pPr>
        <w:spacing w:after="0" w:line="276" w:lineRule="auto"/>
        <w:jc w:val="both"/>
        <w:rPr>
          <w:rFonts w:cstheme="minorHAnsi"/>
          <w:b/>
          <w:bCs/>
          <w:color w:val="2C307E"/>
        </w:rPr>
      </w:pPr>
    </w:p>
    <w:p w14:paraId="1102C439" w14:textId="0085B373" w:rsidR="00712417" w:rsidRPr="00B46DF2" w:rsidRDefault="00712417" w:rsidP="00B2226E">
      <w:pPr>
        <w:spacing w:after="0" w:line="276" w:lineRule="auto"/>
        <w:jc w:val="both"/>
        <w:rPr>
          <w:rFonts w:cstheme="minorHAnsi"/>
          <w:b/>
          <w:bCs/>
          <w:color w:val="2C307E"/>
        </w:rPr>
      </w:pPr>
      <w:bookmarkStart w:id="67" w:name="_Hlk206688224"/>
      <w:r w:rsidRPr="00B46DF2">
        <w:rPr>
          <w:rFonts w:cstheme="minorHAnsi"/>
          <w:b/>
          <w:bCs/>
          <w:color w:val="2C307E"/>
        </w:rPr>
        <w:t>EV-rijders ervaren steeds minder knelpunten bij openbaar laden</w:t>
      </w:r>
      <w:r w:rsidR="00340662" w:rsidRPr="00B46DF2">
        <w:rPr>
          <w:rFonts w:cstheme="minorHAnsi"/>
          <w:b/>
          <w:bCs/>
          <w:color w:val="2C307E"/>
        </w:rPr>
        <w:t>.</w:t>
      </w:r>
      <w:bookmarkEnd w:id="67"/>
      <w:r w:rsidRPr="00B46DF2">
        <w:rPr>
          <w:rFonts w:cstheme="minorHAnsi"/>
          <w:b/>
          <w:bCs/>
          <w:color w:val="2C307E"/>
        </w:rPr>
        <w:t xml:space="preserve"> [N=</w:t>
      </w:r>
      <w:r w:rsidR="003F2F62">
        <w:rPr>
          <w:rFonts w:cstheme="minorHAnsi"/>
          <w:b/>
          <w:bCs/>
          <w:color w:val="2C307E"/>
        </w:rPr>
        <w:t>1</w:t>
      </w:r>
      <w:r w:rsidRPr="00B46DF2">
        <w:rPr>
          <w:rFonts w:cstheme="minorHAnsi"/>
          <w:b/>
          <w:bCs/>
          <w:color w:val="2C307E"/>
        </w:rPr>
        <w:t>.1</w:t>
      </w:r>
      <w:r w:rsidR="003F2F62">
        <w:rPr>
          <w:rFonts w:cstheme="minorHAnsi"/>
          <w:b/>
          <w:bCs/>
          <w:color w:val="2C307E"/>
        </w:rPr>
        <w:t>43</w:t>
      </w:r>
      <w:r w:rsidRPr="00B46DF2">
        <w:rPr>
          <w:rFonts w:cstheme="minorHAnsi"/>
          <w:b/>
          <w:bCs/>
          <w:color w:val="2C307E"/>
        </w:rPr>
        <w:t>]</w:t>
      </w:r>
    </w:p>
    <w:p w14:paraId="6AA0CC23" w14:textId="77777777" w:rsidR="00A4282E" w:rsidRDefault="00B46DF2" w:rsidP="00A72498">
      <w:pPr>
        <w:spacing w:after="0" w:line="240" w:lineRule="auto"/>
        <w:jc w:val="both"/>
        <w:rPr>
          <w:rFonts w:cstheme="minorHAnsi"/>
          <w:color w:val="2C307E"/>
        </w:rPr>
      </w:pPr>
      <w:r>
        <w:rPr>
          <w:rFonts w:cstheme="minorHAnsi"/>
          <w:color w:val="2C307E"/>
        </w:rPr>
        <w:t xml:space="preserve">55% van de respondenten ervaart weleens knelpunten bij het openbaar laden van de EV. Vorig jaar gaf </w:t>
      </w:r>
      <w:r w:rsidR="007638BF">
        <w:rPr>
          <w:rFonts w:cstheme="minorHAnsi"/>
          <w:color w:val="2C307E"/>
        </w:rPr>
        <w:t>6</w:t>
      </w:r>
      <w:r>
        <w:rPr>
          <w:rFonts w:cstheme="minorHAnsi"/>
          <w:color w:val="2C307E"/>
        </w:rPr>
        <w:t xml:space="preserve">0% aan </w:t>
      </w:r>
      <w:r w:rsidR="007638BF">
        <w:rPr>
          <w:rFonts w:cstheme="minorHAnsi"/>
          <w:color w:val="2C307E"/>
        </w:rPr>
        <w:t>weleens</w:t>
      </w:r>
      <w:r>
        <w:rPr>
          <w:rFonts w:cstheme="minorHAnsi"/>
          <w:color w:val="2C307E"/>
        </w:rPr>
        <w:t xml:space="preserve"> knelpunten te ervaren, en in 2023 was dit nog </w:t>
      </w:r>
      <w:r w:rsidR="007638BF">
        <w:rPr>
          <w:rFonts w:cstheme="minorHAnsi"/>
          <w:color w:val="2C307E"/>
        </w:rPr>
        <w:t>68</w:t>
      </w:r>
      <w:r>
        <w:rPr>
          <w:rFonts w:cstheme="minorHAnsi"/>
          <w:color w:val="2C307E"/>
        </w:rPr>
        <w:t xml:space="preserve">%. De groep EV-rijders die </w:t>
      </w:r>
      <w:r w:rsidR="00A358B3">
        <w:rPr>
          <w:rFonts w:cstheme="minorHAnsi"/>
          <w:color w:val="2C307E"/>
        </w:rPr>
        <w:t xml:space="preserve">weleens </w:t>
      </w:r>
      <w:r>
        <w:rPr>
          <w:rFonts w:cstheme="minorHAnsi"/>
          <w:color w:val="2C307E"/>
        </w:rPr>
        <w:t xml:space="preserve">knelpunten ervaart bij het openbaar laden neemt over de jaren heen </w:t>
      </w:r>
      <w:r w:rsidR="00E12E5E">
        <w:rPr>
          <w:rFonts w:cstheme="minorHAnsi"/>
          <w:color w:val="2C307E"/>
        </w:rPr>
        <w:t xml:space="preserve">gestaag </w:t>
      </w:r>
      <w:r>
        <w:rPr>
          <w:rFonts w:cstheme="minorHAnsi"/>
          <w:color w:val="2C307E"/>
        </w:rPr>
        <w:t>af.</w:t>
      </w:r>
    </w:p>
    <w:p w14:paraId="1B9A1B02" w14:textId="4468AE84" w:rsidR="00A72498" w:rsidRDefault="00BA1AD0" w:rsidP="00A72498">
      <w:pPr>
        <w:spacing w:after="0" w:line="240" w:lineRule="auto"/>
        <w:jc w:val="both"/>
        <w:rPr>
          <w:rFonts w:cstheme="minorHAnsi"/>
          <w:color w:val="2C307E"/>
          <w:highlight w:val="yellow"/>
        </w:rPr>
      </w:pPr>
      <w:r>
        <w:rPr>
          <w:noProof/>
        </w:rPr>
        <w:drawing>
          <wp:inline distT="0" distB="0" distL="0" distR="0" wp14:anchorId="456BA58F" wp14:editId="57411BAC">
            <wp:extent cx="2655570" cy="2751151"/>
            <wp:effectExtent l="0" t="0" r="0" b="0"/>
            <wp:docPr id="1267203791" name="Grafiek 1">
              <a:extLst xmlns:a="http://schemas.openxmlformats.org/drawingml/2006/main">
                <a:ext uri="{FF2B5EF4-FFF2-40B4-BE49-F238E27FC236}">
                  <a16:creationId xmlns:a16="http://schemas.microsoft.com/office/drawing/2014/main" id="{84BF13E8-F398-2A22-1FC4-129191166ED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14:paraId="7412F69D" w14:textId="07EF92EB" w:rsidR="00A72498" w:rsidRPr="000B41C5" w:rsidRDefault="008A1648" w:rsidP="002D0DAE">
      <w:pPr>
        <w:spacing w:after="0" w:line="240" w:lineRule="auto"/>
        <w:jc w:val="both"/>
        <w:rPr>
          <w:rFonts w:cstheme="minorHAnsi"/>
          <w:color w:val="2C307E"/>
        </w:rPr>
      </w:pPr>
      <w:r>
        <w:rPr>
          <w:rFonts w:cstheme="minorHAnsi"/>
          <w:color w:val="2C307E"/>
        </w:rPr>
        <w:t>EV-rijders</w:t>
      </w:r>
      <w:r w:rsidR="002D2361">
        <w:rPr>
          <w:rFonts w:cstheme="minorHAnsi"/>
          <w:color w:val="2C307E"/>
        </w:rPr>
        <w:t xml:space="preserve"> </w:t>
      </w:r>
      <w:r w:rsidR="00880A06">
        <w:rPr>
          <w:rFonts w:cstheme="minorHAnsi"/>
          <w:color w:val="2C307E"/>
        </w:rPr>
        <w:t xml:space="preserve">die het knelpunt ervaren </w:t>
      </w:r>
      <w:r w:rsidR="00311CB0">
        <w:rPr>
          <w:rFonts w:cstheme="minorHAnsi"/>
          <w:color w:val="2C307E"/>
        </w:rPr>
        <w:t xml:space="preserve">dat een laadpunt defect is </w:t>
      </w:r>
      <w:r w:rsidR="002D2361">
        <w:rPr>
          <w:rFonts w:cstheme="minorHAnsi"/>
          <w:color w:val="2C307E"/>
        </w:rPr>
        <w:t>geven aan dat</w:t>
      </w:r>
      <w:r w:rsidR="00311CB0">
        <w:rPr>
          <w:rFonts w:cstheme="minorHAnsi"/>
          <w:color w:val="2C307E"/>
        </w:rPr>
        <w:t xml:space="preserve"> dit</w:t>
      </w:r>
      <w:r w:rsidR="002D2361">
        <w:rPr>
          <w:rFonts w:cstheme="minorHAnsi"/>
          <w:color w:val="2C307E"/>
        </w:rPr>
        <w:t xml:space="preserve"> bij 1</w:t>
      </w:r>
      <w:r w:rsidR="00742496">
        <w:rPr>
          <w:rFonts w:cstheme="minorHAnsi"/>
          <w:color w:val="2C307E"/>
        </w:rPr>
        <w:t>2</w:t>
      </w:r>
      <w:r w:rsidR="002D2361">
        <w:rPr>
          <w:rFonts w:cstheme="minorHAnsi"/>
          <w:color w:val="2C307E"/>
        </w:rPr>
        <w:t>% van de laadbeurten</w:t>
      </w:r>
      <w:r w:rsidR="007638BF">
        <w:rPr>
          <w:rFonts w:cstheme="minorHAnsi"/>
          <w:color w:val="2C307E"/>
        </w:rPr>
        <w:t xml:space="preserve"> het </w:t>
      </w:r>
      <w:r w:rsidR="00311CB0">
        <w:rPr>
          <w:rFonts w:cstheme="minorHAnsi"/>
          <w:color w:val="2C307E"/>
        </w:rPr>
        <w:t>geval is</w:t>
      </w:r>
      <w:r w:rsidR="002D2361">
        <w:rPr>
          <w:rFonts w:cstheme="minorHAnsi"/>
          <w:color w:val="2C307E"/>
        </w:rPr>
        <w:t xml:space="preserve"> en ervaren dit als het meest hinderlijke knelpunt bij het openbaar laden. Logischerwijs wordt een bezette laadplek door een brandstofauto hinderlijker ervaren dan wanneer er een EV op de laadplek staat. </w:t>
      </w:r>
      <w:r w:rsidR="003865FF">
        <w:rPr>
          <w:rFonts w:cstheme="minorHAnsi"/>
          <w:color w:val="2C307E"/>
        </w:rPr>
        <w:t>L</w:t>
      </w:r>
      <w:r w:rsidR="002D2361">
        <w:rPr>
          <w:rFonts w:cstheme="minorHAnsi"/>
          <w:color w:val="2C307E"/>
        </w:rPr>
        <w:t xml:space="preserve">aadpaalkleven </w:t>
      </w:r>
      <w:r w:rsidR="007638BF">
        <w:rPr>
          <w:rFonts w:cstheme="minorHAnsi"/>
          <w:color w:val="2C307E"/>
        </w:rPr>
        <w:t xml:space="preserve">wordt </w:t>
      </w:r>
      <w:r w:rsidR="002D2361">
        <w:rPr>
          <w:rFonts w:cstheme="minorHAnsi"/>
          <w:color w:val="2C307E"/>
        </w:rPr>
        <w:t>als minder hinderlijk ervaren dan een bezette laadplek door een ladende EV. Mogelijk is dit te verklaren door het minder vaak voorkomen van laadpaalkleven (1</w:t>
      </w:r>
      <w:r w:rsidR="007638BF">
        <w:rPr>
          <w:rFonts w:cstheme="minorHAnsi"/>
          <w:color w:val="2C307E"/>
        </w:rPr>
        <w:t>9</w:t>
      </w:r>
      <w:r w:rsidR="002D2361">
        <w:rPr>
          <w:rFonts w:cstheme="minorHAnsi"/>
          <w:color w:val="2C307E"/>
        </w:rPr>
        <w:t>% tegenover 2</w:t>
      </w:r>
      <w:r w:rsidR="007638BF">
        <w:rPr>
          <w:rFonts w:cstheme="minorHAnsi"/>
          <w:color w:val="2C307E"/>
        </w:rPr>
        <w:t>5</w:t>
      </w:r>
      <w:r w:rsidR="002D2361">
        <w:rPr>
          <w:rFonts w:cstheme="minorHAnsi"/>
          <w:color w:val="2C307E"/>
        </w:rPr>
        <w:t xml:space="preserve">%). </w:t>
      </w:r>
    </w:p>
    <w:p w14:paraId="3F60719A" w14:textId="77777777" w:rsidR="00DB7DCD" w:rsidRDefault="00AC2829">
      <w:pPr>
        <w:rPr>
          <w:rFonts w:cstheme="minorHAnsi"/>
          <w:b/>
          <w:bCs/>
          <w:color w:val="2C307E"/>
        </w:rPr>
      </w:pPr>
      <w:bookmarkStart w:id="68" w:name="_Hlk206688113"/>
      <w:r>
        <w:rPr>
          <w:rFonts w:cstheme="minorHAnsi"/>
          <w:b/>
          <w:bCs/>
          <w:noProof/>
          <w:color w:val="2C307E"/>
        </w:rPr>
        <w:lastRenderedPageBreak/>
        <w:drawing>
          <wp:anchor distT="0" distB="0" distL="114300" distR="114300" simplePos="0" relativeHeight="251658258" behindDoc="0" locked="0" layoutInCell="1" allowOverlap="1" wp14:anchorId="6669A6F2" wp14:editId="24B0E49E">
            <wp:simplePos x="0" y="0"/>
            <wp:positionH relativeFrom="column">
              <wp:posOffset>-1270</wp:posOffset>
            </wp:positionH>
            <wp:positionV relativeFrom="paragraph">
              <wp:posOffset>0</wp:posOffset>
            </wp:positionV>
            <wp:extent cx="5760000" cy="3595320"/>
            <wp:effectExtent l="0" t="0" r="0" b="5715"/>
            <wp:wrapSquare wrapText="bothSides"/>
            <wp:docPr id="290493449"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91">
                      <a:extLst>
                        <a:ext uri="{28A0092B-C50C-407E-A947-70E740481C1C}">
                          <a14:useLocalDpi xmlns:a14="http://schemas.microsoft.com/office/drawing/2010/main" val="0"/>
                        </a:ext>
                      </a:extLst>
                    </a:blip>
                    <a:srcRect l="5173" r="1554"/>
                    <a:stretch>
                      <a:fillRect/>
                    </a:stretch>
                  </pic:blipFill>
                  <pic:spPr bwMode="auto">
                    <a:xfrm>
                      <a:off x="0" y="0"/>
                      <a:ext cx="5760000" cy="35953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bl>
      <w:tblPr>
        <w:tblStyle w:val="Tabelrasterlicht"/>
        <w:tblpPr w:leftFromText="141" w:rightFromText="141" w:vertAnchor="text" w:horzAnchor="margin" w:tblpY="36"/>
        <w:tblW w:w="4533" w:type="dxa"/>
        <w:tblLook w:val="04A0" w:firstRow="1" w:lastRow="0" w:firstColumn="1" w:lastColumn="0" w:noHBand="0" w:noVBand="1"/>
      </w:tblPr>
      <w:tblGrid>
        <w:gridCol w:w="419"/>
        <w:gridCol w:w="4254"/>
      </w:tblGrid>
      <w:tr w:rsidR="0001091B" w:rsidRPr="00AF6132" w14:paraId="2037F47F" w14:textId="77777777" w:rsidTr="00681FEE">
        <w:trPr>
          <w:trHeight w:val="365"/>
        </w:trPr>
        <w:tc>
          <w:tcPr>
            <w:tcW w:w="279" w:type="dxa"/>
            <w:noWrap/>
            <w:vAlign w:val="bottom"/>
          </w:tcPr>
          <w:p w14:paraId="32298B5A" w14:textId="77777777" w:rsidR="0001091B" w:rsidRPr="00DB067E" w:rsidRDefault="0001091B" w:rsidP="0001091B">
            <w:pPr>
              <w:rPr>
                <w:rFonts w:eastAsia="Times New Roman" w:cstheme="minorHAnsi"/>
                <w:b/>
                <w:bCs/>
                <w:color w:val="2C307E"/>
                <w:sz w:val="20"/>
                <w:szCs w:val="20"/>
                <w:lang w:eastAsia="nl-NL"/>
              </w:rPr>
            </w:pPr>
          </w:p>
        </w:tc>
        <w:tc>
          <w:tcPr>
            <w:tcW w:w="4254" w:type="dxa"/>
            <w:noWrap/>
            <w:vAlign w:val="bottom"/>
          </w:tcPr>
          <w:p w14:paraId="7ED3D8FA" w14:textId="77777777" w:rsidR="0001091B" w:rsidRPr="00DB067E" w:rsidRDefault="0001091B" w:rsidP="0001091B">
            <w:pPr>
              <w:rPr>
                <w:rFonts w:eastAsia="Times New Roman" w:cstheme="minorHAnsi"/>
                <w:b/>
                <w:bCs/>
                <w:color w:val="2C307E"/>
                <w:sz w:val="20"/>
                <w:szCs w:val="20"/>
                <w:lang w:eastAsia="nl-NL"/>
              </w:rPr>
            </w:pPr>
            <w:r w:rsidRPr="00DB067E">
              <w:rPr>
                <w:rFonts w:eastAsia="Times New Roman" w:cstheme="minorHAnsi"/>
                <w:b/>
                <w:bCs/>
                <w:color w:val="2C307E"/>
                <w:sz w:val="20"/>
                <w:szCs w:val="20"/>
                <w:lang w:eastAsia="nl-NL"/>
              </w:rPr>
              <w:t>Knelpunt</w:t>
            </w:r>
          </w:p>
        </w:tc>
      </w:tr>
      <w:tr w:rsidR="0001091B" w:rsidRPr="00AF6132" w14:paraId="64B67584" w14:textId="77777777" w:rsidTr="00681FEE">
        <w:trPr>
          <w:trHeight w:val="365"/>
        </w:trPr>
        <w:tc>
          <w:tcPr>
            <w:tcW w:w="279" w:type="dxa"/>
            <w:noWrap/>
            <w:hideMark/>
          </w:tcPr>
          <w:p w14:paraId="1DAB616A" w14:textId="77777777" w:rsidR="0001091B" w:rsidRPr="00DB067E" w:rsidRDefault="0001091B" w:rsidP="0001091B">
            <w:pPr>
              <w:jc w:val="both"/>
              <w:rPr>
                <w:rFonts w:eastAsia="Times New Roman" w:cstheme="minorHAnsi"/>
                <w:b/>
                <w:bCs/>
                <w:color w:val="2C307E"/>
                <w:sz w:val="20"/>
                <w:szCs w:val="20"/>
                <w:lang w:eastAsia="nl-NL"/>
              </w:rPr>
            </w:pPr>
            <w:r w:rsidRPr="00DB067E">
              <w:rPr>
                <w:rFonts w:eastAsia="Times New Roman" w:cstheme="minorHAnsi"/>
                <w:b/>
                <w:bCs/>
                <w:color w:val="2C307E"/>
                <w:sz w:val="20"/>
                <w:szCs w:val="20"/>
                <w:lang w:eastAsia="nl-NL"/>
              </w:rPr>
              <w:t>1</w:t>
            </w:r>
          </w:p>
        </w:tc>
        <w:tc>
          <w:tcPr>
            <w:tcW w:w="4254" w:type="dxa"/>
            <w:noWrap/>
            <w:hideMark/>
          </w:tcPr>
          <w:p w14:paraId="52C4D89A" w14:textId="77777777" w:rsidR="0001091B" w:rsidRPr="00DB067E" w:rsidRDefault="0001091B" w:rsidP="0001091B">
            <w:pPr>
              <w:jc w:val="both"/>
              <w:rPr>
                <w:rFonts w:eastAsia="Times New Roman" w:cstheme="minorHAnsi"/>
                <w:color w:val="2C307E"/>
                <w:sz w:val="20"/>
                <w:szCs w:val="20"/>
                <w:lang w:eastAsia="nl-NL"/>
              </w:rPr>
            </w:pPr>
            <w:r w:rsidRPr="00DB067E">
              <w:rPr>
                <w:rFonts w:eastAsia="Times New Roman" w:cstheme="minorHAnsi"/>
                <w:color w:val="2C307E"/>
                <w:sz w:val="20"/>
                <w:szCs w:val="20"/>
                <w:lang w:eastAsia="nl-NL"/>
              </w:rPr>
              <w:t xml:space="preserve">Er zijn niet voldoende laadpalen in de buurt </w:t>
            </w:r>
          </w:p>
        </w:tc>
      </w:tr>
      <w:tr w:rsidR="0001091B" w:rsidRPr="00AF6132" w14:paraId="52870B1B" w14:textId="77777777" w:rsidTr="00681FEE">
        <w:trPr>
          <w:trHeight w:val="365"/>
        </w:trPr>
        <w:tc>
          <w:tcPr>
            <w:tcW w:w="279" w:type="dxa"/>
            <w:noWrap/>
            <w:hideMark/>
          </w:tcPr>
          <w:p w14:paraId="46C74688" w14:textId="77777777" w:rsidR="0001091B" w:rsidRPr="00DB067E" w:rsidRDefault="0001091B" w:rsidP="0001091B">
            <w:pPr>
              <w:jc w:val="both"/>
              <w:rPr>
                <w:rFonts w:eastAsia="Times New Roman" w:cstheme="minorHAnsi"/>
                <w:b/>
                <w:bCs/>
                <w:color w:val="2C307E"/>
                <w:sz w:val="20"/>
                <w:szCs w:val="20"/>
                <w:lang w:eastAsia="nl-NL"/>
              </w:rPr>
            </w:pPr>
            <w:r w:rsidRPr="00DB067E">
              <w:rPr>
                <w:rFonts w:eastAsia="Times New Roman" w:cstheme="minorHAnsi"/>
                <w:b/>
                <w:bCs/>
                <w:color w:val="2C307E"/>
                <w:sz w:val="20"/>
                <w:szCs w:val="20"/>
                <w:lang w:eastAsia="nl-NL"/>
              </w:rPr>
              <w:t>2</w:t>
            </w:r>
          </w:p>
        </w:tc>
        <w:tc>
          <w:tcPr>
            <w:tcW w:w="4254" w:type="dxa"/>
            <w:noWrap/>
            <w:hideMark/>
          </w:tcPr>
          <w:p w14:paraId="65E9B9BA" w14:textId="77777777" w:rsidR="0001091B" w:rsidRPr="00DB067E" w:rsidRDefault="0001091B" w:rsidP="0001091B">
            <w:pPr>
              <w:jc w:val="both"/>
              <w:rPr>
                <w:rFonts w:eastAsia="Times New Roman" w:cstheme="minorHAnsi"/>
                <w:color w:val="2C307E"/>
                <w:sz w:val="20"/>
                <w:szCs w:val="20"/>
                <w:lang w:eastAsia="nl-NL"/>
              </w:rPr>
            </w:pPr>
            <w:r w:rsidRPr="00DB067E">
              <w:rPr>
                <w:rFonts w:eastAsia="Times New Roman" w:cstheme="minorHAnsi"/>
                <w:color w:val="2C307E"/>
                <w:sz w:val="20"/>
                <w:szCs w:val="20"/>
                <w:lang w:eastAsia="nl-NL"/>
              </w:rPr>
              <w:t xml:space="preserve">Laadpaal is defect  </w:t>
            </w:r>
          </w:p>
        </w:tc>
      </w:tr>
      <w:tr w:rsidR="0001091B" w:rsidRPr="00AF6132" w14:paraId="38C8E950" w14:textId="77777777" w:rsidTr="00681FEE">
        <w:trPr>
          <w:trHeight w:val="365"/>
        </w:trPr>
        <w:tc>
          <w:tcPr>
            <w:tcW w:w="279" w:type="dxa"/>
            <w:noWrap/>
            <w:hideMark/>
          </w:tcPr>
          <w:p w14:paraId="21C1F249" w14:textId="77777777" w:rsidR="0001091B" w:rsidRPr="00DB067E" w:rsidRDefault="0001091B" w:rsidP="0001091B">
            <w:pPr>
              <w:jc w:val="both"/>
              <w:rPr>
                <w:rFonts w:eastAsia="Times New Roman" w:cstheme="minorHAnsi"/>
                <w:b/>
                <w:bCs/>
                <w:color w:val="2C307E"/>
                <w:sz w:val="20"/>
                <w:szCs w:val="20"/>
                <w:lang w:eastAsia="nl-NL"/>
              </w:rPr>
            </w:pPr>
            <w:r w:rsidRPr="00DB067E">
              <w:rPr>
                <w:rFonts w:eastAsia="Times New Roman" w:cstheme="minorHAnsi"/>
                <w:b/>
                <w:bCs/>
                <w:color w:val="2C307E"/>
                <w:sz w:val="20"/>
                <w:szCs w:val="20"/>
                <w:lang w:eastAsia="nl-NL"/>
              </w:rPr>
              <w:t>3</w:t>
            </w:r>
          </w:p>
        </w:tc>
        <w:tc>
          <w:tcPr>
            <w:tcW w:w="4254" w:type="dxa"/>
            <w:noWrap/>
            <w:hideMark/>
          </w:tcPr>
          <w:p w14:paraId="2878AE71" w14:textId="77777777" w:rsidR="0001091B" w:rsidRPr="00DB067E" w:rsidRDefault="0001091B" w:rsidP="0001091B">
            <w:pPr>
              <w:jc w:val="both"/>
              <w:rPr>
                <w:rFonts w:eastAsia="Times New Roman" w:cstheme="minorHAnsi"/>
                <w:color w:val="2C307E"/>
                <w:sz w:val="20"/>
                <w:szCs w:val="20"/>
                <w:lang w:eastAsia="nl-NL"/>
              </w:rPr>
            </w:pPr>
            <w:r w:rsidRPr="00DB067E">
              <w:rPr>
                <w:rFonts w:eastAsia="Times New Roman" w:cstheme="minorHAnsi"/>
                <w:color w:val="2C307E"/>
                <w:sz w:val="20"/>
                <w:szCs w:val="20"/>
                <w:lang w:eastAsia="nl-NL"/>
              </w:rPr>
              <w:t xml:space="preserve">Laadpaal is onvindbaar  </w:t>
            </w:r>
          </w:p>
        </w:tc>
      </w:tr>
      <w:tr w:rsidR="0001091B" w:rsidRPr="00AF6132" w14:paraId="094E1BA9" w14:textId="77777777" w:rsidTr="00681FEE">
        <w:trPr>
          <w:trHeight w:val="365"/>
        </w:trPr>
        <w:tc>
          <w:tcPr>
            <w:tcW w:w="279" w:type="dxa"/>
            <w:noWrap/>
            <w:hideMark/>
          </w:tcPr>
          <w:p w14:paraId="0EAB67C0" w14:textId="77777777" w:rsidR="0001091B" w:rsidRPr="00DB067E" w:rsidRDefault="0001091B" w:rsidP="0001091B">
            <w:pPr>
              <w:jc w:val="both"/>
              <w:rPr>
                <w:rFonts w:eastAsia="Times New Roman" w:cstheme="minorHAnsi"/>
                <w:b/>
                <w:bCs/>
                <w:color w:val="2C307E"/>
                <w:sz w:val="20"/>
                <w:szCs w:val="20"/>
                <w:lang w:eastAsia="nl-NL"/>
              </w:rPr>
            </w:pPr>
            <w:r w:rsidRPr="00DB067E">
              <w:rPr>
                <w:rFonts w:eastAsia="Times New Roman" w:cstheme="minorHAnsi"/>
                <w:b/>
                <w:bCs/>
                <w:color w:val="2C307E"/>
                <w:sz w:val="20"/>
                <w:szCs w:val="20"/>
                <w:lang w:eastAsia="nl-NL"/>
              </w:rPr>
              <w:t>4</w:t>
            </w:r>
          </w:p>
        </w:tc>
        <w:tc>
          <w:tcPr>
            <w:tcW w:w="4254" w:type="dxa"/>
            <w:noWrap/>
            <w:hideMark/>
          </w:tcPr>
          <w:p w14:paraId="60B7E160" w14:textId="77777777" w:rsidR="0001091B" w:rsidRPr="00DB067E" w:rsidRDefault="0001091B" w:rsidP="0001091B">
            <w:pPr>
              <w:jc w:val="both"/>
              <w:rPr>
                <w:rFonts w:eastAsia="Times New Roman" w:cstheme="minorHAnsi"/>
                <w:color w:val="2C307E"/>
                <w:sz w:val="20"/>
                <w:szCs w:val="20"/>
                <w:lang w:eastAsia="nl-NL"/>
              </w:rPr>
            </w:pPr>
            <w:r w:rsidRPr="00DB067E">
              <w:rPr>
                <w:rFonts w:eastAsia="Times New Roman" w:cstheme="minorHAnsi"/>
                <w:color w:val="2C307E"/>
                <w:sz w:val="20"/>
                <w:szCs w:val="20"/>
                <w:lang w:eastAsia="nl-NL"/>
              </w:rPr>
              <w:t xml:space="preserve">Laadplek is bezet door een fossiele brandstofauto  </w:t>
            </w:r>
          </w:p>
        </w:tc>
      </w:tr>
      <w:tr w:rsidR="0001091B" w:rsidRPr="00AF6132" w14:paraId="2BA90007" w14:textId="77777777" w:rsidTr="00681FEE">
        <w:trPr>
          <w:trHeight w:val="365"/>
        </w:trPr>
        <w:tc>
          <w:tcPr>
            <w:tcW w:w="279" w:type="dxa"/>
            <w:noWrap/>
            <w:hideMark/>
          </w:tcPr>
          <w:p w14:paraId="1487D892" w14:textId="77777777" w:rsidR="0001091B" w:rsidRPr="00DB067E" w:rsidRDefault="0001091B" w:rsidP="0001091B">
            <w:pPr>
              <w:jc w:val="both"/>
              <w:rPr>
                <w:rFonts w:eastAsia="Times New Roman" w:cstheme="minorHAnsi"/>
                <w:b/>
                <w:bCs/>
                <w:color w:val="2C307E"/>
                <w:sz w:val="20"/>
                <w:szCs w:val="20"/>
                <w:lang w:eastAsia="nl-NL"/>
              </w:rPr>
            </w:pPr>
            <w:r w:rsidRPr="00DB067E">
              <w:rPr>
                <w:rFonts w:eastAsia="Times New Roman" w:cstheme="minorHAnsi"/>
                <w:b/>
                <w:bCs/>
                <w:color w:val="2C307E"/>
                <w:sz w:val="20"/>
                <w:szCs w:val="20"/>
                <w:lang w:eastAsia="nl-NL"/>
              </w:rPr>
              <w:t>5</w:t>
            </w:r>
          </w:p>
        </w:tc>
        <w:tc>
          <w:tcPr>
            <w:tcW w:w="4254" w:type="dxa"/>
            <w:noWrap/>
            <w:hideMark/>
          </w:tcPr>
          <w:p w14:paraId="3A8C1907" w14:textId="77777777" w:rsidR="0001091B" w:rsidRPr="00DB067E" w:rsidRDefault="0001091B" w:rsidP="0001091B">
            <w:pPr>
              <w:jc w:val="both"/>
              <w:rPr>
                <w:rFonts w:eastAsia="Times New Roman" w:cstheme="minorHAnsi"/>
                <w:color w:val="2C307E"/>
                <w:sz w:val="20"/>
                <w:szCs w:val="20"/>
                <w:lang w:eastAsia="nl-NL"/>
              </w:rPr>
            </w:pPr>
            <w:r w:rsidRPr="00DB067E">
              <w:rPr>
                <w:rFonts w:eastAsia="Times New Roman" w:cstheme="minorHAnsi"/>
                <w:color w:val="2C307E"/>
                <w:sz w:val="20"/>
                <w:szCs w:val="20"/>
                <w:lang w:eastAsia="nl-NL"/>
              </w:rPr>
              <w:t xml:space="preserve">Laadpaal is bezet door een elektrische auto die laadt  </w:t>
            </w:r>
          </w:p>
        </w:tc>
      </w:tr>
      <w:tr w:rsidR="0001091B" w:rsidRPr="00AF6132" w14:paraId="4B202116" w14:textId="77777777" w:rsidTr="00681FEE">
        <w:trPr>
          <w:trHeight w:val="365"/>
        </w:trPr>
        <w:tc>
          <w:tcPr>
            <w:tcW w:w="279" w:type="dxa"/>
            <w:noWrap/>
            <w:hideMark/>
          </w:tcPr>
          <w:p w14:paraId="0D72E842" w14:textId="77777777" w:rsidR="0001091B" w:rsidRPr="00DB067E" w:rsidRDefault="0001091B" w:rsidP="0001091B">
            <w:pPr>
              <w:jc w:val="both"/>
              <w:rPr>
                <w:rFonts w:eastAsia="Times New Roman" w:cstheme="minorHAnsi"/>
                <w:b/>
                <w:bCs/>
                <w:color w:val="2C307E"/>
                <w:sz w:val="20"/>
                <w:szCs w:val="20"/>
                <w:lang w:eastAsia="nl-NL"/>
              </w:rPr>
            </w:pPr>
            <w:r w:rsidRPr="00DB067E">
              <w:rPr>
                <w:rFonts w:eastAsia="Times New Roman" w:cstheme="minorHAnsi"/>
                <w:b/>
                <w:bCs/>
                <w:color w:val="2C307E"/>
                <w:sz w:val="20"/>
                <w:szCs w:val="20"/>
                <w:lang w:eastAsia="nl-NL"/>
              </w:rPr>
              <w:t>6</w:t>
            </w:r>
          </w:p>
        </w:tc>
        <w:tc>
          <w:tcPr>
            <w:tcW w:w="4254" w:type="dxa"/>
            <w:noWrap/>
            <w:hideMark/>
          </w:tcPr>
          <w:p w14:paraId="0C44EC0B" w14:textId="77777777" w:rsidR="0001091B" w:rsidRPr="00DB067E" w:rsidRDefault="0001091B" w:rsidP="0001091B">
            <w:pPr>
              <w:jc w:val="both"/>
              <w:rPr>
                <w:rFonts w:eastAsia="Times New Roman" w:cstheme="minorHAnsi"/>
                <w:color w:val="2C307E"/>
                <w:sz w:val="20"/>
                <w:szCs w:val="20"/>
                <w:lang w:eastAsia="nl-NL"/>
              </w:rPr>
            </w:pPr>
            <w:r w:rsidRPr="00DB067E">
              <w:rPr>
                <w:rFonts w:eastAsia="Times New Roman" w:cstheme="minorHAnsi"/>
                <w:color w:val="2C307E"/>
                <w:sz w:val="20"/>
                <w:szCs w:val="20"/>
                <w:lang w:eastAsia="nl-NL"/>
              </w:rPr>
              <w:t>Laadpaal is bezet door een elektrische auto die niet laadt  (laadpaalkleven)</w:t>
            </w:r>
          </w:p>
        </w:tc>
      </w:tr>
      <w:tr w:rsidR="0001091B" w:rsidRPr="00AF6132" w14:paraId="3C83BE65" w14:textId="77777777" w:rsidTr="00681FEE">
        <w:trPr>
          <w:trHeight w:val="365"/>
        </w:trPr>
        <w:tc>
          <w:tcPr>
            <w:tcW w:w="279" w:type="dxa"/>
            <w:noWrap/>
            <w:hideMark/>
          </w:tcPr>
          <w:p w14:paraId="2AA22096" w14:textId="77777777" w:rsidR="0001091B" w:rsidRPr="00DB067E" w:rsidRDefault="0001091B" w:rsidP="0001091B">
            <w:pPr>
              <w:jc w:val="both"/>
              <w:rPr>
                <w:rFonts w:eastAsia="Times New Roman" w:cstheme="minorHAnsi"/>
                <w:b/>
                <w:bCs/>
                <w:color w:val="2C307E"/>
                <w:sz w:val="20"/>
                <w:szCs w:val="20"/>
                <w:lang w:eastAsia="nl-NL"/>
              </w:rPr>
            </w:pPr>
            <w:r w:rsidRPr="00DB067E">
              <w:rPr>
                <w:rFonts w:eastAsia="Times New Roman" w:cstheme="minorHAnsi"/>
                <w:b/>
                <w:bCs/>
                <w:color w:val="2C307E"/>
                <w:sz w:val="20"/>
                <w:szCs w:val="20"/>
                <w:lang w:eastAsia="nl-NL"/>
              </w:rPr>
              <w:t>7</w:t>
            </w:r>
          </w:p>
        </w:tc>
        <w:tc>
          <w:tcPr>
            <w:tcW w:w="4254" w:type="dxa"/>
            <w:noWrap/>
            <w:hideMark/>
          </w:tcPr>
          <w:p w14:paraId="28C8DAEF" w14:textId="77777777" w:rsidR="0001091B" w:rsidRPr="00DB067E" w:rsidRDefault="0001091B" w:rsidP="0001091B">
            <w:pPr>
              <w:jc w:val="both"/>
              <w:rPr>
                <w:rFonts w:eastAsia="Times New Roman" w:cstheme="minorHAnsi"/>
                <w:color w:val="2C307E"/>
                <w:sz w:val="20"/>
                <w:szCs w:val="20"/>
                <w:lang w:eastAsia="nl-NL"/>
              </w:rPr>
            </w:pPr>
            <w:r w:rsidRPr="00DB067E">
              <w:rPr>
                <w:rFonts w:eastAsia="Times New Roman" w:cstheme="minorHAnsi"/>
                <w:color w:val="2C307E"/>
                <w:sz w:val="20"/>
                <w:szCs w:val="20"/>
                <w:lang w:eastAsia="nl-NL"/>
              </w:rPr>
              <w:t xml:space="preserve">Laadpaal is niet bereikbaar (bijvoorbeeld achter een hek of slagboom)  </w:t>
            </w:r>
          </w:p>
        </w:tc>
      </w:tr>
      <w:tr w:rsidR="0001091B" w:rsidRPr="00AF6132" w14:paraId="2CD4C901" w14:textId="77777777" w:rsidTr="00681FEE">
        <w:trPr>
          <w:trHeight w:val="365"/>
        </w:trPr>
        <w:tc>
          <w:tcPr>
            <w:tcW w:w="279" w:type="dxa"/>
            <w:noWrap/>
            <w:hideMark/>
          </w:tcPr>
          <w:p w14:paraId="252BEBAE" w14:textId="77777777" w:rsidR="0001091B" w:rsidRPr="00DB067E" w:rsidRDefault="0001091B" w:rsidP="0001091B">
            <w:pPr>
              <w:jc w:val="both"/>
              <w:rPr>
                <w:rFonts w:eastAsia="Times New Roman" w:cstheme="minorHAnsi"/>
                <w:b/>
                <w:bCs/>
                <w:color w:val="2C307E"/>
                <w:sz w:val="20"/>
                <w:szCs w:val="20"/>
                <w:lang w:eastAsia="nl-NL"/>
              </w:rPr>
            </w:pPr>
            <w:r w:rsidRPr="00DB067E">
              <w:rPr>
                <w:rFonts w:eastAsia="Times New Roman" w:cstheme="minorHAnsi"/>
                <w:b/>
                <w:bCs/>
                <w:color w:val="2C307E"/>
                <w:sz w:val="20"/>
                <w:szCs w:val="20"/>
                <w:lang w:eastAsia="nl-NL"/>
              </w:rPr>
              <w:t>8</w:t>
            </w:r>
          </w:p>
        </w:tc>
        <w:tc>
          <w:tcPr>
            <w:tcW w:w="4254" w:type="dxa"/>
            <w:noWrap/>
            <w:hideMark/>
          </w:tcPr>
          <w:p w14:paraId="20FD3486" w14:textId="77777777" w:rsidR="0001091B" w:rsidRPr="00DB067E" w:rsidRDefault="0001091B" w:rsidP="0001091B">
            <w:pPr>
              <w:jc w:val="both"/>
              <w:rPr>
                <w:rFonts w:eastAsia="Times New Roman" w:cstheme="minorHAnsi"/>
                <w:color w:val="2C307E"/>
                <w:sz w:val="20"/>
                <w:szCs w:val="20"/>
                <w:lang w:eastAsia="nl-NL"/>
              </w:rPr>
            </w:pPr>
            <w:r w:rsidRPr="00DB067E">
              <w:rPr>
                <w:rFonts w:eastAsia="Times New Roman" w:cstheme="minorHAnsi"/>
                <w:color w:val="2C307E"/>
                <w:sz w:val="20"/>
                <w:szCs w:val="20"/>
                <w:lang w:eastAsia="nl-NL"/>
              </w:rPr>
              <w:t xml:space="preserve">Laadpas/laadapp werkt niet  </w:t>
            </w:r>
          </w:p>
        </w:tc>
      </w:tr>
      <w:tr w:rsidR="0001091B" w:rsidRPr="00AF6132" w14:paraId="17907699" w14:textId="77777777" w:rsidTr="00681FEE">
        <w:trPr>
          <w:trHeight w:val="365"/>
        </w:trPr>
        <w:tc>
          <w:tcPr>
            <w:tcW w:w="279" w:type="dxa"/>
            <w:noWrap/>
            <w:hideMark/>
          </w:tcPr>
          <w:p w14:paraId="7A2FFA69" w14:textId="77777777" w:rsidR="0001091B" w:rsidRPr="00DB067E" w:rsidRDefault="0001091B" w:rsidP="0001091B">
            <w:pPr>
              <w:jc w:val="both"/>
              <w:rPr>
                <w:rFonts w:eastAsia="Times New Roman" w:cstheme="minorHAnsi"/>
                <w:b/>
                <w:bCs/>
                <w:color w:val="2C307E"/>
                <w:sz w:val="20"/>
                <w:szCs w:val="20"/>
                <w:lang w:eastAsia="nl-NL"/>
              </w:rPr>
            </w:pPr>
            <w:r w:rsidRPr="00DB067E">
              <w:rPr>
                <w:rFonts w:eastAsia="Times New Roman" w:cstheme="minorHAnsi"/>
                <w:b/>
                <w:bCs/>
                <w:color w:val="2C307E"/>
                <w:sz w:val="20"/>
                <w:szCs w:val="20"/>
                <w:lang w:eastAsia="nl-NL"/>
              </w:rPr>
              <w:t>9</w:t>
            </w:r>
          </w:p>
        </w:tc>
        <w:tc>
          <w:tcPr>
            <w:tcW w:w="4254" w:type="dxa"/>
            <w:noWrap/>
            <w:hideMark/>
          </w:tcPr>
          <w:p w14:paraId="1DA68030" w14:textId="77777777" w:rsidR="0001091B" w:rsidRPr="00DB067E" w:rsidRDefault="0001091B" w:rsidP="0001091B">
            <w:pPr>
              <w:jc w:val="both"/>
              <w:rPr>
                <w:rFonts w:eastAsia="Times New Roman" w:cstheme="minorHAnsi"/>
                <w:color w:val="2C307E"/>
                <w:sz w:val="20"/>
                <w:szCs w:val="20"/>
                <w:lang w:eastAsia="nl-NL"/>
              </w:rPr>
            </w:pPr>
            <w:r w:rsidRPr="00DB067E">
              <w:rPr>
                <w:rFonts w:eastAsia="Times New Roman" w:cstheme="minorHAnsi"/>
                <w:color w:val="2C307E"/>
                <w:sz w:val="20"/>
                <w:szCs w:val="20"/>
                <w:lang w:eastAsia="nl-NL"/>
              </w:rPr>
              <w:t xml:space="preserve">De laadsessie wordt onderbroken  </w:t>
            </w:r>
          </w:p>
        </w:tc>
      </w:tr>
      <w:tr w:rsidR="0001091B" w:rsidRPr="00AF6132" w14:paraId="4A0DF406" w14:textId="77777777" w:rsidTr="00681FEE">
        <w:trPr>
          <w:trHeight w:val="365"/>
        </w:trPr>
        <w:tc>
          <w:tcPr>
            <w:tcW w:w="279" w:type="dxa"/>
            <w:noWrap/>
            <w:hideMark/>
          </w:tcPr>
          <w:p w14:paraId="1C229829" w14:textId="77777777" w:rsidR="0001091B" w:rsidRPr="00DB067E" w:rsidRDefault="0001091B" w:rsidP="0001091B">
            <w:pPr>
              <w:jc w:val="both"/>
              <w:rPr>
                <w:rFonts w:eastAsia="Times New Roman" w:cstheme="minorHAnsi"/>
                <w:b/>
                <w:bCs/>
                <w:color w:val="2C307E"/>
                <w:sz w:val="20"/>
                <w:szCs w:val="20"/>
                <w:lang w:eastAsia="nl-NL"/>
              </w:rPr>
            </w:pPr>
            <w:r w:rsidRPr="00DB067E">
              <w:rPr>
                <w:rFonts w:eastAsia="Times New Roman" w:cstheme="minorHAnsi"/>
                <w:b/>
                <w:bCs/>
                <w:color w:val="2C307E"/>
                <w:sz w:val="20"/>
                <w:szCs w:val="20"/>
                <w:lang w:eastAsia="nl-NL"/>
              </w:rPr>
              <w:t>10</w:t>
            </w:r>
          </w:p>
        </w:tc>
        <w:tc>
          <w:tcPr>
            <w:tcW w:w="4254" w:type="dxa"/>
            <w:noWrap/>
            <w:hideMark/>
          </w:tcPr>
          <w:p w14:paraId="763428CB" w14:textId="77777777" w:rsidR="0001091B" w:rsidRPr="00DB067E" w:rsidRDefault="0001091B" w:rsidP="0001091B">
            <w:pPr>
              <w:jc w:val="both"/>
              <w:rPr>
                <w:rFonts w:eastAsia="Times New Roman" w:cstheme="minorHAnsi"/>
                <w:color w:val="2C307E"/>
                <w:sz w:val="20"/>
                <w:szCs w:val="20"/>
                <w:lang w:eastAsia="nl-NL"/>
              </w:rPr>
            </w:pPr>
            <w:r w:rsidRPr="00DB067E">
              <w:rPr>
                <w:rFonts w:eastAsia="Times New Roman" w:cstheme="minorHAnsi"/>
                <w:color w:val="2C307E"/>
                <w:sz w:val="20"/>
                <w:szCs w:val="20"/>
                <w:lang w:eastAsia="nl-NL"/>
              </w:rPr>
              <w:t xml:space="preserve">Ik weet niet wat de kosten van laden zijn  </w:t>
            </w:r>
          </w:p>
        </w:tc>
      </w:tr>
      <w:tr w:rsidR="0001091B" w:rsidRPr="00AF6132" w14:paraId="279E278D" w14:textId="77777777" w:rsidTr="00681FEE">
        <w:trPr>
          <w:trHeight w:val="365"/>
        </w:trPr>
        <w:tc>
          <w:tcPr>
            <w:tcW w:w="279" w:type="dxa"/>
            <w:noWrap/>
          </w:tcPr>
          <w:p w14:paraId="145762D3" w14:textId="77777777" w:rsidR="0001091B" w:rsidRPr="00DB067E" w:rsidRDefault="0001091B" w:rsidP="0001091B">
            <w:pPr>
              <w:jc w:val="both"/>
              <w:rPr>
                <w:rFonts w:eastAsia="Times New Roman" w:cstheme="minorHAnsi"/>
                <w:b/>
                <w:bCs/>
                <w:color w:val="2C307E"/>
                <w:sz w:val="20"/>
                <w:szCs w:val="20"/>
                <w:lang w:eastAsia="nl-NL"/>
              </w:rPr>
            </w:pPr>
            <w:r w:rsidRPr="00DB067E">
              <w:rPr>
                <w:rFonts w:eastAsia="Times New Roman" w:cstheme="minorHAnsi"/>
                <w:b/>
                <w:bCs/>
                <w:color w:val="2C307E"/>
                <w:sz w:val="20"/>
                <w:szCs w:val="20"/>
                <w:lang w:eastAsia="nl-NL"/>
              </w:rPr>
              <w:t>11</w:t>
            </w:r>
          </w:p>
        </w:tc>
        <w:tc>
          <w:tcPr>
            <w:tcW w:w="4254" w:type="dxa"/>
            <w:noWrap/>
          </w:tcPr>
          <w:p w14:paraId="7776E78E" w14:textId="77777777" w:rsidR="0001091B" w:rsidRPr="00DB067E" w:rsidRDefault="0001091B" w:rsidP="0001091B">
            <w:pPr>
              <w:jc w:val="both"/>
              <w:rPr>
                <w:rFonts w:eastAsia="Times New Roman" w:cstheme="minorHAnsi"/>
                <w:color w:val="2C307E"/>
                <w:sz w:val="20"/>
                <w:szCs w:val="20"/>
                <w:lang w:eastAsia="nl-NL"/>
              </w:rPr>
            </w:pPr>
            <w:r w:rsidRPr="00DB067E">
              <w:rPr>
                <w:rFonts w:eastAsia="Times New Roman" w:cstheme="minorHAnsi"/>
                <w:color w:val="2C307E"/>
                <w:sz w:val="20"/>
                <w:szCs w:val="20"/>
                <w:lang w:eastAsia="nl-NL"/>
              </w:rPr>
              <w:t xml:space="preserve">Laadsnelheid is lager dan aangegeven  </w:t>
            </w:r>
          </w:p>
        </w:tc>
      </w:tr>
    </w:tbl>
    <w:p w14:paraId="698B2174" w14:textId="77777777" w:rsidR="00681FEE" w:rsidRDefault="00681FEE" w:rsidP="000F3621">
      <w:pPr>
        <w:spacing w:after="0" w:line="276" w:lineRule="auto"/>
        <w:jc w:val="both"/>
        <w:rPr>
          <w:rFonts w:cstheme="minorHAnsi"/>
          <w:color w:val="2C307E"/>
        </w:rPr>
      </w:pPr>
    </w:p>
    <w:p w14:paraId="6E392A8A" w14:textId="4C6E2A4B" w:rsidR="0001091B" w:rsidRDefault="007D63AD" w:rsidP="000D6E49">
      <w:pPr>
        <w:spacing w:after="0" w:line="276" w:lineRule="auto"/>
        <w:jc w:val="both"/>
        <w:rPr>
          <w:rFonts w:cstheme="minorHAnsi"/>
          <w:color w:val="2C307E"/>
        </w:rPr>
      </w:pPr>
      <w:r>
        <w:rPr>
          <w:rFonts w:cstheme="minorHAnsi"/>
          <w:color w:val="2C307E"/>
        </w:rPr>
        <w:t xml:space="preserve">Bovenstaand raster geeft weer hoe vaak </w:t>
      </w:r>
      <w:r w:rsidR="00681FEE">
        <w:rPr>
          <w:rFonts w:cstheme="minorHAnsi"/>
          <w:color w:val="2C307E"/>
        </w:rPr>
        <w:t xml:space="preserve">een </w:t>
      </w:r>
      <w:r>
        <w:rPr>
          <w:rFonts w:cstheme="minorHAnsi"/>
          <w:color w:val="2C307E"/>
        </w:rPr>
        <w:t xml:space="preserve">knelpunt </w:t>
      </w:r>
      <w:r w:rsidR="00681FEE">
        <w:rPr>
          <w:rFonts w:cstheme="minorHAnsi"/>
          <w:color w:val="2C307E"/>
        </w:rPr>
        <w:t>is</w:t>
      </w:r>
      <w:r>
        <w:rPr>
          <w:rFonts w:cstheme="minorHAnsi"/>
          <w:color w:val="2C307E"/>
        </w:rPr>
        <w:t xml:space="preserve"> ervaren</w:t>
      </w:r>
      <w:r w:rsidR="00681FEE">
        <w:rPr>
          <w:rFonts w:cstheme="minorHAnsi"/>
          <w:color w:val="2C307E"/>
        </w:rPr>
        <w:t xml:space="preserve"> tegen de </w:t>
      </w:r>
      <w:r w:rsidR="004C23EF">
        <w:rPr>
          <w:rFonts w:cstheme="minorHAnsi"/>
          <w:color w:val="2C307E"/>
        </w:rPr>
        <w:t>hinderlijkheid van dit knelpunt</w:t>
      </w:r>
      <w:r w:rsidR="00BB78A2">
        <w:rPr>
          <w:rFonts w:cstheme="minorHAnsi"/>
          <w:color w:val="2C307E"/>
        </w:rPr>
        <w:t xml:space="preserve">. Op de y-as het </w:t>
      </w:r>
      <w:r w:rsidR="004C23EF">
        <w:rPr>
          <w:rFonts w:cstheme="minorHAnsi"/>
          <w:color w:val="2C307E"/>
        </w:rPr>
        <w:t>percentage van de</w:t>
      </w:r>
      <w:r w:rsidR="00681FEE">
        <w:rPr>
          <w:rFonts w:cstheme="minorHAnsi"/>
          <w:color w:val="2C307E"/>
        </w:rPr>
        <w:t xml:space="preserve"> laadsessies dat dit knelpunt voorkomt</w:t>
      </w:r>
      <w:r w:rsidR="000F3621" w:rsidRPr="000F3621">
        <w:rPr>
          <w:rFonts w:cstheme="minorHAnsi"/>
          <w:color w:val="2C307E"/>
        </w:rPr>
        <w:t xml:space="preserve"> </w:t>
      </w:r>
      <w:r w:rsidR="00681FEE">
        <w:rPr>
          <w:rFonts w:cstheme="minorHAnsi"/>
          <w:color w:val="2C307E"/>
        </w:rPr>
        <w:t>(</w:t>
      </w:r>
      <w:r w:rsidR="000F3621" w:rsidRPr="000F3621">
        <w:rPr>
          <w:rFonts w:cstheme="minorHAnsi"/>
          <w:color w:val="2C307E"/>
        </w:rPr>
        <w:t>als men het knelpunt weleens ervaart</w:t>
      </w:r>
      <w:r w:rsidR="00681FEE">
        <w:rPr>
          <w:rFonts w:cstheme="minorHAnsi"/>
          <w:color w:val="2C307E"/>
        </w:rPr>
        <w:t>)</w:t>
      </w:r>
      <w:r w:rsidR="000F3621">
        <w:rPr>
          <w:rFonts w:cstheme="minorHAnsi"/>
          <w:color w:val="2C307E"/>
        </w:rPr>
        <w:t>.</w:t>
      </w:r>
      <w:r w:rsidR="00681FEE">
        <w:rPr>
          <w:rFonts w:cstheme="minorHAnsi"/>
          <w:color w:val="2C307E"/>
        </w:rPr>
        <w:t xml:space="preserve"> Op de x-as</w:t>
      </w:r>
      <w:r>
        <w:rPr>
          <w:rFonts w:cstheme="minorHAnsi"/>
          <w:color w:val="2C307E"/>
        </w:rPr>
        <w:t xml:space="preserve"> </w:t>
      </w:r>
      <w:r w:rsidR="00BB78A2">
        <w:rPr>
          <w:rFonts w:cstheme="minorHAnsi"/>
          <w:color w:val="2C307E"/>
        </w:rPr>
        <w:t xml:space="preserve">het aandeel respondenten dat dit knelpunt als </w:t>
      </w:r>
      <w:r w:rsidR="00963227">
        <w:rPr>
          <w:rFonts w:cstheme="minorHAnsi"/>
          <w:color w:val="2C307E"/>
        </w:rPr>
        <w:t xml:space="preserve">heel </w:t>
      </w:r>
      <w:r w:rsidR="00BB78A2">
        <w:rPr>
          <w:rFonts w:cstheme="minorHAnsi"/>
          <w:color w:val="2C307E"/>
        </w:rPr>
        <w:t>(</w:t>
      </w:r>
      <w:r w:rsidR="00963227">
        <w:rPr>
          <w:rFonts w:cstheme="minorHAnsi"/>
          <w:color w:val="2C307E"/>
        </w:rPr>
        <w:t>erg</w:t>
      </w:r>
      <w:r w:rsidR="00BB78A2">
        <w:rPr>
          <w:rFonts w:cstheme="minorHAnsi"/>
          <w:color w:val="2C307E"/>
        </w:rPr>
        <w:t>) hinderlijk beschouwt</w:t>
      </w:r>
      <w:r>
        <w:rPr>
          <w:rFonts w:cstheme="minorHAnsi"/>
          <w:color w:val="2C307E"/>
        </w:rPr>
        <w:t xml:space="preserve">. Op basis van deze gegevens is een kwadrant ontwikkeld. </w:t>
      </w:r>
    </w:p>
    <w:p w14:paraId="388BE350" w14:textId="77777777" w:rsidR="004C23EF" w:rsidRDefault="004C23EF" w:rsidP="000D6E49">
      <w:pPr>
        <w:spacing w:after="0" w:line="276" w:lineRule="auto"/>
        <w:jc w:val="both"/>
        <w:rPr>
          <w:rFonts w:cstheme="minorHAnsi"/>
          <w:color w:val="2C307E"/>
        </w:rPr>
      </w:pPr>
    </w:p>
    <w:p w14:paraId="7C29C9FB" w14:textId="729FDA82" w:rsidR="000D6E49" w:rsidRDefault="004C23EF" w:rsidP="000D6E49">
      <w:pPr>
        <w:spacing w:after="0" w:line="276" w:lineRule="auto"/>
        <w:jc w:val="both"/>
        <w:rPr>
          <w:rFonts w:cstheme="minorHAnsi"/>
          <w:color w:val="2C307E"/>
        </w:rPr>
      </w:pPr>
      <w:r>
        <w:rPr>
          <w:rFonts w:cstheme="minorHAnsi"/>
          <w:color w:val="2C307E"/>
        </w:rPr>
        <w:t>E</w:t>
      </w:r>
      <w:r w:rsidR="000D6E49">
        <w:rPr>
          <w:rFonts w:cstheme="minorHAnsi"/>
          <w:color w:val="2C307E"/>
        </w:rPr>
        <w:t xml:space="preserve">lk knelpunt is onderverdeeld in één van de vier kwadranten. Knelpunten in het groene kwadrant komen niet/nauwelijks voor en worden niet als hinderlijk ervaren. De gele kwadranten bevatten knelpunten die ofwel (bijna) niet voorkomen ofwel niet als hinderlijk worden ervaren. Knelpunten in het paarse kwadrant worden zowel als hinderlijk ervaren en komen relatief vaker voor. </w:t>
      </w:r>
    </w:p>
    <w:p w14:paraId="3F6CEDB2" w14:textId="0CC2E35C" w:rsidR="009A792E" w:rsidRDefault="009A792E" w:rsidP="009A792E">
      <w:pPr>
        <w:spacing w:after="0" w:line="276" w:lineRule="auto"/>
        <w:jc w:val="both"/>
        <w:rPr>
          <w:color w:val="2C307E"/>
        </w:rPr>
      </w:pPr>
      <w:r>
        <w:rPr>
          <w:rFonts w:cstheme="minorHAnsi"/>
          <w:color w:val="2C307E"/>
        </w:rPr>
        <w:t xml:space="preserve">Wat opvalt is dat knelpunten waarbij laadpalen om verschillende redenen bezet zijn anders verspreid zijn over het raster, terwijl het gevolg voor de EV-rijder hetzelfde is. De laadpaal is namelijk in alle gevallen niet beschikbaar voor de EV-rijder. </w:t>
      </w:r>
      <w:r w:rsidRPr="5D0DB5CE">
        <w:rPr>
          <w:color w:val="2C307E"/>
        </w:rPr>
        <w:t>Wanneer een laadplek bezet wordt gehouden door een elektrische auto</w:t>
      </w:r>
      <w:r>
        <w:rPr>
          <w:color w:val="2C307E"/>
        </w:rPr>
        <w:t xml:space="preserve"> die laadt (</w:t>
      </w:r>
      <w:r w:rsidR="0001091B">
        <w:rPr>
          <w:color w:val="2C307E"/>
        </w:rPr>
        <w:t>5</w:t>
      </w:r>
      <w:r>
        <w:rPr>
          <w:color w:val="2C307E"/>
        </w:rPr>
        <w:t>)</w:t>
      </w:r>
      <w:r w:rsidRPr="5D0DB5CE">
        <w:rPr>
          <w:color w:val="2C307E"/>
        </w:rPr>
        <w:t xml:space="preserve"> wordt dit als veel minder hinderlijk ervaren</w:t>
      </w:r>
      <w:r>
        <w:rPr>
          <w:color w:val="2C307E"/>
        </w:rPr>
        <w:t xml:space="preserve"> dan wanneer een elektrische auto een laadpaal bezet houdt zonder te laden (</w:t>
      </w:r>
      <w:r w:rsidR="0001091B">
        <w:rPr>
          <w:color w:val="2C307E"/>
        </w:rPr>
        <w:t>6</w:t>
      </w:r>
      <w:r>
        <w:rPr>
          <w:color w:val="2C307E"/>
        </w:rPr>
        <w:t xml:space="preserve">). Als het laadpunt wordt geblokkeerd door een </w:t>
      </w:r>
      <w:r w:rsidRPr="5D0DB5CE">
        <w:rPr>
          <w:color w:val="2C307E"/>
        </w:rPr>
        <w:t>fossiele brandstofauto</w:t>
      </w:r>
      <w:r>
        <w:rPr>
          <w:color w:val="2C307E"/>
        </w:rPr>
        <w:t xml:space="preserve"> ervaart men dit als zeer hinderlijk (</w:t>
      </w:r>
      <w:r w:rsidR="0001091B">
        <w:rPr>
          <w:color w:val="2C307E"/>
        </w:rPr>
        <w:t>4</w:t>
      </w:r>
      <w:r>
        <w:rPr>
          <w:color w:val="2C307E"/>
        </w:rPr>
        <w:t>)</w:t>
      </w:r>
      <w:r w:rsidRPr="5D0DB5CE">
        <w:rPr>
          <w:color w:val="2C307E"/>
        </w:rPr>
        <w:t xml:space="preserve">. </w:t>
      </w:r>
      <w:r>
        <w:rPr>
          <w:color w:val="2C307E"/>
        </w:rPr>
        <w:t xml:space="preserve">Oftewel, het maakt uit waarom een laadpaal bezet wordt gehouden. </w:t>
      </w:r>
    </w:p>
    <w:p w14:paraId="212C485E" w14:textId="4D1780AD" w:rsidR="007D63AD" w:rsidRDefault="007D63AD" w:rsidP="007D63AD">
      <w:pPr>
        <w:spacing w:after="0" w:line="276" w:lineRule="auto"/>
        <w:jc w:val="both"/>
        <w:rPr>
          <w:rFonts w:cstheme="minorHAnsi"/>
          <w:color w:val="2C307E"/>
        </w:rPr>
      </w:pPr>
    </w:p>
    <w:p w14:paraId="0E38E8FA" w14:textId="77777777" w:rsidR="00DB7DCD" w:rsidRDefault="00DB7DCD">
      <w:pPr>
        <w:rPr>
          <w:rFonts w:cstheme="minorHAnsi"/>
          <w:b/>
          <w:bCs/>
          <w:color w:val="2C307E"/>
        </w:rPr>
      </w:pPr>
    </w:p>
    <w:p w14:paraId="6769844D" w14:textId="07A6863B" w:rsidR="00826883" w:rsidRPr="00826883" w:rsidRDefault="00826883" w:rsidP="00826883">
      <w:pPr>
        <w:spacing w:after="0" w:line="276" w:lineRule="auto"/>
        <w:jc w:val="both"/>
        <w:rPr>
          <w:rFonts w:cstheme="minorHAnsi"/>
          <w:b/>
          <w:bCs/>
          <w:color w:val="2C307E"/>
        </w:rPr>
      </w:pPr>
      <w:r w:rsidRPr="00826883">
        <w:rPr>
          <w:rFonts w:cstheme="minorHAnsi"/>
          <w:b/>
          <w:bCs/>
          <w:color w:val="2C307E"/>
        </w:rPr>
        <w:lastRenderedPageBreak/>
        <w:t>De dichtheid van laadpalen is opnieuw toegenomen dit jaar. [N=1.</w:t>
      </w:r>
      <w:r w:rsidR="005B2A53">
        <w:rPr>
          <w:rFonts w:cstheme="minorHAnsi"/>
          <w:b/>
          <w:bCs/>
          <w:color w:val="2C307E"/>
        </w:rPr>
        <w:t>1</w:t>
      </w:r>
      <w:r w:rsidRPr="00826883">
        <w:rPr>
          <w:rFonts w:cstheme="minorHAnsi"/>
          <w:b/>
          <w:bCs/>
          <w:color w:val="2C307E"/>
        </w:rPr>
        <w:t>06]</w:t>
      </w:r>
    </w:p>
    <w:p w14:paraId="5605746F" w14:textId="77777777" w:rsidR="00826883" w:rsidRDefault="00826883" w:rsidP="00826883">
      <w:pPr>
        <w:spacing w:after="0" w:line="276" w:lineRule="auto"/>
        <w:jc w:val="both"/>
        <w:rPr>
          <w:rFonts w:cstheme="minorHAnsi"/>
          <w:color w:val="2C307E"/>
        </w:rPr>
      </w:pPr>
      <w:r w:rsidRPr="00826883">
        <w:rPr>
          <w:rFonts w:cstheme="minorHAnsi"/>
          <w:color w:val="2C307E"/>
        </w:rPr>
        <w:t xml:space="preserve">Vorig jaar gaf 7% aan geen laadpaal te hebben binnen 5 minuten loopafstand, waar dat dit jaar 5% is. </w:t>
      </w:r>
      <w:bookmarkEnd w:id="68"/>
    </w:p>
    <w:p w14:paraId="2A50A6D5" w14:textId="77777777" w:rsidR="00826883" w:rsidRPr="00057017" w:rsidRDefault="00826883" w:rsidP="00826883">
      <w:pPr>
        <w:spacing w:after="0" w:line="276" w:lineRule="auto"/>
        <w:jc w:val="both"/>
        <w:rPr>
          <w:b/>
          <w:color w:val="2C307E"/>
          <w:highlight w:val="yellow"/>
        </w:rPr>
      </w:pPr>
      <w:r w:rsidRPr="00BB489A">
        <w:rPr>
          <w:noProof/>
        </w:rPr>
        <w:t xml:space="preserve"> </w:t>
      </w:r>
      <w:r>
        <w:rPr>
          <w:noProof/>
        </w:rPr>
        <w:drawing>
          <wp:inline distT="0" distB="0" distL="0" distR="0" wp14:anchorId="4E763A93" wp14:editId="1C97B551">
            <wp:extent cx="2655570" cy="1842654"/>
            <wp:effectExtent l="0" t="0" r="0" b="0"/>
            <wp:docPr id="1667728869" name="Grafiek 1">
              <a:extLst xmlns:a="http://schemas.openxmlformats.org/drawingml/2006/main">
                <a:ext uri="{FF2B5EF4-FFF2-40B4-BE49-F238E27FC236}">
                  <a16:creationId xmlns:a16="http://schemas.microsoft.com/office/drawing/2014/main" id="{6B0075A1-8731-E39D-159A-CF77DE637AA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14:paraId="731D116B" w14:textId="77777777" w:rsidR="00826883" w:rsidRDefault="00826883" w:rsidP="00826883">
      <w:pPr>
        <w:spacing w:after="0" w:line="276" w:lineRule="auto"/>
        <w:jc w:val="both"/>
        <w:rPr>
          <w:rFonts w:cstheme="minorHAnsi"/>
          <w:b/>
          <w:bCs/>
          <w:color w:val="2C307E"/>
          <w:highlight w:val="yellow"/>
        </w:rPr>
      </w:pPr>
    </w:p>
    <w:p w14:paraId="3D32201F" w14:textId="72F25008" w:rsidR="00826883" w:rsidRPr="005B2A53" w:rsidRDefault="00826883" w:rsidP="00826883">
      <w:pPr>
        <w:spacing w:after="0" w:line="276" w:lineRule="auto"/>
        <w:jc w:val="both"/>
        <w:rPr>
          <w:rFonts w:cstheme="minorHAnsi"/>
          <w:b/>
          <w:bCs/>
          <w:color w:val="2C307E"/>
        </w:rPr>
      </w:pPr>
      <w:r w:rsidRPr="005B2A53">
        <w:rPr>
          <w:rFonts w:cstheme="minorHAnsi"/>
          <w:b/>
          <w:bCs/>
          <w:color w:val="2C307E"/>
        </w:rPr>
        <w:t>7</w:t>
      </w:r>
      <w:r w:rsidR="005B2A53" w:rsidRPr="005B2A53">
        <w:rPr>
          <w:rFonts w:cstheme="minorHAnsi"/>
          <w:b/>
          <w:bCs/>
          <w:color w:val="2C307E"/>
        </w:rPr>
        <w:t>6</w:t>
      </w:r>
      <w:r w:rsidRPr="005B2A53">
        <w:rPr>
          <w:rFonts w:cstheme="minorHAnsi"/>
          <w:b/>
          <w:bCs/>
          <w:color w:val="2C307E"/>
        </w:rPr>
        <w:t>% van de EV-rijders heeft een laadpunt binnen 300 meter lopen. [N=</w:t>
      </w:r>
      <w:r w:rsidR="005B2A53" w:rsidRPr="005B2A53">
        <w:rPr>
          <w:rFonts w:cstheme="minorHAnsi"/>
          <w:b/>
          <w:bCs/>
          <w:color w:val="2C307E"/>
        </w:rPr>
        <w:t>1.006</w:t>
      </w:r>
      <w:r w:rsidRPr="005B2A53">
        <w:rPr>
          <w:rFonts w:cstheme="minorHAnsi"/>
          <w:b/>
          <w:bCs/>
          <w:color w:val="2C307E"/>
        </w:rPr>
        <w:t>]</w:t>
      </w:r>
    </w:p>
    <w:p w14:paraId="47070E9E" w14:textId="0D6E47F4" w:rsidR="00826883" w:rsidRPr="005B2A53" w:rsidRDefault="00826883" w:rsidP="00826883">
      <w:pPr>
        <w:spacing w:after="0" w:line="276" w:lineRule="auto"/>
        <w:jc w:val="both"/>
        <w:rPr>
          <w:rFonts w:cstheme="minorHAnsi"/>
          <w:color w:val="2C307E"/>
        </w:rPr>
      </w:pPr>
      <w:r w:rsidRPr="005B2A53">
        <w:rPr>
          <w:rFonts w:cstheme="minorHAnsi"/>
          <w:color w:val="2C307E"/>
        </w:rPr>
        <w:t>Gemiddeld moet men 2</w:t>
      </w:r>
      <w:r w:rsidR="005B2A53" w:rsidRPr="005B2A53">
        <w:rPr>
          <w:rFonts w:cstheme="minorHAnsi"/>
          <w:color w:val="2C307E"/>
        </w:rPr>
        <w:t>36</w:t>
      </w:r>
      <w:r w:rsidRPr="005B2A53">
        <w:rPr>
          <w:rFonts w:cstheme="minorHAnsi"/>
          <w:color w:val="2C307E"/>
        </w:rPr>
        <w:t xml:space="preserve"> meter lopen naar de dichtstbijzijnde laadpaal.</w:t>
      </w:r>
      <w:r w:rsidR="005B2A53" w:rsidRPr="005B2A53">
        <w:rPr>
          <w:rFonts w:cstheme="minorHAnsi"/>
          <w:color w:val="2C307E"/>
        </w:rPr>
        <w:t xml:space="preserve"> Vorig </w:t>
      </w:r>
      <w:r w:rsidR="00F42EDC">
        <w:rPr>
          <w:rFonts w:cstheme="minorHAnsi"/>
          <w:color w:val="2C307E"/>
        </w:rPr>
        <w:t>jaar</w:t>
      </w:r>
      <w:r w:rsidR="005B2A53" w:rsidRPr="005B2A53">
        <w:rPr>
          <w:rFonts w:cstheme="minorHAnsi"/>
          <w:color w:val="2C307E"/>
        </w:rPr>
        <w:t xml:space="preserve"> was dat 251 meter.</w:t>
      </w:r>
    </w:p>
    <w:p w14:paraId="12DD9FF2" w14:textId="77777777" w:rsidR="00826883" w:rsidRDefault="00826883" w:rsidP="00826883">
      <w:pPr>
        <w:spacing w:after="0" w:line="276" w:lineRule="auto"/>
        <w:jc w:val="both"/>
        <w:rPr>
          <w:rFonts w:cstheme="minorHAnsi"/>
          <w:color w:val="2C307E"/>
          <w:highlight w:val="yellow"/>
        </w:rPr>
      </w:pPr>
    </w:p>
    <w:p w14:paraId="4E452A57" w14:textId="2978494A" w:rsidR="00826883" w:rsidRDefault="00826883" w:rsidP="00826883">
      <w:pPr>
        <w:spacing w:after="0" w:line="276" w:lineRule="auto"/>
        <w:jc w:val="both"/>
        <w:rPr>
          <w:rFonts w:cstheme="minorHAnsi"/>
          <w:b/>
          <w:bCs/>
          <w:color w:val="2C307E"/>
        </w:rPr>
      </w:pPr>
      <w:r w:rsidRPr="003907AE">
        <w:rPr>
          <w:rFonts w:cstheme="minorHAnsi"/>
          <w:b/>
          <w:bCs/>
          <w:color w:val="2C307E"/>
        </w:rPr>
        <w:t xml:space="preserve">In stedelijk gebied (stedelijkheidsklasse 1), heeft </w:t>
      </w:r>
      <w:r w:rsidR="003907AE" w:rsidRPr="003907AE">
        <w:rPr>
          <w:rFonts w:cstheme="minorHAnsi"/>
          <w:b/>
          <w:bCs/>
          <w:color w:val="2C307E"/>
        </w:rPr>
        <w:t>49</w:t>
      </w:r>
      <w:r w:rsidRPr="003907AE">
        <w:rPr>
          <w:rFonts w:cstheme="minorHAnsi"/>
          <w:b/>
          <w:bCs/>
          <w:color w:val="2C307E"/>
        </w:rPr>
        <w:t xml:space="preserve">% van de EV-rijders meer </w:t>
      </w:r>
      <w:r w:rsidR="003907AE" w:rsidRPr="003907AE">
        <w:rPr>
          <w:rFonts w:cstheme="minorHAnsi"/>
          <w:b/>
          <w:bCs/>
          <w:color w:val="2C307E"/>
        </w:rPr>
        <w:t xml:space="preserve">dan </w:t>
      </w:r>
      <w:r w:rsidR="00E150B6">
        <w:rPr>
          <w:rFonts w:cstheme="minorHAnsi"/>
          <w:b/>
          <w:bCs/>
          <w:color w:val="2C307E"/>
        </w:rPr>
        <w:t>zes</w:t>
      </w:r>
      <w:r w:rsidR="003907AE" w:rsidRPr="003907AE">
        <w:rPr>
          <w:rFonts w:cstheme="minorHAnsi"/>
          <w:b/>
          <w:bCs/>
          <w:color w:val="2C307E"/>
        </w:rPr>
        <w:t xml:space="preserve"> </w:t>
      </w:r>
      <w:r w:rsidRPr="003907AE">
        <w:rPr>
          <w:rFonts w:cstheme="minorHAnsi"/>
          <w:b/>
          <w:bCs/>
          <w:color w:val="2C307E"/>
        </w:rPr>
        <w:t>laadp</w:t>
      </w:r>
      <w:r w:rsidR="003907AE" w:rsidRPr="003907AE">
        <w:rPr>
          <w:rFonts w:cstheme="minorHAnsi"/>
          <w:b/>
          <w:bCs/>
          <w:color w:val="2C307E"/>
        </w:rPr>
        <w:t>unten</w:t>
      </w:r>
      <w:r w:rsidRPr="003907AE">
        <w:rPr>
          <w:rFonts w:cstheme="minorHAnsi"/>
          <w:b/>
          <w:bCs/>
          <w:color w:val="2C307E"/>
        </w:rPr>
        <w:t xml:space="preserve"> op loopafstand. [N=</w:t>
      </w:r>
      <w:r w:rsidR="003907AE" w:rsidRPr="003907AE">
        <w:rPr>
          <w:rFonts w:cstheme="minorHAnsi"/>
          <w:b/>
          <w:bCs/>
          <w:color w:val="2C307E"/>
        </w:rPr>
        <w:t>976</w:t>
      </w:r>
      <w:r w:rsidRPr="003907AE">
        <w:rPr>
          <w:rFonts w:cstheme="minorHAnsi"/>
          <w:b/>
          <w:bCs/>
          <w:color w:val="2C307E"/>
        </w:rPr>
        <w:t>]</w:t>
      </w:r>
    </w:p>
    <w:p w14:paraId="7DB33DA5" w14:textId="6673B6B8" w:rsidR="003907AE" w:rsidRPr="003907AE" w:rsidRDefault="003907AE" w:rsidP="00826883">
      <w:pPr>
        <w:spacing w:after="0" w:line="276" w:lineRule="auto"/>
        <w:jc w:val="both"/>
        <w:rPr>
          <w:rFonts w:cstheme="minorHAnsi"/>
          <w:color w:val="FF0000"/>
        </w:rPr>
      </w:pPr>
      <w:r>
        <w:rPr>
          <w:rFonts w:cstheme="minorHAnsi"/>
          <w:color w:val="2C307E"/>
        </w:rPr>
        <w:t>Maar ook in het meest landelijke gebied</w:t>
      </w:r>
      <w:r w:rsidR="00F42EDC">
        <w:rPr>
          <w:rFonts w:cstheme="minorHAnsi"/>
          <w:color w:val="2C307E"/>
        </w:rPr>
        <w:t xml:space="preserve"> (</w:t>
      </w:r>
      <w:r>
        <w:rPr>
          <w:rFonts w:cstheme="minorHAnsi"/>
          <w:color w:val="2C307E"/>
        </w:rPr>
        <w:t>stedelijkheidsklasse 5</w:t>
      </w:r>
      <w:r w:rsidR="00F42EDC">
        <w:rPr>
          <w:rFonts w:cstheme="minorHAnsi"/>
          <w:color w:val="2C307E"/>
        </w:rPr>
        <w:t xml:space="preserve">) </w:t>
      </w:r>
      <w:r>
        <w:rPr>
          <w:rFonts w:cstheme="minorHAnsi"/>
          <w:color w:val="2C307E"/>
        </w:rPr>
        <w:t xml:space="preserve">heeft 72% minimaal </w:t>
      </w:r>
      <w:r w:rsidR="00E150B6">
        <w:rPr>
          <w:rFonts w:cstheme="minorHAnsi"/>
          <w:color w:val="2C307E"/>
        </w:rPr>
        <w:t>twee</w:t>
      </w:r>
      <w:r>
        <w:rPr>
          <w:rFonts w:cstheme="minorHAnsi"/>
          <w:color w:val="2C307E"/>
        </w:rPr>
        <w:t xml:space="preserve"> laadpunten op loopafstand.</w:t>
      </w:r>
    </w:p>
    <w:p w14:paraId="23D06E85" w14:textId="548FB9AE" w:rsidR="00826883" w:rsidRDefault="009647E0" w:rsidP="006573D8">
      <w:pPr>
        <w:spacing w:after="0" w:line="276" w:lineRule="auto"/>
        <w:jc w:val="both"/>
        <w:rPr>
          <w:rFonts w:cstheme="minorHAnsi"/>
          <w:b/>
          <w:bCs/>
          <w:color w:val="2C307E"/>
        </w:rPr>
      </w:pPr>
      <w:r>
        <w:rPr>
          <w:noProof/>
        </w:rPr>
        <w:drawing>
          <wp:inline distT="0" distB="0" distL="0" distR="0" wp14:anchorId="28D335E8" wp14:editId="634CA732">
            <wp:extent cx="2655570" cy="2872854"/>
            <wp:effectExtent l="0" t="0" r="0" b="0"/>
            <wp:docPr id="1880806621" name="Grafiek 1">
              <a:extLst xmlns:a="http://schemas.openxmlformats.org/drawingml/2006/main">
                <a:ext uri="{FF2B5EF4-FFF2-40B4-BE49-F238E27FC236}">
                  <a16:creationId xmlns:a16="http://schemas.microsoft.com/office/drawing/2014/main" id="{25C01D0C-D69F-DD54-C875-4CF8EE2AD43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14:paraId="53559EE7" w14:textId="229A5D91" w:rsidR="004905B9" w:rsidRDefault="00712417" w:rsidP="006573D8">
      <w:pPr>
        <w:spacing w:after="0" w:line="276" w:lineRule="auto"/>
        <w:jc w:val="both"/>
        <w:rPr>
          <w:rFonts w:cstheme="minorHAnsi"/>
          <w:b/>
          <w:bCs/>
          <w:color w:val="2C307E"/>
        </w:rPr>
      </w:pPr>
      <w:bookmarkStart w:id="69" w:name="_Hlk206688125"/>
      <w:r w:rsidRPr="00426382">
        <w:rPr>
          <w:rFonts w:cstheme="minorHAnsi"/>
          <w:b/>
          <w:bCs/>
          <w:color w:val="2C307E"/>
        </w:rPr>
        <w:t>5</w:t>
      </w:r>
      <w:r w:rsidR="000328A8" w:rsidRPr="00426382">
        <w:rPr>
          <w:rFonts w:cstheme="minorHAnsi"/>
          <w:b/>
          <w:bCs/>
          <w:color w:val="2C307E"/>
        </w:rPr>
        <w:t>9</w:t>
      </w:r>
      <w:r w:rsidRPr="00426382">
        <w:rPr>
          <w:rFonts w:cstheme="minorHAnsi"/>
          <w:b/>
          <w:bCs/>
          <w:color w:val="2C307E"/>
        </w:rPr>
        <w:t xml:space="preserve">% van de EV-rijders </w:t>
      </w:r>
      <w:r w:rsidR="004905B9" w:rsidRPr="00426382">
        <w:rPr>
          <w:rFonts w:cstheme="minorHAnsi"/>
          <w:b/>
          <w:bCs/>
          <w:color w:val="2C307E"/>
        </w:rPr>
        <w:t xml:space="preserve">geeft </w:t>
      </w:r>
      <w:r w:rsidRPr="00426382">
        <w:rPr>
          <w:rFonts w:cstheme="minorHAnsi"/>
          <w:b/>
          <w:bCs/>
          <w:color w:val="2C307E"/>
        </w:rPr>
        <w:t xml:space="preserve">aan dat de </w:t>
      </w:r>
      <w:r w:rsidR="00F42EDC">
        <w:rPr>
          <w:rFonts w:cstheme="minorHAnsi"/>
          <w:b/>
          <w:bCs/>
          <w:color w:val="2C307E"/>
        </w:rPr>
        <w:t xml:space="preserve">openbare </w:t>
      </w:r>
      <w:r w:rsidRPr="00426382">
        <w:rPr>
          <w:rFonts w:cstheme="minorHAnsi"/>
          <w:b/>
          <w:bCs/>
          <w:color w:val="2C307E"/>
        </w:rPr>
        <w:t xml:space="preserve">laadpaal </w:t>
      </w:r>
      <w:r w:rsidR="00F42EDC">
        <w:rPr>
          <w:rFonts w:cstheme="minorHAnsi"/>
          <w:b/>
          <w:bCs/>
          <w:color w:val="2C307E"/>
        </w:rPr>
        <w:t xml:space="preserve">in de buurt </w:t>
      </w:r>
      <w:r w:rsidRPr="00426382">
        <w:rPr>
          <w:rFonts w:cstheme="minorHAnsi"/>
          <w:b/>
          <w:bCs/>
          <w:color w:val="2C307E"/>
        </w:rPr>
        <w:t xml:space="preserve">altijd of meestal beschikbaar is. </w:t>
      </w:r>
      <w:r w:rsidR="004905B9" w:rsidRPr="00426382">
        <w:rPr>
          <w:rFonts w:cstheme="minorHAnsi"/>
          <w:b/>
          <w:bCs/>
          <w:color w:val="2C307E"/>
        </w:rPr>
        <w:t>[N=1.</w:t>
      </w:r>
      <w:r w:rsidR="00426382" w:rsidRPr="00426382">
        <w:rPr>
          <w:rFonts w:cstheme="minorHAnsi"/>
          <w:b/>
          <w:bCs/>
          <w:color w:val="2C307E"/>
        </w:rPr>
        <w:t>115</w:t>
      </w:r>
      <w:r w:rsidR="004905B9" w:rsidRPr="00426382">
        <w:rPr>
          <w:rFonts w:cstheme="minorHAnsi"/>
          <w:b/>
          <w:bCs/>
          <w:color w:val="2C307E"/>
        </w:rPr>
        <w:t>]</w:t>
      </w:r>
    </w:p>
    <w:p w14:paraId="15506150" w14:textId="51EA4F50" w:rsidR="00A73A61" w:rsidRDefault="00A73A61" w:rsidP="006573D8">
      <w:pPr>
        <w:spacing w:after="0" w:line="276" w:lineRule="auto"/>
        <w:jc w:val="both"/>
        <w:rPr>
          <w:rFonts w:cstheme="minorHAnsi"/>
          <w:color w:val="2C307E"/>
        </w:rPr>
      </w:pPr>
      <w:r>
        <w:rPr>
          <w:rFonts w:cstheme="minorHAnsi"/>
          <w:color w:val="2C307E"/>
        </w:rPr>
        <w:t xml:space="preserve">In 2024 was dat </w:t>
      </w:r>
      <w:r w:rsidR="00EA593C">
        <w:rPr>
          <w:rFonts w:cstheme="minorHAnsi"/>
          <w:color w:val="2C307E"/>
        </w:rPr>
        <w:t xml:space="preserve">55% en in 2023 </w:t>
      </w:r>
      <w:r w:rsidR="00CF7A9F">
        <w:rPr>
          <w:rFonts w:cstheme="minorHAnsi"/>
          <w:color w:val="2C307E"/>
        </w:rPr>
        <w:t>49%.</w:t>
      </w:r>
    </w:p>
    <w:bookmarkEnd w:id="69"/>
    <w:p w14:paraId="0BE8CA14" w14:textId="3FE9DFEB" w:rsidR="00154A36" w:rsidRPr="00057017" w:rsidRDefault="007740AB" w:rsidP="006573D8">
      <w:pPr>
        <w:spacing w:after="0" w:line="276" w:lineRule="auto"/>
        <w:jc w:val="both"/>
        <w:rPr>
          <w:rFonts w:cstheme="minorHAnsi"/>
          <w:color w:val="2C307E"/>
          <w:highlight w:val="yellow"/>
        </w:rPr>
      </w:pPr>
      <w:r w:rsidRPr="001E5C5D">
        <w:rPr>
          <w:noProof/>
          <w:color w:val="2C307E"/>
        </w:rPr>
        <w:drawing>
          <wp:inline distT="0" distB="0" distL="0" distR="0" wp14:anchorId="0A40096D" wp14:editId="38F701C0">
            <wp:extent cx="2655570" cy="3261814"/>
            <wp:effectExtent l="0" t="0" r="0" b="0"/>
            <wp:docPr id="704577269" name="Grafiek 1">
              <a:extLst xmlns:a="http://schemas.openxmlformats.org/drawingml/2006/main">
                <a:ext uri="{FF2B5EF4-FFF2-40B4-BE49-F238E27FC236}">
                  <a16:creationId xmlns:a16="http://schemas.microsoft.com/office/drawing/2014/main" id="{53C322CC-96AB-6A07-1EA7-B35502E38EC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14:paraId="220380F5" w14:textId="59F1C7B2" w:rsidR="00712417" w:rsidRPr="00C00988" w:rsidRDefault="00F42EDC" w:rsidP="006573D8">
      <w:pPr>
        <w:spacing w:after="0" w:line="276" w:lineRule="auto"/>
        <w:jc w:val="both"/>
        <w:rPr>
          <w:rFonts w:cstheme="minorHAnsi"/>
          <w:color w:val="2C307E"/>
        </w:rPr>
      </w:pPr>
      <w:r>
        <w:rPr>
          <w:rFonts w:cstheme="minorHAnsi"/>
          <w:b/>
          <w:bCs/>
          <w:color w:val="2C307E"/>
        </w:rPr>
        <w:t>Nieuwe EV-rijders hebben steeds vaker al een o</w:t>
      </w:r>
      <w:r w:rsidR="00712417" w:rsidRPr="00C00988">
        <w:rPr>
          <w:rFonts w:cstheme="minorHAnsi"/>
          <w:b/>
          <w:bCs/>
          <w:color w:val="2C307E"/>
        </w:rPr>
        <w:t>penbare laadpaal</w:t>
      </w:r>
      <w:r>
        <w:rPr>
          <w:rFonts w:cstheme="minorHAnsi"/>
          <w:b/>
          <w:bCs/>
          <w:color w:val="2C307E"/>
        </w:rPr>
        <w:t xml:space="preserve"> op loopafstand</w:t>
      </w:r>
      <w:r w:rsidR="00AD2E55" w:rsidRPr="00C00988">
        <w:rPr>
          <w:rFonts w:cstheme="minorHAnsi"/>
          <w:b/>
          <w:bCs/>
          <w:color w:val="2C307E"/>
        </w:rPr>
        <w:t>.</w:t>
      </w:r>
      <w:r w:rsidR="00712417" w:rsidRPr="00C00988">
        <w:rPr>
          <w:rFonts w:cstheme="minorHAnsi"/>
          <w:b/>
          <w:bCs/>
          <w:color w:val="2C307E"/>
        </w:rPr>
        <w:t xml:space="preserve"> [N=1.</w:t>
      </w:r>
      <w:r w:rsidR="00E93102">
        <w:rPr>
          <w:rFonts w:cstheme="minorHAnsi"/>
          <w:b/>
          <w:bCs/>
          <w:color w:val="2C307E"/>
        </w:rPr>
        <w:t>047</w:t>
      </w:r>
      <w:r w:rsidR="00712417" w:rsidRPr="00C00988">
        <w:rPr>
          <w:rFonts w:cstheme="minorHAnsi"/>
          <w:b/>
          <w:bCs/>
          <w:color w:val="2C307E"/>
        </w:rPr>
        <w:t>]</w:t>
      </w:r>
    </w:p>
    <w:p w14:paraId="22E40A95" w14:textId="319FB541" w:rsidR="006573D8" w:rsidRPr="00C00988" w:rsidRDefault="00712417" w:rsidP="006573D8">
      <w:pPr>
        <w:spacing w:after="0" w:line="276" w:lineRule="auto"/>
        <w:jc w:val="both"/>
        <w:rPr>
          <w:rFonts w:cstheme="minorHAnsi"/>
          <w:color w:val="2C307E"/>
        </w:rPr>
      </w:pPr>
      <w:r w:rsidRPr="00C00988">
        <w:rPr>
          <w:rFonts w:cstheme="minorHAnsi"/>
          <w:color w:val="2C307E"/>
        </w:rPr>
        <w:t>Voor 7</w:t>
      </w:r>
      <w:r w:rsidR="00C00988" w:rsidRPr="00C00988">
        <w:rPr>
          <w:rFonts w:cstheme="minorHAnsi"/>
          <w:color w:val="2C307E"/>
        </w:rPr>
        <w:t>4</w:t>
      </w:r>
      <w:r w:rsidRPr="00C00988">
        <w:rPr>
          <w:rFonts w:cstheme="minorHAnsi"/>
          <w:color w:val="2C307E"/>
        </w:rPr>
        <w:t>% was er al een openbaar toegankelijke laadpaal op loopafstand aanwezig voordat ze besloten elektrisch te gaan rijden. Dit is een toename t</w:t>
      </w:r>
      <w:r w:rsidR="004E44DF" w:rsidRPr="00C00988">
        <w:rPr>
          <w:rFonts w:cstheme="minorHAnsi"/>
          <w:color w:val="2C307E"/>
        </w:rPr>
        <w:t>en opzichte van</w:t>
      </w:r>
      <w:r w:rsidRPr="00C00988">
        <w:rPr>
          <w:rFonts w:cstheme="minorHAnsi"/>
          <w:color w:val="2C307E"/>
        </w:rPr>
        <w:t xml:space="preserve"> </w:t>
      </w:r>
      <w:r w:rsidR="008B7B87" w:rsidRPr="00C00988">
        <w:rPr>
          <w:rFonts w:cstheme="minorHAnsi"/>
          <w:color w:val="2C307E"/>
        </w:rPr>
        <w:t>2024 (71%</w:t>
      </w:r>
      <w:r w:rsidR="00C00988" w:rsidRPr="00C00988">
        <w:rPr>
          <w:rFonts w:cstheme="minorHAnsi"/>
          <w:color w:val="2C307E"/>
        </w:rPr>
        <w:t>)</w:t>
      </w:r>
      <w:r w:rsidR="008B7B87" w:rsidRPr="00C00988">
        <w:rPr>
          <w:rFonts w:cstheme="minorHAnsi"/>
          <w:color w:val="2C307E"/>
        </w:rPr>
        <w:t xml:space="preserve"> en </w:t>
      </w:r>
      <w:r w:rsidRPr="00C00988">
        <w:rPr>
          <w:rFonts w:cstheme="minorHAnsi"/>
          <w:color w:val="2C307E"/>
        </w:rPr>
        <w:t xml:space="preserve">2023 (63%). </w:t>
      </w:r>
      <w:r w:rsidR="006573D8" w:rsidRPr="00C00988">
        <w:rPr>
          <w:rFonts w:cstheme="minorHAnsi"/>
          <w:color w:val="2C307E"/>
        </w:rPr>
        <w:t>S</w:t>
      </w:r>
      <w:r w:rsidRPr="00C00988">
        <w:rPr>
          <w:rFonts w:cstheme="minorHAnsi"/>
          <w:color w:val="2C307E"/>
        </w:rPr>
        <w:t xml:space="preserve">tartende EV-rijders </w:t>
      </w:r>
      <w:r w:rsidR="006573D8" w:rsidRPr="00C00988">
        <w:rPr>
          <w:rFonts w:cstheme="minorHAnsi"/>
          <w:color w:val="2C307E"/>
        </w:rPr>
        <w:t>geven vaker aan</w:t>
      </w:r>
      <w:r w:rsidRPr="00C00988">
        <w:rPr>
          <w:rFonts w:cstheme="minorHAnsi"/>
          <w:color w:val="2C307E"/>
        </w:rPr>
        <w:t xml:space="preserve"> een openbare laadpaal op loopafstand te hebben.</w:t>
      </w:r>
      <w:r w:rsidR="00F42EDC" w:rsidRPr="00F42EDC">
        <w:rPr>
          <w:rFonts w:cstheme="minorHAnsi"/>
          <w:color w:val="2C307E"/>
        </w:rPr>
        <w:t xml:space="preserve"> </w:t>
      </w:r>
      <w:r w:rsidR="00F42EDC" w:rsidRPr="00EF50B4">
        <w:rPr>
          <w:rFonts w:cstheme="minorHAnsi"/>
          <w:color w:val="2C307E"/>
        </w:rPr>
        <w:t>Slechts 32% zegt dat dit een (doorslaggevende) rol speelde in de beslissing om elektrisch te gaan rijden.</w:t>
      </w:r>
    </w:p>
    <w:p w14:paraId="7BAEEF99" w14:textId="713B3994" w:rsidR="00712417" w:rsidRPr="00057017" w:rsidRDefault="00561F54" w:rsidP="006573D8">
      <w:pPr>
        <w:spacing w:after="0" w:line="276" w:lineRule="auto"/>
        <w:jc w:val="both"/>
        <w:rPr>
          <w:color w:val="2C307E"/>
          <w:highlight w:val="yellow"/>
        </w:rPr>
      </w:pPr>
      <w:r>
        <w:rPr>
          <w:noProof/>
        </w:rPr>
        <w:drawing>
          <wp:inline distT="0" distB="0" distL="0" distR="0" wp14:anchorId="081CCAFF" wp14:editId="78ED059B">
            <wp:extent cx="2655570" cy="2640330"/>
            <wp:effectExtent l="0" t="0" r="0" b="0"/>
            <wp:docPr id="1983202452" name="Grafiek 1">
              <a:extLst xmlns:a="http://schemas.openxmlformats.org/drawingml/2006/main">
                <a:ext uri="{FF2B5EF4-FFF2-40B4-BE49-F238E27FC236}">
                  <a16:creationId xmlns:a16="http://schemas.microsoft.com/office/drawing/2014/main" id="{E0C62B25-6BE0-C304-1A1B-86A8F3A7B18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14:paraId="61D77B91" w14:textId="77777777" w:rsidR="00BD2F95" w:rsidRDefault="00F42EDC" w:rsidP="00BD2F95">
      <w:pPr>
        <w:spacing w:after="0" w:line="276" w:lineRule="auto"/>
        <w:jc w:val="both"/>
        <w:rPr>
          <w:rFonts w:cstheme="minorHAnsi"/>
          <w:b/>
          <w:bCs/>
          <w:color w:val="2C307E"/>
        </w:rPr>
      </w:pPr>
      <w:r>
        <w:rPr>
          <w:rFonts w:cstheme="minorHAnsi"/>
          <w:b/>
          <w:bCs/>
          <w:color w:val="2C307E"/>
        </w:rPr>
        <w:lastRenderedPageBreak/>
        <w:t>Het g</w:t>
      </w:r>
      <w:r w:rsidR="00C86358">
        <w:rPr>
          <w:rFonts w:cstheme="minorHAnsi"/>
          <w:b/>
          <w:bCs/>
          <w:color w:val="2C307E"/>
        </w:rPr>
        <w:t xml:space="preserve">rootste deel </w:t>
      </w:r>
      <w:r>
        <w:rPr>
          <w:rFonts w:cstheme="minorHAnsi"/>
          <w:b/>
          <w:bCs/>
          <w:color w:val="2C307E"/>
        </w:rPr>
        <w:t xml:space="preserve">van de </w:t>
      </w:r>
      <w:r w:rsidR="00C86358">
        <w:rPr>
          <w:rFonts w:cstheme="minorHAnsi"/>
          <w:b/>
          <w:bCs/>
          <w:color w:val="2C307E"/>
        </w:rPr>
        <w:t>EV-rijders verplaatst de auto zo snel mogelijk zodra ze klaar zijn met laden.</w:t>
      </w:r>
      <w:r>
        <w:rPr>
          <w:rFonts w:cstheme="minorHAnsi"/>
          <w:b/>
          <w:bCs/>
          <w:color w:val="2C307E"/>
        </w:rPr>
        <w:t xml:space="preserve"> [N=1.147]</w:t>
      </w:r>
    </w:p>
    <w:p w14:paraId="55EB6849" w14:textId="06DE2C57" w:rsidR="00C86358" w:rsidRPr="00BD2F95" w:rsidRDefault="00C86358" w:rsidP="00BD2F95">
      <w:pPr>
        <w:spacing w:after="0" w:line="276" w:lineRule="auto"/>
        <w:jc w:val="both"/>
        <w:rPr>
          <w:rFonts w:cstheme="minorHAnsi"/>
          <w:color w:val="2C307E"/>
        </w:rPr>
      </w:pPr>
      <w:r w:rsidRPr="00BD2F95">
        <w:rPr>
          <w:rFonts w:cstheme="minorHAnsi"/>
          <w:color w:val="2C307E"/>
        </w:rPr>
        <w:t>7</w:t>
      </w:r>
      <w:r w:rsidR="00E2321F" w:rsidRPr="00BD2F95">
        <w:rPr>
          <w:rFonts w:cstheme="minorHAnsi"/>
          <w:color w:val="2C307E"/>
        </w:rPr>
        <w:t>3</w:t>
      </w:r>
      <w:r w:rsidRPr="00BD2F95">
        <w:rPr>
          <w:rFonts w:cstheme="minorHAnsi"/>
          <w:color w:val="2C307E"/>
        </w:rPr>
        <w:t>% is het (helemaal) eens met deze stelling</w:t>
      </w:r>
      <w:r w:rsidR="008A1648" w:rsidRPr="00BD2F95">
        <w:rPr>
          <w:rFonts w:cstheme="minorHAnsi"/>
          <w:color w:val="2C307E"/>
        </w:rPr>
        <w:t>, v</w:t>
      </w:r>
      <w:r w:rsidRPr="00BD2F95">
        <w:rPr>
          <w:rFonts w:cstheme="minorHAnsi"/>
          <w:color w:val="2C307E"/>
        </w:rPr>
        <w:t>orig jaar was dat 69%.</w:t>
      </w:r>
    </w:p>
    <w:p w14:paraId="430C9F2C" w14:textId="77777777" w:rsidR="00C86358" w:rsidRDefault="00C86358" w:rsidP="00C86358">
      <w:pPr>
        <w:jc w:val="both"/>
        <w:rPr>
          <w:rFonts w:cstheme="minorHAnsi"/>
          <w:color w:val="2C307E"/>
        </w:rPr>
      </w:pPr>
      <w:r>
        <w:rPr>
          <w:noProof/>
        </w:rPr>
        <w:drawing>
          <wp:inline distT="0" distB="0" distL="0" distR="0" wp14:anchorId="7FA06DB7" wp14:editId="43447CFF">
            <wp:extent cx="2655570" cy="2606722"/>
            <wp:effectExtent l="0" t="0" r="0" b="0"/>
            <wp:docPr id="664171555" name="Grafiek 1">
              <a:extLst xmlns:a="http://schemas.openxmlformats.org/drawingml/2006/main">
                <a:ext uri="{FF2B5EF4-FFF2-40B4-BE49-F238E27FC236}">
                  <a16:creationId xmlns:a16="http://schemas.microsoft.com/office/drawing/2014/main" id="{F4424062-7A4C-461A-913E-F6EF56A4FB0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p w14:paraId="56432EFA" w14:textId="77777777" w:rsidR="00C86358" w:rsidRDefault="00C86358" w:rsidP="00C86358">
      <w:pPr>
        <w:spacing w:after="0" w:line="276" w:lineRule="auto"/>
        <w:jc w:val="both"/>
        <w:rPr>
          <w:rFonts w:cstheme="minorHAnsi"/>
          <w:b/>
          <w:bCs/>
          <w:color w:val="2C307E"/>
        </w:rPr>
      </w:pPr>
      <w:bookmarkStart w:id="70" w:name="_Hlk206688177"/>
      <w:r w:rsidRPr="00E85C56">
        <w:rPr>
          <w:rFonts w:cstheme="minorHAnsi"/>
          <w:b/>
          <w:bCs/>
          <w:color w:val="2C307E"/>
        </w:rPr>
        <w:t>Voor de meerderheid is twee uur is de grens voor ‘laadpaalkleven’</w:t>
      </w:r>
      <w:bookmarkEnd w:id="70"/>
      <w:r w:rsidRPr="00E85C56">
        <w:rPr>
          <w:rFonts w:cstheme="minorHAnsi"/>
          <w:b/>
          <w:bCs/>
          <w:color w:val="2C307E"/>
        </w:rPr>
        <w:t>. [N=1.114]</w:t>
      </w:r>
    </w:p>
    <w:p w14:paraId="6A6E1E69" w14:textId="310B7837" w:rsidR="00C86358" w:rsidRPr="00E85C56" w:rsidRDefault="00C86358" w:rsidP="00C86358">
      <w:pPr>
        <w:spacing w:after="0" w:line="276" w:lineRule="auto"/>
        <w:jc w:val="both"/>
        <w:rPr>
          <w:rFonts w:cstheme="minorHAnsi"/>
          <w:color w:val="2C307E"/>
        </w:rPr>
      </w:pPr>
      <w:r w:rsidRPr="00E85C56">
        <w:rPr>
          <w:rFonts w:cstheme="minorHAnsi"/>
          <w:color w:val="2C307E"/>
        </w:rPr>
        <w:t>Bij de vraag hoelang een auto overdag aan de openbare laadpaal mag blijven staan als deze eenmaal volgeladen is, antwoordde 78% twee uur of minder. Meer dan een</w:t>
      </w:r>
      <w:r w:rsidR="00F42EDC">
        <w:rPr>
          <w:rFonts w:cstheme="minorHAnsi"/>
          <w:color w:val="2C307E"/>
        </w:rPr>
        <w:t xml:space="preserve"> </w:t>
      </w:r>
      <w:r w:rsidRPr="00E85C56">
        <w:rPr>
          <w:rFonts w:cstheme="minorHAnsi"/>
          <w:color w:val="2C307E"/>
        </w:rPr>
        <w:t>derde vindt dat de elektrische auto direct moet worden weggehaald bij de openbare laadpaal zodra deze is volgeladen (38%). Dit is min of meer gelijk aan vorig jaar.</w:t>
      </w:r>
    </w:p>
    <w:p w14:paraId="1D918A13" w14:textId="77777777" w:rsidR="00C86358" w:rsidRDefault="00C86358" w:rsidP="00C86358">
      <w:pPr>
        <w:spacing w:after="0" w:line="240" w:lineRule="auto"/>
        <w:jc w:val="both"/>
        <w:rPr>
          <w:rFonts w:cstheme="minorHAnsi"/>
          <w:color w:val="2C307E"/>
        </w:rPr>
      </w:pPr>
      <w:r>
        <w:rPr>
          <w:noProof/>
        </w:rPr>
        <w:drawing>
          <wp:inline distT="0" distB="0" distL="0" distR="0" wp14:anchorId="6EC0599A" wp14:editId="7FE8489A">
            <wp:extent cx="2613025" cy="2811439"/>
            <wp:effectExtent l="0" t="0" r="0" b="0"/>
            <wp:docPr id="1244336265" name="Grafiek 1">
              <a:extLst xmlns:a="http://schemas.openxmlformats.org/drawingml/2006/main">
                <a:ext uri="{FF2B5EF4-FFF2-40B4-BE49-F238E27FC236}">
                  <a16:creationId xmlns:a16="http://schemas.microsoft.com/office/drawing/2014/main" id="{B0BDE69F-F1C0-FD07-5613-FEDD95808F5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p>
    <w:p w14:paraId="736AABE7" w14:textId="77777777" w:rsidR="00C86358" w:rsidRDefault="00C86358" w:rsidP="00C86358">
      <w:pPr>
        <w:spacing w:after="0" w:line="240" w:lineRule="auto"/>
        <w:jc w:val="both"/>
        <w:rPr>
          <w:rFonts w:cstheme="minorHAnsi"/>
          <w:color w:val="2C307E"/>
        </w:rPr>
      </w:pPr>
    </w:p>
    <w:p w14:paraId="0E471999" w14:textId="245E55E5" w:rsidR="00BD2F95" w:rsidRPr="00BD2F95" w:rsidRDefault="00C86358" w:rsidP="00BD2F95">
      <w:pPr>
        <w:spacing w:after="0" w:line="276" w:lineRule="auto"/>
        <w:jc w:val="both"/>
        <w:rPr>
          <w:rFonts w:cstheme="minorHAnsi"/>
          <w:b/>
          <w:bCs/>
          <w:color w:val="2C307E"/>
        </w:rPr>
      </w:pPr>
      <w:r w:rsidRPr="00CB2435">
        <w:rPr>
          <w:rFonts w:cstheme="minorHAnsi"/>
          <w:b/>
          <w:bCs/>
          <w:color w:val="2C307E"/>
        </w:rPr>
        <w:t>De minderheid (30%) zou het (heel) erg vervelend vinden als openbare laadpalen in de avond (16:00-21:00</w:t>
      </w:r>
      <w:r w:rsidR="007638BF">
        <w:rPr>
          <w:rFonts w:cstheme="minorHAnsi"/>
          <w:b/>
          <w:bCs/>
          <w:color w:val="2C307E"/>
        </w:rPr>
        <w:t>u</w:t>
      </w:r>
      <w:r w:rsidRPr="00CB2435">
        <w:rPr>
          <w:rFonts w:cstheme="minorHAnsi"/>
          <w:b/>
          <w:bCs/>
          <w:color w:val="2C307E"/>
        </w:rPr>
        <w:t>) tijdelijk uitgeschakeld zouden worden</w:t>
      </w:r>
      <w:r w:rsidRPr="00BD2F95">
        <w:rPr>
          <w:rFonts w:cstheme="minorHAnsi"/>
          <w:b/>
          <w:bCs/>
          <w:color w:val="2C307E"/>
        </w:rPr>
        <w:t>.</w:t>
      </w:r>
      <w:r w:rsidR="007C19ED">
        <w:rPr>
          <w:rFonts w:cstheme="minorHAnsi"/>
          <w:b/>
          <w:bCs/>
          <w:color w:val="2C307E"/>
        </w:rPr>
        <w:t xml:space="preserve"> [N=1.113] </w:t>
      </w:r>
    </w:p>
    <w:p w14:paraId="5E51B52D" w14:textId="68F53E5B" w:rsidR="00C86358" w:rsidRPr="00BD2F95" w:rsidRDefault="00C86358" w:rsidP="00BD2F95">
      <w:pPr>
        <w:spacing w:after="0" w:line="276" w:lineRule="auto"/>
        <w:jc w:val="both"/>
        <w:rPr>
          <w:rFonts w:cstheme="minorHAnsi"/>
          <w:color w:val="2C307E"/>
        </w:rPr>
      </w:pPr>
      <w:r w:rsidRPr="00BD2F95">
        <w:rPr>
          <w:rFonts w:cstheme="minorHAnsi"/>
          <w:color w:val="2C307E"/>
        </w:rPr>
        <w:t xml:space="preserve">Een even groot deel van de </w:t>
      </w:r>
      <w:r w:rsidR="00E150B6" w:rsidRPr="00BD2F95">
        <w:rPr>
          <w:rFonts w:cstheme="minorHAnsi"/>
          <w:color w:val="2C307E"/>
        </w:rPr>
        <w:t>EV-rijders</w:t>
      </w:r>
      <w:r w:rsidRPr="00BD2F95">
        <w:rPr>
          <w:rFonts w:cstheme="minorHAnsi"/>
          <w:color w:val="2C307E"/>
        </w:rPr>
        <w:t xml:space="preserve"> geeft aan dat het geen probleem zou zijn om een ander moment te zoeken de </w:t>
      </w:r>
      <w:r w:rsidR="00E150B6" w:rsidRPr="00BD2F95">
        <w:rPr>
          <w:rFonts w:cstheme="minorHAnsi"/>
          <w:color w:val="2C307E"/>
        </w:rPr>
        <w:t>auto</w:t>
      </w:r>
      <w:r w:rsidRPr="00BD2F95">
        <w:rPr>
          <w:rFonts w:cstheme="minorHAnsi"/>
          <w:color w:val="2C307E"/>
        </w:rPr>
        <w:t xml:space="preserve"> op te laden. Vorig jaar gaf 43% aan het (heel) erg vervelend te vinden, </w:t>
      </w:r>
      <w:r w:rsidR="00E150B6" w:rsidRPr="00BD2F95">
        <w:rPr>
          <w:rFonts w:cstheme="minorHAnsi"/>
          <w:color w:val="2C307E"/>
        </w:rPr>
        <w:t xml:space="preserve">een flinke afname in het afgelopen jaar. </w:t>
      </w:r>
    </w:p>
    <w:p w14:paraId="7F51633A" w14:textId="77777777" w:rsidR="00C86358" w:rsidRPr="00057017" w:rsidRDefault="00C86358" w:rsidP="006573D8">
      <w:pPr>
        <w:spacing w:after="0" w:line="276" w:lineRule="auto"/>
        <w:jc w:val="both"/>
        <w:rPr>
          <w:rFonts w:cstheme="minorHAnsi"/>
          <w:color w:val="2C307E"/>
          <w:highlight w:val="yellow"/>
        </w:rPr>
      </w:pPr>
    </w:p>
    <w:p w14:paraId="1CE1DEA3" w14:textId="447287D9" w:rsidR="00826883" w:rsidRPr="00826883" w:rsidRDefault="00826883" w:rsidP="00826883">
      <w:pPr>
        <w:pStyle w:val="Kop2"/>
        <w:jc w:val="both"/>
      </w:pPr>
      <w:bookmarkStart w:id="71" w:name="_Toc208498184"/>
      <w:bookmarkStart w:id="72" w:name="_Toc209702001"/>
      <w:bookmarkStart w:id="73" w:name="_Toc209702094"/>
      <w:bookmarkStart w:id="74" w:name="_Toc209702579"/>
      <w:bookmarkStart w:id="75" w:name="_Toc209710054"/>
      <w:r w:rsidRPr="00826883">
        <w:t>Aanvragen openbaar laadpunt</w:t>
      </w:r>
      <w:bookmarkEnd w:id="71"/>
      <w:bookmarkEnd w:id="72"/>
      <w:bookmarkEnd w:id="73"/>
      <w:bookmarkEnd w:id="74"/>
      <w:bookmarkEnd w:id="75"/>
    </w:p>
    <w:p w14:paraId="44AED31B" w14:textId="02B1B918" w:rsidR="00EC1B3C" w:rsidRDefault="00EC1B3C" w:rsidP="00EC1B3C">
      <w:pPr>
        <w:jc w:val="both"/>
        <w:rPr>
          <w:rFonts w:cstheme="minorHAnsi"/>
          <w:b/>
          <w:bCs/>
          <w:color w:val="2C307E"/>
        </w:rPr>
      </w:pPr>
      <w:r w:rsidRPr="00EC1B3C">
        <w:rPr>
          <w:rFonts w:cstheme="minorHAnsi"/>
          <w:b/>
          <w:bCs/>
          <w:color w:val="2C307E"/>
        </w:rPr>
        <w:t xml:space="preserve">Van de </w:t>
      </w:r>
      <w:r w:rsidR="00E150B6">
        <w:rPr>
          <w:rFonts w:cstheme="minorHAnsi"/>
          <w:b/>
          <w:bCs/>
          <w:color w:val="2C307E"/>
        </w:rPr>
        <w:t>EV-rijders</w:t>
      </w:r>
      <w:r w:rsidRPr="00EC1B3C">
        <w:rPr>
          <w:rFonts w:cstheme="minorHAnsi"/>
          <w:b/>
          <w:bCs/>
          <w:color w:val="2C307E"/>
        </w:rPr>
        <w:t xml:space="preserve"> die een openbaar laadpunt hebben aangevraagd in het afgelopen jaar, geeft 44% aan dat de aanvraag niet gelukt is. </w:t>
      </w:r>
    </w:p>
    <w:p w14:paraId="7E215D3A" w14:textId="7905060C" w:rsidR="007F6B1B" w:rsidRDefault="003022DF" w:rsidP="00EC1B3C">
      <w:pPr>
        <w:jc w:val="both"/>
        <w:rPr>
          <w:rFonts w:cstheme="minorHAnsi"/>
          <w:color w:val="2C307E"/>
        </w:rPr>
      </w:pPr>
      <w:r>
        <w:rPr>
          <w:noProof/>
        </w:rPr>
        <w:drawing>
          <wp:inline distT="0" distB="0" distL="0" distR="0" wp14:anchorId="50C5E787" wp14:editId="5117072D">
            <wp:extent cx="2655570" cy="1302105"/>
            <wp:effectExtent l="0" t="0" r="0" b="0"/>
            <wp:docPr id="1952237579" name="Grafiek 1">
              <a:extLst xmlns:a="http://schemas.openxmlformats.org/drawingml/2006/main">
                <a:ext uri="{FF2B5EF4-FFF2-40B4-BE49-F238E27FC236}">
                  <a16:creationId xmlns:a16="http://schemas.microsoft.com/office/drawing/2014/main" id="{7B8C5CF0-3948-A1AF-8217-B54154B280C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p w14:paraId="7531943B" w14:textId="01E5877B" w:rsidR="00EC1B3C" w:rsidRPr="00EC1B3C" w:rsidRDefault="00EC1B3C" w:rsidP="00EC1B3C">
      <w:pPr>
        <w:jc w:val="both"/>
        <w:rPr>
          <w:rFonts w:cstheme="minorHAnsi"/>
          <w:color w:val="2C307E"/>
        </w:rPr>
      </w:pPr>
      <w:r w:rsidRPr="00EC1B3C">
        <w:rPr>
          <w:rFonts w:cstheme="minorHAnsi"/>
          <w:color w:val="2C307E"/>
        </w:rPr>
        <w:t xml:space="preserve">In de meeste gevallen kwam dat omdat er al een laadpaal in de buurt aanwezig was (54%), of de aanvrager kan parkeren op eigen terrein of de parkeerplaats bij het appartementencomplex (19%). Deze resultaten zijn gelijk aan vorig jaar. </w:t>
      </w:r>
    </w:p>
    <w:p w14:paraId="0A109306" w14:textId="16F7DF96" w:rsidR="00EC1B3C" w:rsidRPr="00510840" w:rsidRDefault="00F42EDC" w:rsidP="00EC1B3C">
      <w:pPr>
        <w:jc w:val="both"/>
        <w:rPr>
          <w:rFonts w:cstheme="minorHAnsi"/>
          <w:b/>
          <w:bCs/>
          <w:color w:val="2C307E"/>
        </w:rPr>
      </w:pPr>
      <w:r>
        <w:rPr>
          <w:rFonts w:cstheme="minorHAnsi"/>
          <w:b/>
          <w:bCs/>
          <w:color w:val="2C307E"/>
        </w:rPr>
        <w:t>De</w:t>
      </w:r>
      <w:r w:rsidR="00510840">
        <w:rPr>
          <w:rFonts w:cstheme="minorHAnsi"/>
          <w:b/>
          <w:bCs/>
          <w:color w:val="2C307E"/>
        </w:rPr>
        <w:t xml:space="preserve"> doorlooptijd van de plaatsing van een openbaar laadpunt</w:t>
      </w:r>
      <w:r>
        <w:rPr>
          <w:rFonts w:cstheme="minorHAnsi"/>
          <w:b/>
          <w:bCs/>
          <w:color w:val="2C307E"/>
        </w:rPr>
        <w:t xml:space="preserve"> </w:t>
      </w:r>
      <w:r w:rsidR="00040056">
        <w:rPr>
          <w:rFonts w:cstheme="minorHAnsi"/>
          <w:b/>
          <w:bCs/>
          <w:color w:val="2C307E"/>
        </w:rPr>
        <w:t>loopt uiteen</w:t>
      </w:r>
      <w:r w:rsidR="00510840">
        <w:rPr>
          <w:rFonts w:cstheme="minorHAnsi"/>
          <w:b/>
          <w:bCs/>
          <w:color w:val="2C307E"/>
        </w:rPr>
        <w:t>. [N=91]</w:t>
      </w:r>
      <w:r w:rsidR="00510840">
        <w:rPr>
          <w:rFonts w:cstheme="minorHAnsi"/>
          <w:b/>
          <w:bCs/>
          <w:color w:val="2C307E"/>
        </w:rPr>
        <w:br/>
      </w:r>
      <w:r w:rsidR="00E150B6">
        <w:rPr>
          <w:rFonts w:cstheme="minorHAnsi"/>
          <w:color w:val="2C307E"/>
        </w:rPr>
        <w:t xml:space="preserve">Voor de aanvragen die wel zijn gelukt, is een </w:t>
      </w:r>
      <w:r w:rsidR="00EC1B3C" w:rsidRPr="00EC1B3C">
        <w:rPr>
          <w:rFonts w:cstheme="minorHAnsi"/>
          <w:color w:val="2C307E"/>
        </w:rPr>
        <w:t>grote variatie in de doorlooptijd van de plaatsing</w:t>
      </w:r>
      <w:r w:rsidR="00E150B6">
        <w:rPr>
          <w:rFonts w:cstheme="minorHAnsi"/>
          <w:color w:val="2C307E"/>
        </w:rPr>
        <w:t xml:space="preserve"> te zien</w:t>
      </w:r>
      <w:r w:rsidR="00EC1B3C" w:rsidRPr="00EC1B3C">
        <w:rPr>
          <w:rFonts w:cstheme="minorHAnsi"/>
          <w:color w:val="2C307E"/>
        </w:rPr>
        <w:t>. De 41% waarbij de aanvraag wel is gelukt maar de laadpaal nog niet geplaatst is, hebben een gemiddelde al lopende duur van 9,5 maanden.</w:t>
      </w:r>
    </w:p>
    <w:p w14:paraId="7D0A7739" w14:textId="6C047ADB" w:rsidR="00076F3E" w:rsidRPr="00EC1B3C" w:rsidRDefault="00981489" w:rsidP="00EC1B3C">
      <w:pPr>
        <w:jc w:val="both"/>
        <w:rPr>
          <w:rFonts w:cstheme="minorHAnsi"/>
          <w:color w:val="2C307E"/>
        </w:rPr>
      </w:pPr>
      <w:r>
        <w:rPr>
          <w:noProof/>
        </w:rPr>
        <w:drawing>
          <wp:inline distT="0" distB="0" distL="0" distR="0" wp14:anchorId="02EA0784" wp14:editId="70B42E5C">
            <wp:extent cx="2655570" cy="1806855"/>
            <wp:effectExtent l="0" t="0" r="0" b="0"/>
            <wp:docPr id="1439793387" name="Grafiek 1">
              <a:extLst xmlns:a="http://schemas.openxmlformats.org/drawingml/2006/main">
                <a:ext uri="{FF2B5EF4-FFF2-40B4-BE49-F238E27FC236}">
                  <a16:creationId xmlns:a16="http://schemas.microsoft.com/office/drawing/2014/main" id="{9B897C75-8492-40A4-3C03-5E710C6CC4F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p>
    <w:p w14:paraId="3D1B69BD" w14:textId="15A642F0" w:rsidR="00BF60DF" w:rsidRPr="00510840" w:rsidRDefault="00F42EDC" w:rsidP="00E150B6">
      <w:pPr>
        <w:jc w:val="both"/>
        <w:rPr>
          <w:rFonts w:cstheme="minorHAnsi"/>
          <w:b/>
          <w:bCs/>
          <w:color w:val="2C307E"/>
        </w:rPr>
      </w:pPr>
      <w:r>
        <w:rPr>
          <w:rFonts w:cstheme="minorHAnsi"/>
          <w:b/>
          <w:bCs/>
          <w:color w:val="2C307E"/>
        </w:rPr>
        <w:lastRenderedPageBreak/>
        <w:t>Er is w</w:t>
      </w:r>
      <w:r w:rsidR="00510840">
        <w:rPr>
          <w:rFonts w:cstheme="minorHAnsi"/>
          <w:b/>
          <w:bCs/>
          <w:color w:val="2C307E"/>
        </w:rPr>
        <w:t xml:space="preserve">isselende tevredenheid over de aanvraag van een openbare laadpaal. [N=52] </w:t>
      </w:r>
      <w:r w:rsidR="00510840">
        <w:rPr>
          <w:rFonts w:cstheme="minorHAnsi"/>
          <w:b/>
          <w:bCs/>
          <w:color w:val="2C307E"/>
        </w:rPr>
        <w:br/>
      </w:r>
      <w:r w:rsidR="00076F3E" w:rsidRPr="00076F3E">
        <w:rPr>
          <w:rFonts w:cstheme="minorHAnsi"/>
          <w:color w:val="2C307E"/>
        </w:rPr>
        <w:t>Onderstaande grafiek geeft de tevredenheid weer over de aanvraag van een openbare laadpaal, op een schaal van 1 (</w:t>
      </w:r>
      <w:r w:rsidR="00E150B6">
        <w:rPr>
          <w:rFonts w:cstheme="minorHAnsi"/>
          <w:color w:val="2C307E"/>
        </w:rPr>
        <w:t>h</w:t>
      </w:r>
      <w:r w:rsidR="00076F3E" w:rsidRPr="00076F3E">
        <w:rPr>
          <w:rFonts w:cstheme="minorHAnsi"/>
          <w:color w:val="2C307E"/>
        </w:rPr>
        <w:t>eel erg ontevreden) tot 5 (</w:t>
      </w:r>
      <w:r w:rsidR="00E150B6">
        <w:rPr>
          <w:rFonts w:cstheme="minorHAnsi"/>
          <w:color w:val="2C307E"/>
        </w:rPr>
        <w:t>he</w:t>
      </w:r>
      <w:r w:rsidR="00076F3E" w:rsidRPr="00076F3E">
        <w:rPr>
          <w:rFonts w:cstheme="minorHAnsi"/>
          <w:color w:val="2C307E"/>
        </w:rPr>
        <w:t>el erg tevreden). Het meest tevreden is men over de afstand van de laadpaal tot de woning, de doorlooptijd wordt het minst goed beoordeeld. D</w:t>
      </w:r>
      <w:r w:rsidR="00510840">
        <w:rPr>
          <w:rFonts w:cstheme="minorHAnsi"/>
          <w:color w:val="2C307E"/>
        </w:rPr>
        <w:t>eze inzichten zijn</w:t>
      </w:r>
      <w:r w:rsidR="00076F3E" w:rsidRPr="00076F3E">
        <w:rPr>
          <w:rFonts w:cstheme="minorHAnsi"/>
          <w:color w:val="2C307E"/>
        </w:rPr>
        <w:t xml:space="preserve"> niet veranderd ten opzichte van vorig jaar. </w:t>
      </w:r>
    </w:p>
    <w:p w14:paraId="465633D9" w14:textId="6E7138B5" w:rsidR="00826883" w:rsidRPr="00826883" w:rsidRDefault="00510840" w:rsidP="00826883">
      <w:pPr>
        <w:rPr>
          <w:rFonts w:cstheme="minorHAnsi"/>
          <w:b/>
          <w:color w:val="FF0000"/>
        </w:rPr>
      </w:pPr>
      <w:r>
        <w:rPr>
          <w:noProof/>
        </w:rPr>
        <w:drawing>
          <wp:inline distT="0" distB="0" distL="0" distR="0" wp14:anchorId="089979E8" wp14:editId="2B9A1D5C">
            <wp:extent cx="2655570" cy="4190337"/>
            <wp:effectExtent l="0" t="0" r="0" b="0"/>
            <wp:docPr id="1138817575" name="Grafiek 1">
              <a:extLst xmlns:a="http://schemas.openxmlformats.org/drawingml/2006/main">
                <a:ext uri="{FF2B5EF4-FFF2-40B4-BE49-F238E27FC236}">
                  <a16:creationId xmlns:a16="http://schemas.microsoft.com/office/drawing/2014/main" id="{942F3F46-B782-DC53-25FF-99C67613A9E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r w:rsidR="009B2392" w:rsidRPr="00076F3E">
        <w:rPr>
          <w:rFonts w:cstheme="minorHAnsi"/>
          <w:color w:val="2C307E"/>
          <w:highlight w:val="yellow"/>
        </w:rPr>
        <w:br w:type="page"/>
      </w:r>
    </w:p>
    <w:p w14:paraId="68631EF8" w14:textId="77777777" w:rsidR="00712417" w:rsidRPr="009F4D9F" w:rsidRDefault="00712417" w:rsidP="00B826F0">
      <w:pPr>
        <w:pStyle w:val="Kop2"/>
        <w:jc w:val="both"/>
      </w:pPr>
      <w:bookmarkStart w:id="76" w:name="_Toc143700621"/>
      <w:bookmarkStart w:id="77" w:name="_Toc176513698"/>
      <w:bookmarkStart w:id="78" w:name="_Toc176537577"/>
      <w:bookmarkStart w:id="79" w:name="_Toc209710055"/>
      <w:r w:rsidRPr="009F4D9F">
        <w:lastRenderedPageBreak/>
        <w:t>Snelladen</w:t>
      </w:r>
      <w:bookmarkEnd w:id="76"/>
      <w:bookmarkEnd w:id="77"/>
      <w:bookmarkEnd w:id="78"/>
      <w:bookmarkEnd w:id="79"/>
    </w:p>
    <w:p w14:paraId="3DA80AC0" w14:textId="11A23C6A" w:rsidR="00712417" w:rsidRPr="009F4D9F" w:rsidRDefault="0013334B" w:rsidP="001649AB">
      <w:pPr>
        <w:spacing w:after="0" w:line="276" w:lineRule="auto"/>
        <w:jc w:val="both"/>
        <w:rPr>
          <w:rFonts w:cstheme="minorHAnsi"/>
          <w:color w:val="2C307E"/>
        </w:rPr>
      </w:pPr>
      <w:r w:rsidRPr="009F4D9F">
        <w:rPr>
          <w:rFonts w:cstheme="minorHAnsi"/>
          <w:b/>
          <w:bCs/>
          <w:color w:val="2C307E"/>
        </w:rPr>
        <w:t xml:space="preserve">Algemeen rapportcijfer </w:t>
      </w:r>
    </w:p>
    <w:tbl>
      <w:tblPr>
        <w:tblStyle w:val="Tabelraster"/>
        <w:tblW w:w="0" w:type="auto"/>
        <w:shd w:val="clear" w:color="auto" w:fill="DEEAF6" w:themeFill="accent5" w:themeFillTint="33"/>
        <w:tblLayout w:type="fixed"/>
        <w:tblLook w:val="04A0" w:firstRow="1" w:lastRow="0" w:firstColumn="1" w:lastColumn="0" w:noHBand="0" w:noVBand="1"/>
      </w:tblPr>
      <w:tblGrid>
        <w:gridCol w:w="2547"/>
        <w:gridCol w:w="1602"/>
      </w:tblGrid>
      <w:tr w:rsidR="00712417" w:rsidRPr="009F4D9F" w14:paraId="61C5BE27" w14:textId="77777777">
        <w:tc>
          <w:tcPr>
            <w:tcW w:w="2547" w:type="dxa"/>
            <w:shd w:val="clear" w:color="auto" w:fill="DEEAF6" w:themeFill="accent5" w:themeFillTint="33"/>
          </w:tcPr>
          <w:p w14:paraId="72B14ED9" w14:textId="77777777" w:rsidR="00712417" w:rsidRPr="009F4D9F" w:rsidRDefault="00712417">
            <w:pPr>
              <w:jc w:val="both"/>
              <w:rPr>
                <w:rFonts w:cstheme="minorHAnsi"/>
                <w:b/>
                <w:bCs/>
                <w:color w:val="2C307E"/>
              </w:rPr>
            </w:pPr>
            <w:r w:rsidRPr="009F4D9F">
              <w:rPr>
                <w:rFonts w:cstheme="minorHAnsi"/>
                <w:b/>
                <w:bCs/>
                <w:color w:val="2C307E"/>
              </w:rPr>
              <w:t>Rapportcijfer algemeen</w:t>
            </w:r>
          </w:p>
        </w:tc>
        <w:tc>
          <w:tcPr>
            <w:tcW w:w="1602" w:type="dxa"/>
            <w:shd w:val="clear" w:color="auto" w:fill="DEEAF6" w:themeFill="accent5" w:themeFillTint="33"/>
          </w:tcPr>
          <w:p w14:paraId="172AD8A4" w14:textId="6E23A0EA" w:rsidR="00712417" w:rsidRPr="009F4D9F" w:rsidRDefault="00712417">
            <w:pPr>
              <w:jc w:val="both"/>
              <w:rPr>
                <w:rFonts w:cstheme="minorHAnsi"/>
                <w:color w:val="2C307E"/>
              </w:rPr>
            </w:pPr>
            <w:r w:rsidRPr="009F4D9F">
              <w:rPr>
                <w:rFonts w:cstheme="minorHAnsi"/>
                <w:color w:val="2C307E"/>
              </w:rPr>
              <w:t xml:space="preserve">7,9 </w:t>
            </w:r>
          </w:p>
        </w:tc>
      </w:tr>
      <w:tr w:rsidR="00712417" w:rsidRPr="009F4D9F" w14:paraId="35432484" w14:textId="77777777">
        <w:tc>
          <w:tcPr>
            <w:tcW w:w="2547" w:type="dxa"/>
            <w:shd w:val="clear" w:color="auto" w:fill="DEEAF6" w:themeFill="accent5" w:themeFillTint="33"/>
          </w:tcPr>
          <w:p w14:paraId="7A1CCF4E" w14:textId="77777777" w:rsidR="00712417" w:rsidRPr="009F4D9F" w:rsidRDefault="00712417" w:rsidP="00B826F0">
            <w:pPr>
              <w:jc w:val="both"/>
              <w:rPr>
                <w:rFonts w:cstheme="minorHAnsi"/>
                <w:b/>
                <w:bCs/>
                <w:color w:val="2C307E"/>
              </w:rPr>
            </w:pPr>
            <w:r w:rsidRPr="009F4D9F">
              <w:rPr>
                <w:rFonts w:cstheme="minorHAnsi"/>
                <w:b/>
                <w:bCs/>
                <w:color w:val="2C307E"/>
              </w:rPr>
              <w:t>Rapportcijfer met ervaren knelpunt</w:t>
            </w:r>
          </w:p>
        </w:tc>
        <w:tc>
          <w:tcPr>
            <w:tcW w:w="1602" w:type="dxa"/>
            <w:shd w:val="clear" w:color="auto" w:fill="DEEAF6" w:themeFill="accent5" w:themeFillTint="33"/>
          </w:tcPr>
          <w:p w14:paraId="3E49EE2E" w14:textId="35A854DD" w:rsidR="00712417" w:rsidRPr="009F4D9F" w:rsidRDefault="00712417">
            <w:pPr>
              <w:jc w:val="both"/>
              <w:rPr>
                <w:rFonts w:cstheme="minorHAnsi"/>
                <w:color w:val="2C307E"/>
              </w:rPr>
            </w:pPr>
            <w:r w:rsidRPr="009F4D9F">
              <w:rPr>
                <w:rFonts w:cstheme="minorHAnsi"/>
                <w:color w:val="2C307E"/>
              </w:rPr>
              <w:t>7,</w:t>
            </w:r>
            <w:r w:rsidR="00A5320A" w:rsidRPr="009F4D9F">
              <w:rPr>
                <w:rFonts w:cstheme="minorHAnsi"/>
                <w:color w:val="2C307E"/>
              </w:rPr>
              <w:t>1</w:t>
            </w:r>
            <w:r w:rsidRPr="009F4D9F">
              <w:rPr>
                <w:rFonts w:cstheme="minorHAnsi"/>
                <w:color w:val="2C307E"/>
              </w:rPr>
              <w:t xml:space="preserve"> </w:t>
            </w:r>
          </w:p>
        </w:tc>
      </w:tr>
      <w:tr w:rsidR="00712417" w:rsidRPr="009F4D9F" w14:paraId="0BF75F0A" w14:textId="77777777">
        <w:trPr>
          <w:trHeight w:val="267"/>
        </w:trPr>
        <w:tc>
          <w:tcPr>
            <w:tcW w:w="2547" w:type="dxa"/>
            <w:shd w:val="clear" w:color="auto" w:fill="DEEAF6" w:themeFill="accent5" w:themeFillTint="33"/>
          </w:tcPr>
          <w:p w14:paraId="6BDCB291" w14:textId="77777777" w:rsidR="00712417" w:rsidRPr="009F4D9F" w:rsidRDefault="00712417" w:rsidP="00B826F0">
            <w:pPr>
              <w:jc w:val="both"/>
              <w:rPr>
                <w:rFonts w:cstheme="minorHAnsi"/>
                <w:b/>
                <w:bCs/>
                <w:color w:val="2C307E"/>
              </w:rPr>
            </w:pPr>
            <w:r w:rsidRPr="009F4D9F">
              <w:rPr>
                <w:rFonts w:cstheme="minorHAnsi"/>
                <w:b/>
                <w:bCs/>
                <w:color w:val="2C307E"/>
              </w:rPr>
              <w:t>Rapportcijfer zonder ervaren knelpunt</w:t>
            </w:r>
          </w:p>
        </w:tc>
        <w:tc>
          <w:tcPr>
            <w:tcW w:w="1602" w:type="dxa"/>
            <w:shd w:val="clear" w:color="auto" w:fill="DEEAF6" w:themeFill="accent5" w:themeFillTint="33"/>
          </w:tcPr>
          <w:p w14:paraId="0CBB63FB" w14:textId="600AB192" w:rsidR="00712417" w:rsidRPr="009F4D9F" w:rsidRDefault="00712417">
            <w:pPr>
              <w:jc w:val="both"/>
              <w:rPr>
                <w:rFonts w:cstheme="minorHAnsi"/>
                <w:color w:val="2C307E"/>
              </w:rPr>
            </w:pPr>
            <w:r w:rsidRPr="009F4D9F">
              <w:rPr>
                <w:rFonts w:cstheme="minorHAnsi"/>
                <w:color w:val="2C307E"/>
              </w:rPr>
              <w:t>8,</w:t>
            </w:r>
            <w:r w:rsidR="00A5320A" w:rsidRPr="009F4D9F">
              <w:rPr>
                <w:rFonts w:cstheme="minorHAnsi"/>
                <w:color w:val="2C307E"/>
              </w:rPr>
              <w:t>1</w:t>
            </w:r>
            <w:r w:rsidRPr="009F4D9F">
              <w:rPr>
                <w:rFonts w:cstheme="minorHAnsi"/>
                <w:color w:val="2C307E"/>
              </w:rPr>
              <w:t xml:space="preserve"> </w:t>
            </w:r>
          </w:p>
        </w:tc>
      </w:tr>
    </w:tbl>
    <w:p w14:paraId="2C05C7B8" w14:textId="77777777" w:rsidR="00712417" w:rsidRPr="009F4D9F" w:rsidRDefault="00712417" w:rsidP="00712417">
      <w:pPr>
        <w:spacing w:after="0" w:line="240" w:lineRule="auto"/>
        <w:jc w:val="both"/>
        <w:rPr>
          <w:rFonts w:cstheme="minorHAnsi"/>
          <w:color w:val="2C307E"/>
        </w:rPr>
      </w:pPr>
    </w:p>
    <w:p w14:paraId="480EEFC7" w14:textId="02D1B9A3" w:rsidR="00874450" w:rsidRPr="00874450" w:rsidRDefault="00874450" w:rsidP="00874450">
      <w:pPr>
        <w:spacing w:after="0" w:line="240" w:lineRule="auto"/>
        <w:jc w:val="both"/>
        <w:rPr>
          <w:rFonts w:cstheme="minorHAnsi"/>
          <w:b/>
          <w:bCs/>
          <w:color w:val="2C307E"/>
        </w:rPr>
      </w:pPr>
      <w:r w:rsidRPr="00874450">
        <w:rPr>
          <w:rFonts w:cstheme="minorHAnsi"/>
          <w:b/>
          <w:bCs/>
          <w:color w:val="2C307E"/>
        </w:rPr>
        <w:t xml:space="preserve">75% van de </w:t>
      </w:r>
      <w:r w:rsidR="008A1648">
        <w:rPr>
          <w:rFonts w:cstheme="minorHAnsi"/>
          <w:b/>
          <w:bCs/>
          <w:color w:val="2C307E"/>
        </w:rPr>
        <w:t>EV-rijders</w:t>
      </w:r>
      <w:r w:rsidRPr="00874450">
        <w:rPr>
          <w:rFonts w:cstheme="minorHAnsi"/>
          <w:b/>
          <w:bCs/>
          <w:color w:val="2C307E"/>
        </w:rPr>
        <w:t xml:space="preserve"> ervaart geen knelpunten bij het laden bij de snellader. [N=1.389]</w:t>
      </w:r>
    </w:p>
    <w:p w14:paraId="64DEF875" w14:textId="0FA79677" w:rsidR="00874450" w:rsidRDefault="00874450" w:rsidP="00874450">
      <w:pPr>
        <w:spacing w:after="0" w:line="240" w:lineRule="auto"/>
        <w:jc w:val="both"/>
        <w:rPr>
          <w:rFonts w:cstheme="minorHAnsi"/>
          <w:color w:val="2C307E"/>
        </w:rPr>
      </w:pPr>
      <w:r>
        <w:rPr>
          <w:rFonts w:cstheme="minorHAnsi"/>
          <w:color w:val="2C307E"/>
        </w:rPr>
        <w:t xml:space="preserve">Het al dan niet ervaren van knelpunten maakt uit in het rapportcijfer: </w:t>
      </w:r>
      <w:r w:rsidR="008A1648">
        <w:rPr>
          <w:rFonts w:cstheme="minorHAnsi"/>
          <w:color w:val="2C307E"/>
        </w:rPr>
        <w:t>EV-rijders</w:t>
      </w:r>
      <w:r>
        <w:rPr>
          <w:rFonts w:cstheme="minorHAnsi"/>
          <w:color w:val="2C307E"/>
        </w:rPr>
        <w:t xml:space="preserve"> die wel knelpunten ervaren geven één punt lager. </w:t>
      </w:r>
    </w:p>
    <w:p w14:paraId="4A8E6FCB" w14:textId="21BED88C" w:rsidR="00A00535" w:rsidRPr="00BE67CB" w:rsidRDefault="00874450" w:rsidP="00BE67CB">
      <w:pPr>
        <w:spacing w:after="0" w:line="276" w:lineRule="auto"/>
        <w:jc w:val="both"/>
        <w:rPr>
          <w:rFonts w:cstheme="minorHAnsi"/>
          <w:color w:val="2C307E"/>
        </w:rPr>
      </w:pPr>
      <w:r>
        <w:rPr>
          <w:rFonts w:cstheme="minorHAnsi"/>
          <w:color w:val="2C307E"/>
        </w:rPr>
        <w:t>Vorig jaar gaf 70% aan geen knelpunten te ervaren bij de snellader, hiermee wordt de positieve trend sinds 2021 doorgezet.</w:t>
      </w:r>
    </w:p>
    <w:tbl>
      <w:tblPr>
        <w:tblStyle w:val="Rastertabel1licht-Accent1"/>
        <w:tblpPr w:leftFromText="141" w:rightFromText="141" w:vertAnchor="text" w:horzAnchor="margin" w:tblpY="5759"/>
        <w:tblOverlap w:val="never"/>
        <w:tblW w:w="11207" w:type="pct"/>
        <w:tblLayout w:type="fixed"/>
        <w:tblLook w:val="04A0" w:firstRow="1" w:lastRow="0" w:firstColumn="1" w:lastColumn="0" w:noHBand="0" w:noVBand="1"/>
      </w:tblPr>
      <w:tblGrid>
        <w:gridCol w:w="281"/>
        <w:gridCol w:w="3684"/>
        <w:gridCol w:w="1135"/>
        <w:gridCol w:w="2125"/>
        <w:gridCol w:w="2126"/>
      </w:tblGrid>
      <w:tr w:rsidR="00A00535" w:rsidRPr="00CA0D55" w14:paraId="21E6248C" w14:textId="77777777" w:rsidTr="002D0DAE">
        <w:trPr>
          <w:cnfStyle w:val="100000000000" w:firstRow="1" w:lastRow="0" w:firstColumn="0" w:lastColumn="0" w:oddVBand="0" w:evenVBand="0" w:oddHBand="0"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150" w:type="pct"/>
            <w:noWrap/>
            <w:hideMark/>
          </w:tcPr>
          <w:p w14:paraId="5563A1CD" w14:textId="77777777" w:rsidR="00A00535" w:rsidRPr="002D0DAE" w:rsidRDefault="00A00535" w:rsidP="00A00535">
            <w:pPr>
              <w:rPr>
                <w:rFonts w:eastAsia="Times New Roman" w:cstheme="minorHAnsi"/>
                <w:color w:val="002060"/>
                <w:sz w:val="20"/>
                <w:szCs w:val="20"/>
                <w:lang w:eastAsia="nl-NL"/>
              </w:rPr>
            </w:pPr>
          </w:p>
        </w:tc>
        <w:tc>
          <w:tcPr>
            <w:tcW w:w="1970" w:type="pct"/>
            <w:noWrap/>
            <w:hideMark/>
          </w:tcPr>
          <w:p w14:paraId="6A431441" w14:textId="77777777" w:rsidR="00A00535" w:rsidRPr="002D0DAE" w:rsidRDefault="00A00535" w:rsidP="00A00535">
            <w:pP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color w:val="002060"/>
                <w:sz w:val="20"/>
                <w:szCs w:val="20"/>
                <w:lang w:eastAsia="nl-NL"/>
              </w:rPr>
            </w:pPr>
            <w:r w:rsidRPr="002D0DAE">
              <w:rPr>
                <w:rFonts w:eastAsia="Times New Roman" w:cstheme="minorHAnsi"/>
                <w:color w:val="002060"/>
                <w:sz w:val="20"/>
                <w:szCs w:val="20"/>
                <w:lang w:eastAsia="nl-NL"/>
              </w:rPr>
              <w:t>Knelpunt</w:t>
            </w:r>
          </w:p>
          <w:p w14:paraId="2A6CF933" w14:textId="77777777" w:rsidR="00A00535" w:rsidRPr="002D0DAE" w:rsidRDefault="00A00535" w:rsidP="00A00535">
            <w:pPr>
              <w:cnfStyle w:val="100000000000" w:firstRow="1" w:lastRow="0" w:firstColumn="0" w:lastColumn="0" w:oddVBand="0" w:evenVBand="0" w:oddHBand="0" w:evenHBand="0" w:firstRowFirstColumn="0" w:firstRowLastColumn="0" w:lastRowFirstColumn="0" w:lastRowLastColumn="0"/>
              <w:rPr>
                <w:rFonts w:eastAsia="Times New Roman" w:cstheme="minorHAnsi"/>
                <w:color w:val="002060"/>
                <w:sz w:val="20"/>
                <w:szCs w:val="20"/>
                <w:lang w:eastAsia="nl-NL"/>
              </w:rPr>
            </w:pPr>
            <w:r w:rsidRPr="002D0DAE">
              <w:rPr>
                <w:rFonts w:eastAsia="Times New Roman" w:cstheme="minorHAnsi"/>
                <w:color w:val="002060"/>
                <w:sz w:val="20"/>
                <w:szCs w:val="20"/>
                <w:lang w:eastAsia="nl-NL"/>
              </w:rPr>
              <w:t>Top 5 vaakst genoemd</w:t>
            </w:r>
          </w:p>
        </w:tc>
        <w:tc>
          <w:tcPr>
            <w:tcW w:w="607" w:type="pct"/>
          </w:tcPr>
          <w:p w14:paraId="31A0EF79" w14:textId="77777777" w:rsidR="00A00535" w:rsidRPr="002D0DAE" w:rsidRDefault="00A00535" w:rsidP="00A00535">
            <w:pPr>
              <w:cnfStyle w:val="100000000000" w:firstRow="1" w:lastRow="0" w:firstColumn="0" w:lastColumn="0" w:oddVBand="0" w:evenVBand="0" w:oddHBand="0" w:evenHBand="0" w:firstRowFirstColumn="0" w:firstRowLastColumn="0" w:lastRowFirstColumn="0" w:lastRowLastColumn="0"/>
              <w:rPr>
                <w:rFonts w:eastAsia="Times New Roman" w:cstheme="minorHAnsi"/>
                <w:color w:val="002060"/>
                <w:sz w:val="20"/>
                <w:szCs w:val="20"/>
                <w:lang w:eastAsia="nl-NL"/>
              </w:rPr>
            </w:pPr>
            <w:r w:rsidRPr="002D0DAE">
              <w:rPr>
                <w:rFonts w:eastAsia="Times New Roman" w:cstheme="minorHAnsi"/>
                <w:color w:val="002060"/>
                <w:sz w:val="20"/>
                <w:szCs w:val="20"/>
                <w:lang w:eastAsia="nl-NL"/>
              </w:rPr>
              <w:t xml:space="preserve">Genoemd door: </w:t>
            </w:r>
          </w:p>
        </w:tc>
        <w:tc>
          <w:tcPr>
            <w:tcW w:w="1136" w:type="pct"/>
            <w:noWrap/>
            <w:hideMark/>
          </w:tcPr>
          <w:p w14:paraId="060FB58D" w14:textId="77777777" w:rsidR="00A00535" w:rsidRPr="002D0DAE" w:rsidRDefault="00A00535" w:rsidP="00A00535">
            <w:pP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color w:val="002060"/>
                <w:sz w:val="20"/>
                <w:szCs w:val="20"/>
                <w:lang w:eastAsia="nl-NL"/>
              </w:rPr>
            </w:pPr>
            <w:r w:rsidRPr="002D0DAE">
              <w:rPr>
                <w:rFonts w:eastAsia="Times New Roman" w:cstheme="minorHAnsi"/>
                <w:color w:val="002060"/>
                <w:sz w:val="20"/>
                <w:szCs w:val="20"/>
                <w:lang w:eastAsia="nl-NL"/>
              </w:rPr>
              <w:t>Komt hoe vaak voor?</w:t>
            </w:r>
          </w:p>
          <w:p w14:paraId="23B4855E" w14:textId="77777777" w:rsidR="00A00535" w:rsidRPr="002D0DAE" w:rsidRDefault="00A00535" w:rsidP="00A00535">
            <w:pP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color w:val="002060"/>
                <w:sz w:val="20"/>
                <w:szCs w:val="20"/>
                <w:lang w:eastAsia="nl-NL"/>
              </w:rPr>
            </w:pPr>
            <w:r w:rsidRPr="002D0DAE">
              <w:rPr>
                <w:rFonts w:eastAsia="Times New Roman" w:cstheme="minorHAnsi"/>
                <w:color w:val="002060"/>
                <w:sz w:val="20"/>
                <w:szCs w:val="20"/>
                <w:lang w:eastAsia="nl-NL"/>
              </w:rPr>
              <w:t>(% van de laadsessies)</w:t>
            </w:r>
          </w:p>
          <w:p w14:paraId="5F6D21E4" w14:textId="77777777" w:rsidR="00A00535" w:rsidRPr="002D0DAE" w:rsidRDefault="00A00535" w:rsidP="00A00535">
            <w:pPr>
              <w:cnfStyle w:val="100000000000" w:firstRow="1" w:lastRow="0" w:firstColumn="0" w:lastColumn="0" w:oddVBand="0" w:evenVBand="0" w:oddHBand="0" w:evenHBand="0" w:firstRowFirstColumn="0" w:firstRowLastColumn="0" w:lastRowFirstColumn="0" w:lastRowLastColumn="0"/>
              <w:rPr>
                <w:rFonts w:eastAsia="Times New Roman" w:cstheme="minorHAnsi"/>
                <w:color w:val="002060"/>
                <w:sz w:val="20"/>
                <w:szCs w:val="20"/>
                <w:lang w:eastAsia="nl-NL"/>
              </w:rPr>
            </w:pPr>
            <w:r w:rsidRPr="002D0DAE">
              <w:rPr>
                <w:rFonts w:eastAsia="Times New Roman" w:cstheme="minorHAnsi"/>
                <w:color w:val="002060"/>
                <w:sz w:val="20"/>
                <w:szCs w:val="20"/>
                <w:lang w:eastAsia="nl-NL"/>
              </w:rPr>
              <w:t>(als men het knelpunt weleens ervaart)</w:t>
            </w:r>
          </w:p>
        </w:tc>
        <w:tc>
          <w:tcPr>
            <w:tcW w:w="1137" w:type="pct"/>
          </w:tcPr>
          <w:p w14:paraId="78BA1140" w14:textId="4CBB30E1" w:rsidR="00A00535" w:rsidRPr="002D0DAE" w:rsidRDefault="00A00535" w:rsidP="00A00535">
            <w:pP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color w:val="002060"/>
                <w:sz w:val="20"/>
                <w:szCs w:val="20"/>
                <w:lang w:eastAsia="nl-NL"/>
              </w:rPr>
            </w:pPr>
            <w:r w:rsidRPr="002D0DAE">
              <w:rPr>
                <w:rFonts w:eastAsia="Times New Roman" w:cstheme="minorHAnsi"/>
                <w:color w:val="002060"/>
                <w:sz w:val="20"/>
                <w:szCs w:val="20"/>
                <w:lang w:eastAsia="nl-NL"/>
              </w:rPr>
              <w:t>Ervaar het knelpunt als</w:t>
            </w:r>
            <w:r w:rsidR="002D0DAE">
              <w:rPr>
                <w:rFonts w:eastAsia="Times New Roman" w:cstheme="minorHAnsi"/>
                <w:color w:val="002060"/>
                <w:sz w:val="20"/>
                <w:szCs w:val="20"/>
                <w:lang w:eastAsia="nl-NL"/>
              </w:rPr>
              <w:t xml:space="preserve"> </w:t>
            </w:r>
            <w:r w:rsidRPr="002D0DAE">
              <w:rPr>
                <w:rFonts w:eastAsia="Times New Roman" w:cstheme="minorHAnsi"/>
                <w:color w:val="002060"/>
                <w:sz w:val="20"/>
                <w:szCs w:val="20"/>
                <w:lang w:eastAsia="nl-NL"/>
              </w:rPr>
              <w:t>heel (erg) hinderlijk</w:t>
            </w:r>
          </w:p>
          <w:p w14:paraId="1534B3E5" w14:textId="77777777" w:rsidR="00A00535" w:rsidRPr="002D0DAE" w:rsidRDefault="00A00535" w:rsidP="00A00535">
            <w:pPr>
              <w:cnfStyle w:val="100000000000" w:firstRow="1" w:lastRow="0" w:firstColumn="0" w:lastColumn="0" w:oddVBand="0" w:evenVBand="0" w:oddHBand="0" w:evenHBand="0" w:firstRowFirstColumn="0" w:firstRowLastColumn="0" w:lastRowFirstColumn="0" w:lastRowLastColumn="0"/>
              <w:rPr>
                <w:rFonts w:eastAsia="Times New Roman" w:cstheme="minorHAnsi"/>
                <w:color w:val="002060"/>
                <w:sz w:val="20"/>
                <w:szCs w:val="20"/>
                <w:lang w:eastAsia="nl-NL"/>
              </w:rPr>
            </w:pPr>
            <w:r w:rsidRPr="002D0DAE">
              <w:rPr>
                <w:rFonts w:eastAsia="Times New Roman" w:cstheme="minorHAnsi"/>
                <w:color w:val="002060"/>
                <w:sz w:val="20"/>
                <w:szCs w:val="20"/>
                <w:lang w:eastAsia="nl-NL"/>
              </w:rPr>
              <w:t>(als men het knelpunt weleens ervaart)</w:t>
            </w:r>
          </w:p>
        </w:tc>
      </w:tr>
      <w:tr w:rsidR="00A00535" w:rsidRPr="00CA0D55" w14:paraId="57854F39" w14:textId="77777777" w:rsidTr="002D0DAE">
        <w:trPr>
          <w:trHeight w:val="295"/>
        </w:trPr>
        <w:tc>
          <w:tcPr>
            <w:cnfStyle w:val="001000000000" w:firstRow="0" w:lastRow="0" w:firstColumn="1" w:lastColumn="0" w:oddVBand="0" w:evenVBand="0" w:oddHBand="0" w:evenHBand="0" w:firstRowFirstColumn="0" w:firstRowLastColumn="0" w:lastRowFirstColumn="0" w:lastRowLastColumn="0"/>
            <w:tcW w:w="150" w:type="pct"/>
            <w:noWrap/>
            <w:hideMark/>
          </w:tcPr>
          <w:p w14:paraId="1514C5DC" w14:textId="77777777" w:rsidR="00A00535" w:rsidRPr="002D0DAE" w:rsidRDefault="00A00535" w:rsidP="00A00535">
            <w:pPr>
              <w:jc w:val="right"/>
              <w:rPr>
                <w:rFonts w:eastAsia="Times New Roman" w:cstheme="minorHAnsi"/>
                <w:color w:val="002060"/>
                <w:sz w:val="20"/>
                <w:szCs w:val="20"/>
                <w:lang w:eastAsia="nl-NL"/>
              </w:rPr>
            </w:pPr>
            <w:r w:rsidRPr="002D0DAE">
              <w:rPr>
                <w:rFonts w:eastAsia="Times New Roman" w:cstheme="minorHAnsi"/>
                <w:color w:val="002060"/>
                <w:sz w:val="20"/>
                <w:szCs w:val="20"/>
                <w:lang w:eastAsia="nl-NL"/>
              </w:rPr>
              <w:t>1</w:t>
            </w:r>
          </w:p>
        </w:tc>
        <w:tc>
          <w:tcPr>
            <w:tcW w:w="1970" w:type="pct"/>
            <w:noWrap/>
          </w:tcPr>
          <w:p w14:paraId="58F748D6" w14:textId="77777777" w:rsidR="00A00535" w:rsidRPr="002D0DAE" w:rsidRDefault="00A00535" w:rsidP="00A00535">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2060"/>
                <w:sz w:val="20"/>
                <w:szCs w:val="20"/>
                <w:lang w:eastAsia="nl-NL"/>
              </w:rPr>
            </w:pPr>
            <w:r w:rsidRPr="002D0DAE">
              <w:rPr>
                <w:rFonts w:eastAsia="Times New Roman" w:cstheme="minorHAnsi"/>
                <w:color w:val="002060"/>
                <w:sz w:val="20"/>
                <w:szCs w:val="20"/>
                <w:lang w:eastAsia="nl-NL"/>
              </w:rPr>
              <w:t>Laadpaal is bezet door een EV die laadt</w:t>
            </w:r>
          </w:p>
        </w:tc>
        <w:tc>
          <w:tcPr>
            <w:tcW w:w="607" w:type="pct"/>
          </w:tcPr>
          <w:p w14:paraId="21B21143" w14:textId="77777777" w:rsidR="00A00535" w:rsidRPr="002D0DAE" w:rsidRDefault="00A00535" w:rsidP="00A00535">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2060"/>
                <w:sz w:val="20"/>
                <w:szCs w:val="20"/>
                <w:lang w:eastAsia="nl-NL"/>
              </w:rPr>
            </w:pPr>
            <w:r w:rsidRPr="002D0DAE">
              <w:rPr>
                <w:rFonts w:eastAsia="Times New Roman" w:cstheme="minorHAnsi"/>
                <w:color w:val="002060"/>
                <w:sz w:val="20"/>
                <w:szCs w:val="20"/>
                <w:lang w:eastAsia="nl-NL"/>
              </w:rPr>
              <w:t>21%</w:t>
            </w:r>
          </w:p>
        </w:tc>
        <w:tc>
          <w:tcPr>
            <w:tcW w:w="1136" w:type="pct"/>
            <w:noWrap/>
          </w:tcPr>
          <w:p w14:paraId="474CF0CF" w14:textId="77777777" w:rsidR="00A00535" w:rsidRPr="002D0DAE" w:rsidRDefault="00A00535" w:rsidP="00A00535">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2060"/>
                <w:sz w:val="20"/>
                <w:szCs w:val="20"/>
                <w:lang w:eastAsia="nl-NL"/>
              </w:rPr>
            </w:pPr>
            <w:r w:rsidRPr="002D0DAE">
              <w:rPr>
                <w:rFonts w:eastAsia="Times New Roman" w:cstheme="minorHAnsi"/>
                <w:color w:val="002060"/>
                <w:sz w:val="20"/>
                <w:szCs w:val="20"/>
                <w:lang w:eastAsia="nl-NL"/>
              </w:rPr>
              <w:t>18%</w:t>
            </w:r>
          </w:p>
        </w:tc>
        <w:tc>
          <w:tcPr>
            <w:tcW w:w="1137" w:type="pct"/>
          </w:tcPr>
          <w:p w14:paraId="6DBF1B40" w14:textId="77777777" w:rsidR="00A00535" w:rsidRPr="002D0DAE" w:rsidRDefault="00A00535" w:rsidP="00A00535">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2060"/>
                <w:sz w:val="20"/>
                <w:szCs w:val="20"/>
                <w:lang w:eastAsia="nl-NL"/>
              </w:rPr>
            </w:pPr>
            <w:r w:rsidRPr="002D0DAE">
              <w:rPr>
                <w:rFonts w:eastAsia="Times New Roman" w:cstheme="minorHAnsi"/>
                <w:color w:val="002060"/>
                <w:sz w:val="20"/>
                <w:szCs w:val="20"/>
                <w:lang w:eastAsia="nl-NL"/>
              </w:rPr>
              <w:t>31%</w:t>
            </w:r>
          </w:p>
        </w:tc>
      </w:tr>
      <w:tr w:rsidR="00A00535" w:rsidRPr="00CA0D55" w14:paraId="02A1DC9A" w14:textId="77777777" w:rsidTr="002D0DAE">
        <w:trPr>
          <w:trHeight w:val="295"/>
        </w:trPr>
        <w:tc>
          <w:tcPr>
            <w:cnfStyle w:val="001000000000" w:firstRow="0" w:lastRow="0" w:firstColumn="1" w:lastColumn="0" w:oddVBand="0" w:evenVBand="0" w:oddHBand="0" w:evenHBand="0" w:firstRowFirstColumn="0" w:firstRowLastColumn="0" w:lastRowFirstColumn="0" w:lastRowLastColumn="0"/>
            <w:tcW w:w="150" w:type="pct"/>
            <w:noWrap/>
            <w:hideMark/>
          </w:tcPr>
          <w:p w14:paraId="303D29FB" w14:textId="77777777" w:rsidR="00A00535" w:rsidRPr="002D0DAE" w:rsidRDefault="00A00535" w:rsidP="00A00535">
            <w:pPr>
              <w:jc w:val="right"/>
              <w:rPr>
                <w:rFonts w:eastAsia="Times New Roman" w:cstheme="minorHAnsi"/>
                <w:color w:val="002060"/>
                <w:sz w:val="20"/>
                <w:szCs w:val="20"/>
                <w:lang w:eastAsia="nl-NL"/>
              </w:rPr>
            </w:pPr>
            <w:r w:rsidRPr="002D0DAE">
              <w:rPr>
                <w:rFonts w:eastAsia="Times New Roman" w:cstheme="minorHAnsi"/>
                <w:color w:val="002060"/>
                <w:sz w:val="20"/>
                <w:szCs w:val="20"/>
                <w:lang w:eastAsia="nl-NL"/>
              </w:rPr>
              <w:t>2</w:t>
            </w:r>
          </w:p>
        </w:tc>
        <w:tc>
          <w:tcPr>
            <w:tcW w:w="1970" w:type="pct"/>
            <w:noWrap/>
          </w:tcPr>
          <w:p w14:paraId="358047B8" w14:textId="77777777" w:rsidR="00A00535" w:rsidRPr="002D0DAE" w:rsidRDefault="00A00535" w:rsidP="00A00535">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2060"/>
                <w:sz w:val="20"/>
                <w:szCs w:val="20"/>
                <w:lang w:eastAsia="nl-NL"/>
              </w:rPr>
            </w:pPr>
            <w:r w:rsidRPr="002D0DAE">
              <w:rPr>
                <w:rFonts w:eastAsia="Times New Roman" w:cstheme="minorHAnsi"/>
                <w:color w:val="002060"/>
                <w:sz w:val="20"/>
                <w:szCs w:val="20"/>
                <w:lang w:eastAsia="nl-NL"/>
              </w:rPr>
              <w:t>Er zijn te weinig snelladers</w:t>
            </w:r>
          </w:p>
        </w:tc>
        <w:tc>
          <w:tcPr>
            <w:tcW w:w="607" w:type="pct"/>
          </w:tcPr>
          <w:p w14:paraId="154C26E7" w14:textId="77777777" w:rsidR="00A00535" w:rsidRPr="002D0DAE" w:rsidRDefault="00A00535" w:rsidP="00A00535">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2060"/>
                <w:sz w:val="20"/>
                <w:szCs w:val="20"/>
                <w:lang w:eastAsia="nl-NL"/>
              </w:rPr>
            </w:pPr>
            <w:r w:rsidRPr="002D0DAE">
              <w:rPr>
                <w:rFonts w:eastAsia="Times New Roman" w:cstheme="minorHAnsi"/>
                <w:color w:val="002060"/>
                <w:sz w:val="20"/>
                <w:szCs w:val="20"/>
                <w:lang w:eastAsia="nl-NL"/>
              </w:rPr>
              <w:t>20%</w:t>
            </w:r>
          </w:p>
        </w:tc>
        <w:tc>
          <w:tcPr>
            <w:tcW w:w="1136" w:type="pct"/>
            <w:noWrap/>
          </w:tcPr>
          <w:p w14:paraId="257D2338" w14:textId="77777777" w:rsidR="00A00535" w:rsidRPr="002D0DAE" w:rsidRDefault="00A00535" w:rsidP="00A00535">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2060"/>
                <w:sz w:val="20"/>
                <w:szCs w:val="20"/>
                <w:lang w:eastAsia="nl-NL"/>
              </w:rPr>
            </w:pPr>
            <w:r w:rsidRPr="002D0DAE">
              <w:rPr>
                <w:rFonts w:eastAsia="Times New Roman" w:cstheme="minorHAnsi"/>
                <w:color w:val="002060"/>
                <w:sz w:val="20"/>
                <w:szCs w:val="20"/>
                <w:lang w:eastAsia="nl-NL"/>
              </w:rPr>
              <w:t>20%</w:t>
            </w:r>
          </w:p>
        </w:tc>
        <w:tc>
          <w:tcPr>
            <w:tcW w:w="1137" w:type="pct"/>
          </w:tcPr>
          <w:p w14:paraId="4CBCD0C4" w14:textId="77777777" w:rsidR="00A00535" w:rsidRPr="002D0DAE" w:rsidRDefault="00A00535" w:rsidP="00A00535">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2060"/>
                <w:sz w:val="20"/>
                <w:szCs w:val="20"/>
                <w:lang w:eastAsia="nl-NL"/>
              </w:rPr>
            </w:pPr>
            <w:r w:rsidRPr="002D0DAE">
              <w:rPr>
                <w:rFonts w:eastAsia="Times New Roman" w:cstheme="minorHAnsi"/>
                <w:color w:val="002060"/>
                <w:sz w:val="20"/>
                <w:szCs w:val="20"/>
                <w:lang w:eastAsia="nl-NL"/>
              </w:rPr>
              <w:t>40%</w:t>
            </w:r>
          </w:p>
        </w:tc>
      </w:tr>
      <w:tr w:rsidR="00A00535" w:rsidRPr="00CA0D55" w14:paraId="085BB0E3" w14:textId="77777777" w:rsidTr="002D0DAE">
        <w:trPr>
          <w:trHeight w:val="295"/>
        </w:trPr>
        <w:tc>
          <w:tcPr>
            <w:cnfStyle w:val="001000000000" w:firstRow="0" w:lastRow="0" w:firstColumn="1" w:lastColumn="0" w:oddVBand="0" w:evenVBand="0" w:oddHBand="0" w:evenHBand="0" w:firstRowFirstColumn="0" w:firstRowLastColumn="0" w:lastRowFirstColumn="0" w:lastRowLastColumn="0"/>
            <w:tcW w:w="150" w:type="pct"/>
            <w:noWrap/>
            <w:hideMark/>
          </w:tcPr>
          <w:p w14:paraId="1698BAEB" w14:textId="77777777" w:rsidR="00A00535" w:rsidRPr="002D0DAE" w:rsidRDefault="00A00535" w:rsidP="00A00535">
            <w:pPr>
              <w:jc w:val="right"/>
              <w:rPr>
                <w:rFonts w:eastAsia="Times New Roman" w:cstheme="minorHAnsi"/>
                <w:color w:val="002060"/>
                <w:sz w:val="20"/>
                <w:szCs w:val="20"/>
                <w:lang w:eastAsia="nl-NL"/>
              </w:rPr>
            </w:pPr>
            <w:r w:rsidRPr="002D0DAE">
              <w:rPr>
                <w:rFonts w:eastAsia="Times New Roman" w:cstheme="minorHAnsi"/>
                <w:color w:val="002060"/>
                <w:sz w:val="20"/>
                <w:szCs w:val="20"/>
                <w:lang w:eastAsia="nl-NL"/>
              </w:rPr>
              <w:t>3</w:t>
            </w:r>
          </w:p>
        </w:tc>
        <w:tc>
          <w:tcPr>
            <w:tcW w:w="1970" w:type="pct"/>
            <w:noWrap/>
          </w:tcPr>
          <w:p w14:paraId="7C477AF9" w14:textId="77777777" w:rsidR="00A00535" w:rsidRPr="002D0DAE" w:rsidRDefault="00A00535" w:rsidP="00A00535">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2060"/>
                <w:sz w:val="20"/>
                <w:szCs w:val="20"/>
                <w:lang w:eastAsia="nl-NL"/>
              </w:rPr>
            </w:pPr>
            <w:r w:rsidRPr="002D0DAE">
              <w:rPr>
                <w:rFonts w:eastAsia="Times New Roman" w:cstheme="minorHAnsi"/>
                <w:color w:val="002060"/>
                <w:sz w:val="20"/>
                <w:szCs w:val="20"/>
                <w:lang w:eastAsia="nl-NL"/>
              </w:rPr>
              <w:t>Laadpaal is defect</w:t>
            </w:r>
          </w:p>
        </w:tc>
        <w:tc>
          <w:tcPr>
            <w:tcW w:w="607" w:type="pct"/>
          </w:tcPr>
          <w:p w14:paraId="5D459CBD" w14:textId="77777777" w:rsidR="00A00535" w:rsidRPr="002D0DAE" w:rsidRDefault="00A00535" w:rsidP="00A00535">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2060"/>
                <w:sz w:val="20"/>
                <w:szCs w:val="20"/>
                <w:lang w:eastAsia="nl-NL"/>
              </w:rPr>
            </w:pPr>
            <w:r w:rsidRPr="002D0DAE">
              <w:rPr>
                <w:rFonts w:eastAsia="Times New Roman" w:cstheme="minorHAnsi"/>
                <w:color w:val="002060"/>
                <w:sz w:val="20"/>
                <w:szCs w:val="20"/>
                <w:lang w:eastAsia="nl-NL"/>
              </w:rPr>
              <w:t>19%</w:t>
            </w:r>
          </w:p>
        </w:tc>
        <w:tc>
          <w:tcPr>
            <w:tcW w:w="1136" w:type="pct"/>
            <w:noWrap/>
          </w:tcPr>
          <w:p w14:paraId="529AE948" w14:textId="77777777" w:rsidR="00A00535" w:rsidRPr="002D0DAE" w:rsidRDefault="00A00535" w:rsidP="00A00535">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2060"/>
                <w:sz w:val="20"/>
                <w:szCs w:val="20"/>
                <w:lang w:eastAsia="nl-NL"/>
              </w:rPr>
            </w:pPr>
            <w:r w:rsidRPr="002D0DAE">
              <w:rPr>
                <w:rFonts w:eastAsia="Times New Roman" w:cstheme="minorHAnsi"/>
                <w:color w:val="002060"/>
                <w:sz w:val="20"/>
                <w:szCs w:val="20"/>
                <w:lang w:eastAsia="nl-NL"/>
              </w:rPr>
              <w:t>12%</w:t>
            </w:r>
          </w:p>
        </w:tc>
        <w:tc>
          <w:tcPr>
            <w:tcW w:w="1137" w:type="pct"/>
          </w:tcPr>
          <w:p w14:paraId="1BF45B35" w14:textId="77777777" w:rsidR="00A00535" w:rsidRPr="002D0DAE" w:rsidRDefault="00A00535" w:rsidP="00A00535">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2060"/>
                <w:sz w:val="20"/>
                <w:szCs w:val="20"/>
                <w:lang w:eastAsia="nl-NL"/>
              </w:rPr>
            </w:pPr>
            <w:r w:rsidRPr="002D0DAE">
              <w:rPr>
                <w:rFonts w:eastAsia="Times New Roman" w:cstheme="minorHAnsi"/>
                <w:color w:val="002060"/>
                <w:sz w:val="20"/>
                <w:szCs w:val="20"/>
                <w:lang w:eastAsia="nl-NL"/>
              </w:rPr>
              <w:t>69%</w:t>
            </w:r>
          </w:p>
        </w:tc>
      </w:tr>
      <w:tr w:rsidR="00A00535" w:rsidRPr="00CA0D55" w14:paraId="7A6ED36A" w14:textId="77777777" w:rsidTr="002D0DAE">
        <w:trPr>
          <w:trHeight w:val="295"/>
        </w:trPr>
        <w:tc>
          <w:tcPr>
            <w:cnfStyle w:val="001000000000" w:firstRow="0" w:lastRow="0" w:firstColumn="1" w:lastColumn="0" w:oddVBand="0" w:evenVBand="0" w:oddHBand="0" w:evenHBand="0" w:firstRowFirstColumn="0" w:firstRowLastColumn="0" w:lastRowFirstColumn="0" w:lastRowLastColumn="0"/>
            <w:tcW w:w="150" w:type="pct"/>
            <w:noWrap/>
            <w:hideMark/>
          </w:tcPr>
          <w:p w14:paraId="409DA385" w14:textId="77777777" w:rsidR="00A00535" w:rsidRPr="002D0DAE" w:rsidRDefault="00A00535" w:rsidP="00A00535">
            <w:pPr>
              <w:jc w:val="right"/>
              <w:rPr>
                <w:rFonts w:eastAsia="Times New Roman" w:cstheme="minorHAnsi"/>
                <w:color w:val="002060"/>
                <w:sz w:val="20"/>
                <w:szCs w:val="20"/>
                <w:lang w:eastAsia="nl-NL"/>
              </w:rPr>
            </w:pPr>
            <w:r w:rsidRPr="002D0DAE">
              <w:rPr>
                <w:rFonts w:eastAsia="Times New Roman" w:cstheme="minorHAnsi"/>
                <w:color w:val="002060"/>
                <w:sz w:val="20"/>
                <w:szCs w:val="20"/>
                <w:lang w:eastAsia="nl-NL"/>
              </w:rPr>
              <w:t>4</w:t>
            </w:r>
          </w:p>
        </w:tc>
        <w:tc>
          <w:tcPr>
            <w:tcW w:w="1970" w:type="pct"/>
            <w:noWrap/>
          </w:tcPr>
          <w:p w14:paraId="7A9701D9" w14:textId="77777777" w:rsidR="00A00535" w:rsidRPr="002D0DAE" w:rsidRDefault="00A00535" w:rsidP="00A00535">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2060"/>
                <w:sz w:val="20"/>
                <w:szCs w:val="20"/>
                <w:lang w:eastAsia="nl-NL"/>
              </w:rPr>
            </w:pPr>
            <w:r w:rsidRPr="002D0DAE">
              <w:rPr>
                <w:rFonts w:eastAsia="Times New Roman" w:cstheme="minorHAnsi"/>
                <w:color w:val="002060"/>
                <w:sz w:val="20"/>
                <w:szCs w:val="20"/>
                <w:lang w:eastAsia="nl-NL"/>
              </w:rPr>
              <w:t xml:space="preserve">Het is te druk met andere wachtende EV’s </w:t>
            </w:r>
          </w:p>
        </w:tc>
        <w:tc>
          <w:tcPr>
            <w:tcW w:w="607" w:type="pct"/>
          </w:tcPr>
          <w:p w14:paraId="0E2EEE8D" w14:textId="77777777" w:rsidR="00A00535" w:rsidRPr="002D0DAE" w:rsidRDefault="00A00535" w:rsidP="00A00535">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2060"/>
                <w:sz w:val="20"/>
                <w:szCs w:val="20"/>
                <w:lang w:eastAsia="nl-NL"/>
              </w:rPr>
            </w:pPr>
            <w:r w:rsidRPr="002D0DAE">
              <w:rPr>
                <w:rFonts w:eastAsia="Times New Roman" w:cstheme="minorHAnsi"/>
                <w:color w:val="002060"/>
                <w:sz w:val="20"/>
                <w:szCs w:val="20"/>
                <w:lang w:eastAsia="nl-NL"/>
              </w:rPr>
              <w:t>19%</w:t>
            </w:r>
          </w:p>
        </w:tc>
        <w:tc>
          <w:tcPr>
            <w:tcW w:w="1136" w:type="pct"/>
            <w:noWrap/>
          </w:tcPr>
          <w:p w14:paraId="39824F7F" w14:textId="77777777" w:rsidR="00A00535" w:rsidRPr="002D0DAE" w:rsidRDefault="00A00535" w:rsidP="00A00535">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2060"/>
                <w:sz w:val="20"/>
                <w:szCs w:val="20"/>
                <w:lang w:eastAsia="nl-NL"/>
              </w:rPr>
            </w:pPr>
            <w:r w:rsidRPr="002D0DAE">
              <w:rPr>
                <w:rFonts w:eastAsia="Times New Roman" w:cstheme="minorHAnsi"/>
                <w:color w:val="002060"/>
                <w:sz w:val="20"/>
                <w:szCs w:val="20"/>
                <w:lang w:eastAsia="nl-NL"/>
              </w:rPr>
              <w:t>16%</w:t>
            </w:r>
          </w:p>
        </w:tc>
        <w:tc>
          <w:tcPr>
            <w:tcW w:w="1137" w:type="pct"/>
          </w:tcPr>
          <w:p w14:paraId="57307E6C" w14:textId="77777777" w:rsidR="00A00535" w:rsidRPr="002D0DAE" w:rsidRDefault="00A00535" w:rsidP="00A00535">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2060"/>
                <w:sz w:val="20"/>
                <w:szCs w:val="20"/>
                <w:lang w:eastAsia="nl-NL"/>
              </w:rPr>
            </w:pPr>
            <w:r w:rsidRPr="002D0DAE">
              <w:rPr>
                <w:rFonts w:eastAsia="Times New Roman" w:cstheme="minorHAnsi"/>
                <w:color w:val="002060"/>
                <w:sz w:val="20"/>
                <w:szCs w:val="20"/>
                <w:lang w:eastAsia="nl-NL"/>
              </w:rPr>
              <w:t>51%</w:t>
            </w:r>
          </w:p>
        </w:tc>
      </w:tr>
      <w:tr w:rsidR="00A00535" w:rsidRPr="00CA0D55" w14:paraId="44773A0F" w14:textId="77777777" w:rsidTr="002D0DAE">
        <w:trPr>
          <w:trHeight w:val="295"/>
        </w:trPr>
        <w:tc>
          <w:tcPr>
            <w:cnfStyle w:val="001000000000" w:firstRow="0" w:lastRow="0" w:firstColumn="1" w:lastColumn="0" w:oddVBand="0" w:evenVBand="0" w:oddHBand="0" w:evenHBand="0" w:firstRowFirstColumn="0" w:firstRowLastColumn="0" w:lastRowFirstColumn="0" w:lastRowLastColumn="0"/>
            <w:tcW w:w="150" w:type="pct"/>
            <w:noWrap/>
            <w:hideMark/>
          </w:tcPr>
          <w:p w14:paraId="08B19614" w14:textId="77777777" w:rsidR="00A00535" w:rsidRPr="002D0DAE" w:rsidRDefault="00A00535" w:rsidP="00A00535">
            <w:pPr>
              <w:jc w:val="right"/>
              <w:rPr>
                <w:rFonts w:eastAsia="Times New Roman" w:cstheme="minorHAnsi"/>
                <w:color w:val="002060"/>
                <w:sz w:val="20"/>
                <w:szCs w:val="20"/>
                <w:lang w:eastAsia="nl-NL"/>
              </w:rPr>
            </w:pPr>
            <w:r w:rsidRPr="002D0DAE">
              <w:rPr>
                <w:rFonts w:eastAsia="Times New Roman" w:cstheme="minorHAnsi"/>
                <w:color w:val="002060"/>
                <w:sz w:val="20"/>
                <w:szCs w:val="20"/>
                <w:lang w:eastAsia="nl-NL"/>
              </w:rPr>
              <w:t>5</w:t>
            </w:r>
          </w:p>
        </w:tc>
        <w:tc>
          <w:tcPr>
            <w:tcW w:w="1970" w:type="pct"/>
            <w:noWrap/>
          </w:tcPr>
          <w:p w14:paraId="1FD72774" w14:textId="77777777" w:rsidR="00A00535" w:rsidRPr="002D0DAE" w:rsidRDefault="00A00535" w:rsidP="00A00535">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2060"/>
                <w:sz w:val="20"/>
                <w:szCs w:val="20"/>
                <w:lang w:eastAsia="nl-NL"/>
              </w:rPr>
            </w:pPr>
            <w:r w:rsidRPr="002D0DAE">
              <w:rPr>
                <w:rFonts w:eastAsia="Times New Roman" w:cstheme="minorHAnsi"/>
                <w:color w:val="002060"/>
                <w:sz w:val="20"/>
                <w:szCs w:val="20"/>
                <w:lang w:eastAsia="nl-NL"/>
              </w:rPr>
              <w:t>Laadsnelheid is lager dan aangegeven</w:t>
            </w:r>
          </w:p>
        </w:tc>
        <w:tc>
          <w:tcPr>
            <w:tcW w:w="607" w:type="pct"/>
          </w:tcPr>
          <w:p w14:paraId="1C114ABC" w14:textId="77777777" w:rsidR="00A00535" w:rsidRPr="002D0DAE" w:rsidRDefault="00A00535" w:rsidP="00A00535">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2060"/>
                <w:sz w:val="20"/>
                <w:szCs w:val="20"/>
                <w:lang w:eastAsia="nl-NL"/>
              </w:rPr>
            </w:pPr>
            <w:r w:rsidRPr="002D0DAE">
              <w:rPr>
                <w:rFonts w:eastAsia="Times New Roman" w:cstheme="minorHAnsi"/>
                <w:color w:val="002060"/>
                <w:sz w:val="20"/>
                <w:szCs w:val="20"/>
                <w:lang w:eastAsia="nl-NL"/>
              </w:rPr>
              <w:t>18%</w:t>
            </w:r>
          </w:p>
        </w:tc>
        <w:tc>
          <w:tcPr>
            <w:tcW w:w="1136" w:type="pct"/>
            <w:noWrap/>
          </w:tcPr>
          <w:p w14:paraId="5E6CCD9C" w14:textId="77777777" w:rsidR="00A00535" w:rsidRPr="002D0DAE" w:rsidRDefault="00A00535" w:rsidP="00A00535">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2060"/>
                <w:sz w:val="20"/>
                <w:szCs w:val="20"/>
                <w:lang w:eastAsia="nl-NL"/>
              </w:rPr>
            </w:pPr>
            <w:r w:rsidRPr="002D0DAE">
              <w:rPr>
                <w:rFonts w:eastAsia="Times New Roman" w:cstheme="minorHAnsi"/>
                <w:color w:val="002060"/>
                <w:sz w:val="20"/>
                <w:szCs w:val="20"/>
                <w:lang w:eastAsia="nl-NL"/>
              </w:rPr>
              <w:t>39%</w:t>
            </w:r>
          </w:p>
        </w:tc>
        <w:tc>
          <w:tcPr>
            <w:tcW w:w="1137" w:type="pct"/>
          </w:tcPr>
          <w:p w14:paraId="0F18C62C" w14:textId="77777777" w:rsidR="00A00535" w:rsidRPr="002D0DAE" w:rsidRDefault="00A00535" w:rsidP="00A00535">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2060"/>
                <w:sz w:val="20"/>
                <w:szCs w:val="20"/>
                <w:lang w:eastAsia="nl-NL"/>
              </w:rPr>
            </w:pPr>
            <w:r w:rsidRPr="002D0DAE">
              <w:rPr>
                <w:rFonts w:eastAsia="Times New Roman" w:cstheme="minorHAnsi"/>
                <w:color w:val="002060"/>
                <w:sz w:val="20"/>
                <w:szCs w:val="20"/>
                <w:lang w:eastAsia="nl-NL"/>
              </w:rPr>
              <w:t>44%</w:t>
            </w:r>
          </w:p>
        </w:tc>
      </w:tr>
    </w:tbl>
    <w:p w14:paraId="04F0F548" w14:textId="1AEE7F18" w:rsidR="00712417" w:rsidRPr="00057017" w:rsidRDefault="00207E7C" w:rsidP="00712417">
      <w:pPr>
        <w:spacing w:after="0" w:line="240" w:lineRule="auto"/>
        <w:jc w:val="both"/>
        <w:rPr>
          <w:color w:val="2C307E"/>
          <w:highlight w:val="yellow"/>
        </w:rPr>
      </w:pPr>
      <w:r>
        <w:rPr>
          <w:noProof/>
        </w:rPr>
        <w:drawing>
          <wp:inline distT="0" distB="0" distL="0" distR="0" wp14:anchorId="7784A55B" wp14:editId="2540C220">
            <wp:extent cx="2655570" cy="2330245"/>
            <wp:effectExtent l="0" t="0" r="0" b="0"/>
            <wp:docPr id="1515775861" name="Grafiek 1">
              <a:extLst xmlns:a="http://schemas.openxmlformats.org/drawingml/2006/main">
                <a:ext uri="{FF2B5EF4-FFF2-40B4-BE49-F238E27FC236}">
                  <a16:creationId xmlns:a16="http://schemas.microsoft.com/office/drawing/2014/main" id="{69584E90-4FBB-A10F-E4B3-D14860FF1B6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inline>
        </w:drawing>
      </w:r>
    </w:p>
    <w:p w14:paraId="1EAFB80E" w14:textId="77777777" w:rsidR="008F5FB2" w:rsidRDefault="008F5FB2" w:rsidP="008F5FB2">
      <w:pPr>
        <w:spacing w:after="0" w:line="240" w:lineRule="auto"/>
        <w:jc w:val="both"/>
        <w:rPr>
          <w:rFonts w:cstheme="minorHAnsi"/>
          <w:b/>
          <w:bCs/>
          <w:color w:val="2C307E"/>
        </w:rPr>
      </w:pPr>
      <w:r>
        <w:rPr>
          <w:rFonts w:cstheme="minorHAnsi"/>
          <w:b/>
          <w:bCs/>
          <w:color w:val="2C307E"/>
        </w:rPr>
        <w:t>Hoe vaak komt het knelpunt voor?</w:t>
      </w:r>
    </w:p>
    <w:p w14:paraId="003BB40F" w14:textId="77777777" w:rsidR="00BE67CB" w:rsidRDefault="00BE67CB" w:rsidP="00BE67CB">
      <w:pPr>
        <w:spacing w:after="0" w:line="240" w:lineRule="auto"/>
        <w:jc w:val="both"/>
        <w:rPr>
          <w:rFonts w:cstheme="minorHAnsi"/>
          <w:color w:val="2C307E"/>
        </w:rPr>
      </w:pPr>
      <w:r>
        <w:rPr>
          <w:rFonts w:cstheme="minorHAnsi"/>
          <w:color w:val="2C307E"/>
        </w:rPr>
        <w:t>Er is gevraagd welke knelpunten EV-rijders ervaren, maar ook in hoeveel procent van de laadsessies deze voorkomt. Het kan dus zijn dat een knelpunt vaak wordt genoemd, maar dat het in relatief weinig sessies voorkomt.</w:t>
      </w:r>
    </w:p>
    <w:p w14:paraId="26715728" w14:textId="77777777" w:rsidR="008F5FB2" w:rsidRDefault="008F5FB2" w:rsidP="00795B38">
      <w:pPr>
        <w:spacing w:after="0" w:line="240" w:lineRule="auto"/>
        <w:jc w:val="both"/>
        <w:rPr>
          <w:rFonts w:cstheme="minorHAnsi"/>
          <w:color w:val="2C307E"/>
        </w:rPr>
      </w:pPr>
    </w:p>
    <w:p w14:paraId="679D1D98" w14:textId="77777777" w:rsidR="00BE67CB" w:rsidRDefault="00BE67CB" w:rsidP="00795B38">
      <w:pPr>
        <w:spacing w:after="0" w:line="240" w:lineRule="auto"/>
        <w:jc w:val="both"/>
        <w:rPr>
          <w:rFonts w:cstheme="minorHAnsi"/>
          <w:color w:val="2C307E"/>
        </w:rPr>
      </w:pPr>
    </w:p>
    <w:p w14:paraId="3E3AE125" w14:textId="77777777" w:rsidR="00BE67CB" w:rsidRDefault="00BE67CB" w:rsidP="00795B38">
      <w:pPr>
        <w:spacing w:after="0" w:line="240" w:lineRule="auto"/>
        <w:jc w:val="both"/>
        <w:rPr>
          <w:rFonts w:cstheme="minorHAnsi"/>
          <w:color w:val="2C307E"/>
        </w:rPr>
      </w:pPr>
    </w:p>
    <w:p w14:paraId="677CE5EA" w14:textId="2657A1D1" w:rsidR="00F02E67" w:rsidRDefault="00A00535" w:rsidP="00795B38">
      <w:pPr>
        <w:spacing w:after="0" w:line="240" w:lineRule="auto"/>
        <w:jc w:val="both"/>
        <w:rPr>
          <w:rFonts w:cstheme="minorHAnsi"/>
          <w:color w:val="2C307E"/>
        </w:rPr>
      </w:pPr>
      <w:r>
        <w:rPr>
          <w:rFonts w:cstheme="minorHAnsi"/>
          <w:color w:val="2C307E"/>
        </w:rPr>
        <w:t xml:space="preserve">Het meest </w:t>
      </w:r>
      <w:r w:rsidR="00BE67CB">
        <w:rPr>
          <w:rFonts w:cstheme="minorHAnsi"/>
          <w:color w:val="2C307E"/>
        </w:rPr>
        <w:t>genoemde</w:t>
      </w:r>
      <w:r>
        <w:rPr>
          <w:rFonts w:cstheme="minorHAnsi"/>
          <w:color w:val="2C307E"/>
        </w:rPr>
        <w:t xml:space="preserve"> knelpunt is dat </w:t>
      </w:r>
      <w:r w:rsidR="006406F2">
        <w:rPr>
          <w:rFonts w:cstheme="minorHAnsi"/>
          <w:color w:val="2C307E"/>
        </w:rPr>
        <w:t xml:space="preserve">de laadpaal </w:t>
      </w:r>
      <w:r w:rsidR="00F20575">
        <w:rPr>
          <w:rFonts w:cstheme="minorHAnsi"/>
          <w:color w:val="2C307E"/>
        </w:rPr>
        <w:t xml:space="preserve">al </w:t>
      </w:r>
      <w:r w:rsidR="006406F2">
        <w:rPr>
          <w:rFonts w:cstheme="minorHAnsi"/>
          <w:color w:val="2C307E"/>
        </w:rPr>
        <w:t xml:space="preserve">bezet is door een </w:t>
      </w:r>
      <w:r w:rsidR="00F20575">
        <w:rPr>
          <w:rFonts w:cstheme="minorHAnsi"/>
          <w:color w:val="2C307E"/>
        </w:rPr>
        <w:t>andere</w:t>
      </w:r>
      <w:r w:rsidR="006406F2">
        <w:rPr>
          <w:rFonts w:cstheme="minorHAnsi"/>
          <w:color w:val="2C307E"/>
        </w:rPr>
        <w:t xml:space="preserve"> EV die laadt</w:t>
      </w:r>
      <w:r>
        <w:rPr>
          <w:rFonts w:cstheme="minorHAnsi"/>
          <w:color w:val="2C307E"/>
        </w:rPr>
        <w:t xml:space="preserve">. </w:t>
      </w:r>
      <w:r w:rsidR="008A1648">
        <w:rPr>
          <w:rFonts w:cstheme="minorHAnsi"/>
          <w:color w:val="2C307E"/>
        </w:rPr>
        <w:t>EV-rijders</w:t>
      </w:r>
      <w:r>
        <w:rPr>
          <w:rFonts w:cstheme="minorHAnsi"/>
          <w:color w:val="2C307E"/>
        </w:rPr>
        <w:t xml:space="preserve"> </w:t>
      </w:r>
      <w:r w:rsidR="006406F2">
        <w:rPr>
          <w:rFonts w:cstheme="minorHAnsi"/>
          <w:color w:val="2C307E"/>
        </w:rPr>
        <w:t>die dit knelpunt weleens ervaren geven aan dat dat bij</w:t>
      </w:r>
      <w:r>
        <w:rPr>
          <w:rFonts w:cstheme="minorHAnsi"/>
          <w:color w:val="2C307E"/>
        </w:rPr>
        <w:t xml:space="preserve"> 20% van de laadbeurten </w:t>
      </w:r>
      <w:r w:rsidR="006406F2">
        <w:rPr>
          <w:rFonts w:cstheme="minorHAnsi"/>
          <w:color w:val="2C307E"/>
        </w:rPr>
        <w:t>voor komt</w:t>
      </w:r>
      <w:r>
        <w:rPr>
          <w:rFonts w:cstheme="minorHAnsi"/>
          <w:color w:val="2C307E"/>
        </w:rPr>
        <w:t xml:space="preserve">. Het </w:t>
      </w:r>
      <w:r w:rsidR="00C53E31">
        <w:rPr>
          <w:rFonts w:cstheme="minorHAnsi"/>
          <w:color w:val="2C307E"/>
        </w:rPr>
        <w:t xml:space="preserve">meest </w:t>
      </w:r>
      <w:r w:rsidR="009B3835">
        <w:rPr>
          <w:rFonts w:cstheme="minorHAnsi"/>
          <w:color w:val="2C307E"/>
        </w:rPr>
        <w:t xml:space="preserve">hinderlijke </w:t>
      </w:r>
      <w:r>
        <w:rPr>
          <w:rFonts w:cstheme="minorHAnsi"/>
          <w:color w:val="2C307E"/>
        </w:rPr>
        <w:t xml:space="preserve"> knelpunt is een </w:t>
      </w:r>
      <w:r w:rsidR="00795B38">
        <w:rPr>
          <w:rFonts w:cstheme="minorHAnsi"/>
          <w:color w:val="2C307E"/>
        </w:rPr>
        <w:t xml:space="preserve">defecte laadpaal, 69% van de </w:t>
      </w:r>
      <w:r w:rsidR="00C53E31">
        <w:rPr>
          <w:rFonts w:cstheme="minorHAnsi"/>
          <w:color w:val="2C307E"/>
        </w:rPr>
        <w:t>EV-rijders</w:t>
      </w:r>
      <w:r w:rsidR="00795B38">
        <w:rPr>
          <w:rFonts w:cstheme="minorHAnsi"/>
          <w:color w:val="2C307E"/>
        </w:rPr>
        <w:t xml:space="preserve"> vindt dat heel (erg) hinderlijk.</w:t>
      </w:r>
      <w:r>
        <w:rPr>
          <w:rFonts w:cstheme="minorHAnsi"/>
          <w:color w:val="2C307E"/>
        </w:rPr>
        <w:t xml:space="preserve"> </w:t>
      </w:r>
    </w:p>
    <w:p w14:paraId="65EEAB6B" w14:textId="77777777" w:rsidR="006C3E98" w:rsidRDefault="0030549E" w:rsidP="006C3E98">
      <w:pPr>
        <w:spacing w:after="0" w:line="240" w:lineRule="auto"/>
        <w:jc w:val="both"/>
        <w:rPr>
          <w:rFonts w:cstheme="minorHAnsi"/>
          <w:color w:val="2C307E"/>
        </w:rPr>
      </w:pPr>
      <w:r>
        <w:rPr>
          <w:rFonts w:cstheme="minorHAnsi"/>
          <w:color w:val="2C307E"/>
        </w:rPr>
        <w:t>E</w:t>
      </w:r>
      <w:r w:rsidR="00667BBD" w:rsidRPr="00667BBD">
        <w:rPr>
          <w:rFonts w:cstheme="minorHAnsi"/>
          <w:color w:val="2C307E"/>
        </w:rPr>
        <w:t xml:space="preserve">en lagere laadsnelheid dan aangegeven, </w:t>
      </w:r>
      <w:r>
        <w:rPr>
          <w:rFonts w:cstheme="minorHAnsi"/>
          <w:color w:val="2C307E"/>
        </w:rPr>
        <w:t xml:space="preserve">is het </w:t>
      </w:r>
      <w:r w:rsidR="00BE67CB">
        <w:rPr>
          <w:rFonts w:cstheme="minorHAnsi"/>
          <w:color w:val="2C307E"/>
        </w:rPr>
        <w:t>vaakst</w:t>
      </w:r>
      <w:r>
        <w:rPr>
          <w:rFonts w:cstheme="minorHAnsi"/>
          <w:color w:val="2C307E"/>
        </w:rPr>
        <w:t xml:space="preserve"> voorkomende knelpunt. </w:t>
      </w:r>
      <w:r w:rsidR="008A1648">
        <w:rPr>
          <w:rFonts w:cstheme="minorHAnsi"/>
          <w:color w:val="2C307E"/>
        </w:rPr>
        <w:t>EV-rijders</w:t>
      </w:r>
      <w:r>
        <w:rPr>
          <w:rFonts w:cstheme="minorHAnsi"/>
          <w:color w:val="2C307E"/>
        </w:rPr>
        <w:t xml:space="preserve"> die dit knelpunt ervaren</w:t>
      </w:r>
      <w:r w:rsidR="00781B23">
        <w:rPr>
          <w:rFonts w:cstheme="minorHAnsi"/>
          <w:color w:val="2C307E"/>
        </w:rPr>
        <w:t>, geven aan dat het in 39% van de sessies voorkomt.</w:t>
      </w:r>
    </w:p>
    <w:p w14:paraId="4D548B88" w14:textId="32B50788" w:rsidR="00667BBD" w:rsidRDefault="00400C55" w:rsidP="006C3E98">
      <w:pPr>
        <w:spacing w:after="0" w:line="240" w:lineRule="auto"/>
        <w:jc w:val="both"/>
        <w:rPr>
          <w:rFonts w:cstheme="minorHAnsi"/>
          <w:color w:val="2C307E"/>
        </w:rPr>
      </w:pPr>
      <w:r>
        <w:rPr>
          <w:rFonts w:cstheme="minorHAnsi"/>
          <w:color w:val="2C307E"/>
        </w:rPr>
        <w:t>Als de laadsnelheid lager is dan verwacht, dan</w:t>
      </w:r>
      <w:r w:rsidR="00667BBD" w:rsidRPr="00667BBD">
        <w:rPr>
          <w:rFonts w:cstheme="minorHAnsi"/>
          <w:color w:val="2C307E"/>
        </w:rPr>
        <w:t xml:space="preserve"> </w:t>
      </w:r>
      <w:r w:rsidR="006340BE">
        <w:rPr>
          <w:rFonts w:cstheme="minorHAnsi"/>
          <w:color w:val="2C307E"/>
        </w:rPr>
        <w:t xml:space="preserve">laat men over het algemeen </w:t>
      </w:r>
      <w:r w:rsidR="00122CCE">
        <w:rPr>
          <w:rFonts w:cstheme="minorHAnsi"/>
          <w:color w:val="2C307E"/>
        </w:rPr>
        <w:t>het voertuig langer aan de laadpaal staan (58%).</w:t>
      </w:r>
      <w:r w:rsidR="00667BBD" w:rsidRPr="00667BBD">
        <w:rPr>
          <w:rFonts w:cstheme="minorHAnsi"/>
          <w:color w:val="2C307E"/>
        </w:rPr>
        <w:t xml:space="preserve"> 17% plant onderweg nog een extra laadstop in, en 15% neemt genoegen met een minder volgeladen EV. </w:t>
      </w:r>
      <w:r w:rsidR="00BE67CB">
        <w:rPr>
          <w:rFonts w:cstheme="minorHAnsi"/>
          <w:color w:val="2C307E"/>
        </w:rPr>
        <w:t>[N=162]</w:t>
      </w:r>
    </w:p>
    <w:p w14:paraId="250D44F1" w14:textId="01DA8EF2" w:rsidR="002E3AA7" w:rsidRPr="00667BBD" w:rsidRDefault="002E3AA7" w:rsidP="00667BBD">
      <w:pPr>
        <w:jc w:val="both"/>
        <w:rPr>
          <w:rFonts w:cstheme="minorHAnsi"/>
          <w:color w:val="2C307E"/>
        </w:rPr>
      </w:pPr>
      <w:r>
        <w:rPr>
          <w:noProof/>
        </w:rPr>
        <w:drawing>
          <wp:inline distT="0" distB="0" distL="0" distR="0" wp14:anchorId="38AA9AF4" wp14:editId="43199E9E">
            <wp:extent cx="3038168" cy="3155950"/>
            <wp:effectExtent l="0" t="0" r="0" b="0"/>
            <wp:docPr id="1910726117" name="Grafiek 1">
              <a:extLst xmlns:a="http://schemas.openxmlformats.org/drawingml/2006/main">
                <a:ext uri="{FF2B5EF4-FFF2-40B4-BE49-F238E27FC236}">
                  <a16:creationId xmlns:a16="http://schemas.microsoft.com/office/drawing/2014/main" id="{6D8C19AE-AD4C-E0C7-43E6-88E6EABEC18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inline>
        </w:drawing>
      </w:r>
    </w:p>
    <w:p w14:paraId="1EC82CCF" w14:textId="77777777" w:rsidR="00E22EA0" w:rsidRPr="00057017" w:rsidRDefault="00E22EA0" w:rsidP="00712417">
      <w:pPr>
        <w:spacing w:after="0" w:line="240" w:lineRule="auto"/>
        <w:jc w:val="both"/>
        <w:rPr>
          <w:rFonts w:cstheme="minorHAnsi"/>
          <w:color w:val="2C307E"/>
          <w:highlight w:val="yellow"/>
        </w:rPr>
      </w:pPr>
    </w:p>
    <w:p w14:paraId="4177593F" w14:textId="77777777" w:rsidR="00712417" w:rsidRPr="00057017" w:rsidRDefault="00712417" w:rsidP="00712417">
      <w:pPr>
        <w:spacing w:after="0" w:line="240" w:lineRule="auto"/>
        <w:jc w:val="both"/>
        <w:rPr>
          <w:rFonts w:cstheme="minorHAnsi"/>
          <w:color w:val="2C307E"/>
          <w:highlight w:val="yellow"/>
        </w:rPr>
      </w:pPr>
    </w:p>
    <w:p w14:paraId="074EBA54" w14:textId="77777777" w:rsidR="00A00535" w:rsidRDefault="00A00535">
      <w:pPr>
        <w:rPr>
          <w:rFonts w:cstheme="minorHAnsi"/>
          <w:b/>
          <w:bCs/>
          <w:color w:val="2C307E"/>
          <w:highlight w:val="yellow"/>
        </w:rPr>
      </w:pPr>
      <w:r>
        <w:rPr>
          <w:rFonts w:cstheme="minorHAnsi"/>
          <w:b/>
          <w:bCs/>
          <w:color w:val="2C307E"/>
          <w:highlight w:val="yellow"/>
        </w:rPr>
        <w:br w:type="page"/>
      </w:r>
    </w:p>
    <w:p w14:paraId="351791E1" w14:textId="77777777" w:rsidR="007F430C" w:rsidRDefault="003560E1">
      <w:pPr>
        <w:rPr>
          <w:rFonts w:cstheme="minorHAnsi"/>
          <w:b/>
          <w:bCs/>
          <w:color w:val="2C307E"/>
        </w:rPr>
      </w:pPr>
      <w:r>
        <w:rPr>
          <w:rFonts w:cstheme="minorHAnsi"/>
          <w:b/>
          <w:bCs/>
          <w:noProof/>
          <w:color w:val="2C307E"/>
        </w:rPr>
        <w:lastRenderedPageBreak/>
        <w:drawing>
          <wp:anchor distT="0" distB="0" distL="114300" distR="114300" simplePos="0" relativeHeight="251658259" behindDoc="0" locked="0" layoutInCell="1" allowOverlap="1" wp14:anchorId="7DAC15BB" wp14:editId="6B0357D9">
            <wp:simplePos x="0" y="0"/>
            <wp:positionH relativeFrom="column">
              <wp:posOffset>-1298</wp:posOffset>
            </wp:positionH>
            <wp:positionV relativeFrom="paragraph">
              <wp:posOffset>607</wp:posOffset>
            </wp:positionV>
            <wp:extent cx="5760000" cy="3582878"/>
            <wp:effectExtent l="0" t="0" r="0" b="0"/>
            <wp:wrapSquare wrapText="bothSides"/>
            <wp:docPr id="446104866"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03">
                      <a:extLst>
                        <a:ext uri="{28A0092B-C50C-407E-A947-70E740481C1C}">
                          <a14:useLocalDpi xmlns:a14="http://schemas.microsoft.com/office/drawing/2010/main" val="0"/>
                        </a:ext>
                      </a:extLst>
                    </a:blip>
                    <a:srcRect l="5296" r="1290"/>
                    <a:stretch>
                      <a:fillRect/>
                    </a:stretch>
                  </pic:blipFill>
                  <pic:spPr bwMode="auto">
                    <a:xfrm>
                      <a:off x="0" y="0"/>
                      <a:ext cx="5760000" cy="358287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bl>
      <w:tblPr>
        <w:tblStyle w:val="Tabelrasterlicht"/>
        <w:tblpPr w:leftFromText="141" w:rightFromText="141" w:vertAnchor="text" w:horzAnchor="margin" w:tblpY="36"/>
        <w:tblW w:w="4673" w:type="dxa"/>
        <w:tblLook w:val="04A0" w:firstRow="1" w:lastRow="0" w:firstColumn="1" w:lastColumn="0" w:noHBand="0" w:noVBand="1"/>
      </w:tblPr>
      <w:tblGrid>
        <w:gridCol w:w="419"/>
        <w:gridCol w:w="4254"/>
      </w:tblGrid>
      <w:tr w:rsidR="007F430C" w:rsidRPr="00AF6132" w14:paraId="7553B47F" w14:textId="77777777" w:rsidTr="006A412A">
        <w:trPr>
          <w:trHeight w:val="365"/>
        </w:trPr>
        <w:tc>
          <w:tcPr>
            <w:tcW w:w="419" w:type="dxa"/>
            <w:noWrap/>
            <w:vAlign w:val="bottom"/>
          </w:tcPr>
          <w:p w14:paraId="3128E542" w14:textId="77777777" w:rsidR="007F430C" w:rsidRPr="00DB067E" w:rsidRDefault="007F430C" w:rsidP="00F46134">
            <w:pPr>
              <w:rPr>
                <w:rFonts w:eastAsia="Times New Roman" w:cstheme="minorHAnsi"/>
                <w:b/>
                <w:bCs/>
                <w:color w:val="2C307E"/>
                <w:sz w:val="20"/>
                <w:szCs w:val="20"/>
                <w:lang w:eastAsia="nl-NL"/>
              </w:rPr>
            </w:pPr>
          </w:p>
        </w:tc>
        <w:tc>
          <w:tcPr>
            <w:tcW w:w="4254" w:type="dxa"/>
            <w:noWrap/>
            <w:vAlign w:val="bottom"/>
          </w:tcPr>
          <w:p w14:paraId="08EFDF3C" w14:textId="77777777" w:rsidR="007F430C" w:rsidRPr="00DB067E" w:rsidRDefault="007F430C" w:rsidP="00F46134">
            <w:pPr>
              <w:rPr>
                <w:rFonts w:eastAsia="Times New Roman" w:cstheme="minorHAnsi"/>
                <w:b/>
                <w:bCs/>
                <w:color w:val="2C307E"/>
                <w:sz w:val="20"/>
                <w:szCs w:val="20"/>
                <w:lang w:eastAsia="nl-NL"/>
              </w:rPr>
            </w:pPr>
            <w:r w:rsidRPr="00DB067E">
              <w:rPr>
                <w:rFonts w:eastAsia="Times New Roman" w:cstheme="minorHAnsi"/>
                <w:b/>
                <w:bCs/>
                <w:color w:val="2C307E"/>
                <w:sz w:val="20"/>
                <w:szCs w:val="20"/>
                <w:lang w:eastAsia="nl-NL"/>
              </w:rPr>
              <w:t>Knelpunt</w:t>
            </w:r>
          </w:p>
        </w:tc>
      </w:tr>
      <w:tr w:rsidR="006A412A" w:rsidRPr="00AF6132" w14:paraId="6D404172" w14:textId="77777777" w:rsidTr="006A412A">
        <w:trPr>
          <w:trHeight w:val="365"/>
        </w:trPr>
        <w:tc>
          <w:tcPr>
            <w:tcW w:w="419" w:type="dxa"/>
            <w:noWrap/>
            <w:hideMark/>
          </w:tcPr>
          <w:p w14:paraId="274052B7" w14:textId="77777777" w:rsidR="006A412A" w:rsidRPr="00DB067E" w:rsidRDefault="006A412A" w:rsidP="006A412A">
            <w:pPr>
              <w:jc w:val="both"/>
              <w:rPr>
                <w:rFonts w:eastAsia="Times New Roman" w:cstheme="minorHAnsi"/>
                <w:b/>
                <w:bCs/>
                <w:color w:val="2C307E"/>
                <w:sz w:val="20"/>
                <w:szCs w:val="20"/>
                <w:lang w:eastAsia="nl-NL"/>
              </w:rPr>
            </w:pPr>
            <w:r w:rsidRPr="00DB067E">
              <w:rPr>
                <w:rFonts w:eastAsia="Times New Roman" w:cstheme="minorHAnsi"/>
                <w:b/>
                <w:bCs/>
                <w:color w:val="2C307E"/>
                <w:sz w:val="20"/>
                <w:szCs w:val="20"/>
                <w:lang w:eastAsia="nl-NL"/>
              </w:rPr>
              <w:t>1</w:t>
            </w:r>
          </w:p>
        </w:tc>
        <w:tc>
          <w:tcPr>
            <w:tcW w:w="4254" w:type="dxa"/>
            <w:noWrap/>
            <w:hideMark/>
          </w:tcPr>
          <w:p w14:paraId="69B20394" w14:textId="149906F4" w:rsidR="006A412A" w:rsidRPr="006A412A" w:rsidRDefault="006A412A" w:rsidP="006A412A">
            <w:pPr>
              <w:jc w:val="both"/>
              <w:rPr>
                <w:rFonts w:eastAsia="Times New Roman" w:cstheme="minorHAnsi"/>
                <w:color w:val="2C307E"/>
                <w:sz w:val="20"/>
                <w:szCs w:val="20"/>
                <w:lang w:eastAsia="nl-NL"/>
              </w:rPr>
            </w:pPr>
            <w:r w:rsidRPr="006A412A">
              <w:rPr>
                <w:rFonts w:eastAsia="Times New Roman" w:cstheme="minorHAnsi"/>
                <w:color w:val="2C307E"/>
                <w:sz w:val="20"/>
                <w:szCs w:val="20"/>
                <w:lang w:eastAsia="nl-NL"/>
              </w:rPr>
              <w:t>Er zijn te weinig snelladers</w:t>
            </w:r>
          </w:p>
        </w:tc>
      </w:tr>
      <w:tr w:rsidR="006A412A" w:rsidRPr="00AF6132" w14:paraId="0BB87ACA" w14:textId="77777777" w:rsidTr="006A412A">
        <w:trPr>
          <w:trHeight w:val="365"/>
        </w:trPr>
        <w:tc>
          <w:tcPr>
            <w:tcW w:w="419" w:type="dxa"/>
            <w:noWrap/>
            <w:hideMark/>
          </w:tcPr>
          <w:p w14:paraId="551B95D8" w14:textId="77777777" w:rsidR="006A412A" w:rsidRPr="00DB067E" w:rsidRDefault="006A412A" w:rsidP="006A412A">
            <w:pPr>
              <w:jc w:val="both"/>
              <w:rPr>
                <w:rFonts w:eastAsia="Times New Roman" w:cstheme="minorHAnsi"/>
                <w:b/>
                <w:bCs/>
                <w:color w:val="2C307E"/>
                <w:sz w:val="20"/>
                <w:szCs w:val="20"/>
                <w:lang w:eastAsia="nl-NL"/>
              </w:rPr>
            </w:pPr>
            <w:r w:rsidRPr="00DB067E">
              <w:rPr>
                <w:rFonts w:eastAsia="Times New Roman" w:cstheme="minorHAnsi"/>
                <w:b/>
                <w:bCs/>
                <w:color w:val="2C307E"/>
                <w:sz w:val="20"/>
                <w:szCs w:val="20"/>
                <w:lang w:eastAsia="nl-NL"/>
              </w:rPr>
              <w:t>2</w:t>
            </w:r>
          </w:p>
        </w:tc>
        <w:tc>
          <w:tcPr>
            <w:tcW w:w="4254" w:type="dxa"/>
            <w:noWrap/>
            <w:hideMark/>
          </w:tcPr>
          <w:p w14:paraId="1E505ACF" w14:textId="6DD62138" w:rsidR="006A412A" w:rsidRPr="006A412A" w:rsidRDefault="006A412A" w:rsidP="006A412A">
            <w:pPr>
              <w:jc w:val="both"/>
              <w:rPr>
                <w:rFonts w:eastAsia="Times New Roman" w:cstheme="minorHAnsi"/>
                <w:color w:val="2C307E"/>
                <w:sz w:val="20"/>
                <w:szCs w:val="20"/>
                <w:lang w:eastAsia="nl-NL"/>
              </w:rPr>
            </w:pPr>
            <w:r w:rsidRPr="006A412A">
              <w:rPr>
                <w:rFonts w:eastAsia="Times New Roman" w:cstheme="minorHAnsi"/>
                <w:color w:val="2C307E"/>
                <w:sz w:val="20"/>
                <w:szCs w:val="20"/>
                <w:lang w:eastAsia="nl-NL"/>
              </w:rPr>
              <w:t xml:space="preserve">Laadpaal is defect  </w:t>
            </w:r>
          </w:p>
        </w:tc>
      </w:tr>
      <w:tr w:rsidR="006A412A" w:rsidRPr="00AF6132" w14:paraId="71CCD492" w14:textId="77777777" w:rsidTr="006A412A">
        <w:trPr>
          <w:trHeight w:val="365"/>
        </w:trPr>
        <w:tc>
          <w:tcPr>
            <w:tcW w:w="419" w:type="dxa"/>
            <w:noWrap/>
            <w:hideMark/>
          </w:tcPr>
          <w:p w14:paraId="3F4B44B7" w14:textId="77777777" w:rsidR="006A412A" w:rsidRPr="00DB067E" w:rsidRDefault="006A412A" w:rsidP="006A412A">
            <w:pPr>
              <w:jc w:val="both"/>
              <w:rPr>
                <w:rFonts w:eastAsia="Times New Roman" w:cstheme="minorHAnsi"/>
                <w:b/>
                <w:bCs/>
                <w:color w:val="2C307E"/>
                <w:sz w:val="20"/>
                <w:szCs w:val="20"/>
                <w:lang w:eastAsia="nl-NL"/>
              </w:rPr>
            </w:pPr>
            <w:r w:rsidRPr="00DB067E">
              <w:rPr>
                <w:rFonts w:eastAsia="Times New Roman" w:cstheme="minorHAnsi"/>
                <w:b/>
                <w:bCs/>
                <w:color w:val="2C307E"/>
                <w:sz w:val="20"/>
                <w:szCs w:val="20"/>
                <w:lang w:eastAsia="nl-NL"/>
              </w:rPr>
              <w:t>3</w:t>
            </w:r>
          </w:p>
        </w:tc>
        <w:tc>
          <w:tcPr>
            <w:tcW w:w="4254" w:type="dxa"/>
            <w:noWrap/>
            <w:hideMark/>
          </w:tcPr>
          <w:p w14:paraId="4597F633" w14:textId="10DA4E02" w:rsidR="006A412A" w:rsidRPr="006A412A" w:rsidRDefault="006A412A" w:rsidP="006A412A">
            <w:pPr>
              <w:jc w:val="both"/>
              <w:rPr>
                <w:rFonts w:eastAsia="Times New Roman" w:cstheme="minorHAnsi"/>
                <w:color w:val="2C307E"/>
                <w:sz w:val="20"/>
                <w:szCs w:val="20"/>
                <w:lang w:eastAsia="nl-NL"/>
              </w:rPr>
            </w:pPr>
            <w:r w:rsidRPr="006A412A">
              <w:rPr>
                <w:rFonts w:eastAsia="Times New Roman" w:cstheme="minorHAnsi"/>
                <w:color w:val="2C307E"/>
                <w:sz w:val="20"/>
                <w:szCs w:val="20"/>
                <w:lang w:eastAsia="nl-NL"/>
              </w:rPr>
              <w:t xml:space="preserve">Laadpaal is onvindbaar  </w:t>
            </w:r>
          </w:p>
        </w:tc>
      </w:tr>
      <w:tr w:rsidR="006A412A" w:rsidRPr="00AF6132" w14:paraId="4DD62417" w14:textId="77777777" w:rsidTr="006A412A">
        <w:trPr>
          <w:trHeight w:val="365"/>
        </w:trPr>
        <w:tc>
          <w:tcPr>
            <w:tcW w:w="419" w:type="dxa"/>
            <w:noWrap/>
            <w:hideMark/>
          </w:tcPr>
          <w:p w14:paraId="5A03E145" w14:textId="77777777" w:rsidR="006A412A" w:rsidRPr="00DB067E" w:rsidRDefault="006A412A" w:rsidP="006A412A">
            <w:pPr>
              <w:jc w:val="both"/>
              <w:rPr>
                <w:rFonts w:eastAsia="Times New Roman" w:cstheme="minorHAnsi"/>
                <w:b/>
                <w:bCs/>
                <w:color w:val="2C307E"/>
                <w:sz w:val="20"/>
                <w:szCs w:val="20"/>
                <w:lang w:eastAsia="nl-NL"/>
              </w:rPr>
            </w:pPr>
            <w:r w:rsidRPr="00DB067E">
              <w:rPr>
                <w:rFonts w:eastAsia="Times New Roman" w:cstheme="minorHAnsi"/>
                <w:b/>
                <w:bCs/>
                <w:color w:val="2C307E"/>
                <w:sz w:val="20"/>
                <w:szCs w:val="20"/>
                <w:lang w:eastAsia="nl-NL"/>
              </w:rPr>
              <w:t>4</w:t>
            </w:r>
          </w:p>
        </w:tc>
        <w:tc>
          <w:tcPr>
            <w:tcW w:w="4254" w:type="dxa"/>
            <w:noWrap/>
            <w:hideMark/>
          </w:tcPr>
          <w:p w14:paraId="61E5F433" w14:textId="74C54654" w:rsidR="006A412A" w:rsidRPr="006A412A" w:rsidRDefault="006A412A" w:rsidP="006A412A">
            <w:pPr>
              <w:jc w:val="both"/>
              <w:rPr>
                <w:rFonts w:eastAsia="Times New Roman" w:cstheme="minorHAnsi"/>
                <w:color w:val="2C307E"/>
                <w:sz w:val="20"/>
                <w:szCs w:val="20"/>
                <w:lang w:eastAsia="nl-NL"/>
              </w:rPr>
            </w:pPr>
            <w:r w:rsidRPr="006A412A">
              <w:rPr>
                <w:rFonts w:eastAsia="Times New Roman" w:cstheme="minorHAnsi"/>
                <w:color w:val="2C307E"/>
                <w:sz w:val="20"/>
                <w:szCs w:val="20"/>
                <w:lang w:eastAsia="nl-NL"/>
              </w:rPr>
              <w:t xml:space="preserve">Laadpaal is bezet door een elektrische auto die laadt  </w:t>
            </w:r>
          </w:p>
        </w:tc>
      </w:tr>
      <w:tr w:rsidR="006A412A" w:rsidRPr="00AF6132" w14:paraId="2D8A8C1A" w14:textId="77777777" w:rsidTr="006A412A">
        <w:trPr>
          <w:trHeight w:val="365"/>
        </w:trPr>
        <w:tc>
          <w:tcPr>
            <w:tcW w:w="419" w:type="dxa"/>
            <w:noWrap/>
            <w:hideMark/>
          </w:tcPr>
          <w:p w14:paraId="2B335ED9" w14:textId="77777777" w:rsidR="006A412A" w:rsidRPr="00DB067E" w:rsidRDefault="006A412A" w:rsidP="006A412A">
            <w:pPr>
              <w:jc w:val="both"/>
              <w:rPr>
                <w:rFonts w:eastAsia="Times New Roman" w:cstheme="minorHAnsi"/>
                <w:b/>
                <w:bCs/>
                <w:color w:val="2C307E"/>
                <w:sz w:val="20"/>
                <w:szCs w:val="20"/>
                <w:lang w:eastAsia="nl-NL"/>
              </w:rPr>
            </w:pPr>
            <w:r w:rsidRPr="00DB067E">
              <w:rPr>
                <w:rFonts w:eastAsia="Times New Roman" w:cstheme="minorHAnsi"/>
                <w:b/>
                <w:bCs/>
                <w:color w:val="2C307E"/>
                <w:sz w:val="20"/>
                <w:szCs w:val="20"/>
                <w:lang w:eastAsia="nl-NL"/>
              </w:rPr>
              <w:t>5</w:t>
            </w:r>
          </w:p>
        </w:tc>
        <w:tc>
          <w:tcPr>
            <w:tcW w:w="4254" w:type="dxa"/>
            <w:noWrap/>
            <w:hideMark/>
          </w:tcPr>
          <w:p w14:paraId="6CCA7229" w14:textId="4BEE0850" w:rsidR="006A412A" w:rsidRPr="006A412A" w:rsidRDefault="006A412A" w:rsidP="006A412A">
            <w:pPr>
              <w:jc w:val="both"/>
              <w:rPr>
                <w:rFonts w:eastAsia="Times New Roman" w:cstheme="minorHAnsi"/>
                <w:color w:val="2C307E"/>
                <w:sz w:val="20"/>
                <w:szCs w:val="20"/>
                <w:lang w:eastAsia="nl-NL"/>
              </w:rPr>
            </w:pPr>
            <w:r w:rsidRPr="006A412A">
              <w:rPr>
                <w:rFonts w:eastAsia="Times New Roman" w:cstheme="minorHAnsi"/>
                <w:color w:val="2C307E"/>
                <w:sz w:val="20"/>
                <w:szCs w:val="20"/>
                <w:lang w:eastAsia="nl-NL"/>
              </w:rPr>
              <w:t>Het is te druk met andere wachtende elektrische auto's</w:t>
            </w:r>
          </w:p>
        </w:tc>
      </w:tr>
      <w:tr w:rsidR="006A412A" w:rsidRPr="00AF6132" w14:paraId="01A270DF" w14:textId="77777777" w:rsidTr="006A412A">
        <w:trPr>
          <w:trHeight w:val="365"/>
        </w:trPr>
        <w:tc>
          <w:tcPr>
            <w:tcW w:w="419" w:type="dxa"/>
            <w:noWrap/>
            <w:hideMark/>
          </w:tcPr>
          <w:p w14:paraId="372D8901" w14:textId="77777777" w:rsidR="006A412A" w:rsidRPr="00DB067E" w:rsidRDefault="006A412A" w:rsidP="006A412A">
            <w:pPr>
              <w:jc w:val="both"/>
              <w:rPr>
                <w:rFonts w:eastAsia="Times New Roman" w:cstheme="minorHAnsi"/>
                <w:b/>
                <w:bCs/>
                <w:color w:val="2C307E"/>
                <w:sz w:val="20"/>
                <w:szCs w:val="20"/>
                <w:lang w:eastAsia="nl-NL"/>
              </w:rPr>
            </w:pPr>
            <w:r w:rsidRPr="00DB067E">
              <w:rPr>
                <w:rFonts w:eastAsia="Times New Roman" w:cstheme="minorHAnsi"/>
                <w:b/>
                <w:bCs/>
                <w:color w:val="2C307E"/>
                <w:sz w:val="20"/>
                <w:szCs w:val="20"/>
                <w:lang w:eastAsia="nl-NL"/>
              </w:rPr>
              <w:t>6</w:t>
            </w:r>
          </w:p>
        </w:tc>
        <w:tc>
          <w:tcPr>
            <w:tcW w:w="4254" w:type="dxa"/>
            <w:noWrap/>
            <w:hideMark/>
          </w:tcPr>
          <w:p w14:paraId="68EDB0BF" w14:textId="76C7FE70" w:rsidR="006A412A" w:rsidRPr="006A412A" w:rsidRDefault="006A412A" w:rsidP="006A412A">
            <w:pPr>
              <w:jc w:val="both"/>
              <w:rPr>
                <w:rFonts w:eastAsia="Times New Roman" w:cstheme="minorHAnsi"/>
                <w:color w:val="2C307E"/>
                <w:sz w:val="20"/>
                <w:szCs w:val="20"/>
                <w:lang w:eastAsia="nl-NL"/>
              </w:rPr>
            </w:pPr>
            <w:r w:rsidRPr="006A412A">
              <w:rPr>
                <w:rFonts w:eastAsia="Times New Roman" w:cstheme="minorHAnsi"/>
                <w:color w:val="2C307E"/>
                <w:sz w:val="20"/>
                <w:szCs w:val="20"/>
                <w:lang w:eastAsia="nl-NL"/>
              </w:rPr>
              <w:t xml:space="preserve">Laadpas/laadapp werkt niet  </w:t>
            </w:r>
          </w:p>
        </w:tc>
      </w:tr>
      <w:tr w:rsidR="006A412A" w:rsidRPr="00AF6132" w14:paraId="03C499E2" w14:textId="77777777" w:rsidTr="006A412A">
        <w:trPr>
          <w:trHeight w:val="365"/>
        </w:trPr>
        <w:tc>
          <w:tcPr>
            <w:tcW w:w="419" w:type="dxa"/>
            <w:noWrap/>
            <w:hideMark/>
          </w:tcPr>
          <w:p w14:paraId="4FD0DA8D" w14:textId="77777777" w:rsidR="006A412A" w:rsidRPr="00DB067E" w:rsidRDefault="006A412A" w:rsidP="006A412A">
            <w:pPr>
              <w:jc w:val="both"/>
              <w:rPr>
                <w:rFonts w:eastAsia="Times New Roman" w:cstheme="minorHAnsi"/>
                <w:b/>
                <w:bCs/>
                <w:color w:val="2C307E"/>
                <w:sz w:val="20"/>
                <w:szCs w:val="20"/>
                <w:lang w:eastAsia="nl-NL"/>
              </w:rPr>
            </w:pPr>
            <w:r w:rsidRPr="00DB067E">
              <w:rPr>
                <w:rFonts w:eastAsia="Times New Roman" w:cstheme="minorHAnsi"/>
                <w:b/>
                <w:bCs/>
                <w:color w:val="2C307E"/>
                <w:sz w:val="20"/>
                <w:szCs w:val="20"/>
                <w:lang w:eastAsia="nl-NL"/>
              </w:rPr>
              <w:t>7</w:t>
            </w:r>
          </w:p>
        </w:tc>
        <w:tc>
          <w:tcPr>
            <w:tcW w:w="4254" w:type="dxa"/>
            <w:noWrap/>
            <w:hideMark/>
          </w:tcPr>
          <w:p w14:paraId="1A5D2E44" w14:textId="4ADB8268" w:rsidR="006A412A" w:rsidRPr="006A412A" w:rsidRDefault="006A412A" w:rsidP="006A412A">
            <w:pPr>
              <w:jc w:val="both"/>
              <w:rPr>
                <w:rFonts w:eastAsia="Times New Roman" w:cstheme="minorHAnsi"/>
                <w:color w:val="2C307E"/>
                <w:sz w:val="20"/>
                <w:szCs w:val="20"/>
                <w:lang w:eastAsia="nl-NL"/>
              </w:rPr>
            </w:pPr>
            <w:r w:rsidRPr="006A412A">
              <w:rPr>
                <w:rFonts w:eastAsia="Times New Roman" w:cstheme="minorHAnsi"/>
                <w:color w:val="2C307E"/>
                <w:sz w:val="20"/>
                <w:szCs w:val="20"/>
                <w:lang w:eastAsia="nl-NL"/>
              </w:rPr>
              <w:t xml:space="preserve">Ik weet niet wat de kosten van laden zijn  </w:t>
            </w:r>
          </w:p>
        </w:tc>
      </w:tr>
      <w:tr w:rsidR="006A412A" w:rsidRPr="00AF6132" w14:paraId="3030EDB0" w14:textId="77777777" w:rsidTr="006A412A">
        <w:trPr>
          <w:trHeight w:val="365"/>
        </w:trPr>
        <w:tc>
          <w:tcPr>
            <w:tcW w:w="419" w:type="dxa"/>
            <w:noWrap/>
            <w:hideMark/>
          </w:tcPr>
          <w:p w14:paraId="285028E7" w14:textId="77777777" w:rsidR="006A412A" w:rsidRPr="00DB067E" w:rsidRDefault="006A412A" w:rsidP="006A412A">
            <w:pPr>
              <w:jc w:val="both"/>
              <w:rPr>
                <w:rFonts w:eastAsia="Times New Roman" w:cstheme="minorHAnsi"/>
                <w:b/>
                <w:bCs/>
                <w:color w:val="2C307E"/>
                <w:sz w:val="20"/>
                <w:szCs w:val="20"/>
                <w:lang w:eastAsia="nl-NL"/>
              </w:rPr>
            </w:pPr>
            <w:r w:rsidRPr="00DB067E">
              <w:rPr>
                <w:rFonts w:eastAsia="Times New Roman" w:cstheme="minorHAnsi"/>
                <w:b/>
                <w:bCs/>
                <w:color w:val="2C307E"/>
                <w:sz w:val="20"/>
                <w:szCs w:val="20"/>
                <w:lang w:eastAsia="nl-NL"/>
              </w:rPr>
              <w:t>8</w:t>
            </w:r>
          </w:p>
        </w:tc>
        <w:tc>
          <w:tcPr>
            <w:tcW w:w="4254" w:type="dxa"/>
            <w:noWrap/>
            <w:hideMark/>
          </w:tcPr>
          <w:p w14:paraId="263DE96E" w14:textId="0170FCFD" w:rsidR="006A412A" w:rsidRPr="006A412A" w:rsidRDefault="006A412A" w:rsidP="006A412A">
            <w:pPr>
              <w:jc w:val="both"/>
              <w:rPr>
                <w:rFonts w:eastAsia="Times New Roman" w:cstheme="minorHAnsi"/>
                <w:color w:val="2C307E"/>
                <w:sz w:val="20"/>
                <w:szCs w:val="20"/>
                <w:lang w:eastAsia="nl-NL"/>
              </w:rPr>
            </w:pPr>
            <w:r w:rsidRPr="006A412A">
              <w:rPr>
                <w:rFonts w:eastAsia="Times New Roman" w:cstheme="minorHAnsi"/>
                <w:color w:val="2C307E"/>
                <w:sz w:val="20"/>
                <w:szCs w:val="20"/>
                <w:lang w:eastAsia="nl-NL"/>
              </w:rPr>
              <w:t xml:space="preserve">Laadsnelheid is lager dan aangegeven  </w:t>
            </w:r>
          </w:p>
        </w:tc>
      </w:tr>
      <w:tr w:rsidR="006A412A" w:rsidRPr="00AF6132" w14:paraId="1CDE761F" w14:textId="77777777" w:rsidTr="006A412A">
        <w:trPr>
          <w:trHeight w:val="365"/>
        </w:trPr>
        <w:tc>
          <w:tcPr>
            <w:tcW w:w="419" w:type="dxa"/>
            <w:noWrap/>
            <w:hideMark/>
          </w:tcPr>
          <w:p w14:paraId="601B52C6" w14:textId="77777777" w:rsidR="006A412A" w:rsidRPr="00DB067E" w:rsidRDefault="006A412A" w:rsidP="006A412A">
            <w:pPr>
              <w:jc w:val="both"/>
              <w:rPr>
                <w:rFonts w:eastAsia="Times New Roman" w:cstheme="minorHAnsi"/>
                <w:b/>
                <w:bCs/>
                <w:color w:val="2C307E"/>
                <w:sz w:val="20"/>
                <w:szCs w:val="20"/>
                <w:lang w:eastAsia="nl-NL"/>
              </w:rPr>
            </w:pPr>
            <w:r w:rsidRPr="00DB067E">
              <w:rPr>
                <w:rFonts w:eastAsia="Times New Roman" w:cstheme="minorHAnsi"/>
                <w:b/>
                <w:bCs/>
                <w:color w:val="2C307E"/>
                <w:sz w:val="20"/>
                <w:szCs w:val="20"/>
                <w:lang w:eastAsia="nl-NL"/>
              </w:rPr>
              <w:t>9</w:t>
            </w:r>
          </w:p>
        </w:tc>
        <w:tc>
          <w:tcPr>
            <w:tcW w:w="4254" w:type="dxa"/>
            <w:noWrap/>
            <w:hideMark/>
          </w:tcPr>
          <w:p w14:paraId="13436DF8" w14:textId="0E8058CC" w:rsidR="006A412A" w:rsidRPr="006A412A" w:rsidRDefault="006A412A" w:rsidP="006A412A">
            <w:pPr>
              <w:jc w:val="both"/>
              <w:rPr>
                <w:rFonts w:eastAsia="Times New Roman" w:cstheme="minorHAnsi"/>
                <w:color w:val="2C307E"/>
                <w:sz w:val="20"/>
                <w:szCs w:val="20"/>
                <w:lang w:eastAsia="nl-NL"/>
              </w:rPr>
            </w:pPr>
            <w:r w:rsidRPr="006A412A">
              <w:rPr>
                <w:rFonts w:eastAsia="Times New Roman" w:cstheme="minorHAnsi"/>
                <w:color w:val="2C307E"/>
                <w:sz w:val="20"/>
                <w:szCs w:val="20"/>
                <w:lang w:eastAsia="nl-NL"/>
              </w:rPr>
              <w:t xml:space="preserve">Onduidelijke/onvoldoende betaalmogelijkheden  </w:t>
            </w:r>
          </w:p>
        </w:tc>
      </w:tr>
      <w:tr w:rsidR="006A412A" w:rsidRPr="00AF6132" w14:paraId="31B3BB3C" w14:textId="77777777" w:rsidTr="006A412A">
        <w:trPr>
          <w:trHeight w:val="365"/>
        </w:trPr>
        <w:tc>
          <w:tcPr>
            <w:tcW w:w="419" w:type="dxa"/>
            <w:noWrap/>
            <w:hideMark/>
          </w:tcPr>
          <w:p w14:paraId="1D66517D" w14:textId="77777777" w:rsidR="006A412A" w:rsidRPr="00DB067E" w:rsidRDefault="006A412A" w:rsidP="006A412A">
            <w:pPr>
              <w:jc w:val="both"/>
              <w:rPr>
                <w:rFonts w:eastAsia="Times New Roman" w:cstheme="minorHAnsi"/>
                <w:b/>
                <w:bCs/>
                <w:color w:val="2C307E"/>
                <w:sz w:val="20"/>
                <w:szCs w:val="20"/>
                <w:lang w:eastAsia="nl-NL"/>
              </w:rPr>
            </w:pPr>
            <w:r w:rsidRPr="00DB067E">
              <w:rPr>
                <w:rFonts w:eastAsia="Times New Roman" w:cstheme="minorHAnsi"/>
                <w:b/>
                <w:bCs/>
                <w:color w:val="2C307E"/>
                <w:sz w:val="20"/>
                <w:szCs w:val="20"/>
                <w:lang w:eastAsia="nl-NL"/>
              </w:rPr>
              <w:t>10</w:t>
            </w:r>
          </w:p>
        </w:tc>
        <w:tc>
          <w:tcPr>
            <w:tcW w:w="4254" w:type="dxa"/>
            <w:noWrap/>
            <w:hideMark/>
          </w:tcPr>
          <w:p w14:paraId="7950F429" w14:textId="340CBBB0" w:rsidR="006A412A" w:rsidRPr="006A412A" w:rsidRDefault="006A412A" w:rsidP="006A412A">
            <w:pPr>
              <w:jc w:val="both"/>
              <w:rPr>
                <w:rFonts w:eastAsia="Times New Roman" w:cstheme="minorHAnsi"/>
                <w:color w:val="2C307E"/>
                <w:sz w:val="20"/>
                <w:szCs w:val="20"/>
                <w:lang w:eastAsia="nl-NL"/>
              </w:rPr>
            </w:pPr>
            <w:r w:rsidRPr="006A412A">
              <w:rPr>
                <w:rFonts w:eastAsia="Times New Roman" w:cstheme="minorHAnsi"/>
                <w:color w:val="2C307E"/>
                <w:sz w:val="20"/>
                <w:szCs w:val="20"/>
                <w:lang w:eastAsia="nl-NL"/>
              </w:rPr>
              <w:t>Ik voel me onveilig</w:t>
            </w:r>
          </w:p>
        </w:tc>
      </w:tr>
      <w:tr w:rsidR="006A412A" w:rsidRPr="00AF6132" w14:paraId="29CD8F5C" w14:textId="77777777" w:rsidTr="006A412A">
        <w:trPr>
          <w:trHeight w:val="365"/>
        </w:trPr>
        <w:tc>
          <w:tcPr>
            <w:tcW w:w="419" w:type="dxa"/>
            <w:noWrap/>
          </w:tcPr>
          <w:p w14:paraId="5722CDD4" w14:textId="77777777" w:rsidR="006A412A" w:rsidRPr="00DB067E" w:rsidRDefault="006A412A" w:rsidP="006A412A">
            <w:pPr>
              <w:jc w:val="both"/>
              <w:rPr>
                <w:rFonts w:eastAsia="Times New Roman" w:cstheme="minorHAnsi"/>
                <w:b/>
                <w:bCs/>
                <w:color w:val="2C307E"/>
                <w:sz w:val="20"/>
                <w:szCs w:val="20"/>
                <w:lang w:eastAsia="nl-NL"/>
              </w:rPr>
            </w:pPr>
            <w:r w:rsidRPr="00DB067E">
              <w:rPr>
                <w:rFonts w:eastAsia="Times New Roman" w:cstheme="minorHAnsi"/>
                <w:b/>
                <w:bCs/>
                <w:color w:val="2C307E"/>
                <w:sz w:val="20"/>
                <w:szCs w:val="20"/>
                <w:lang w:eastAsia="nl-NL"/>
              </w:rPr>
              <w:t>11</w:t>
            </w:r>
          </w:p>
        </w:tc>
        <w:tc>
          <w:tcPr>
            <w:tcW w:w="4254" w:type="dxa"/>
            <w:noWrap/>
          </w:tcPr>
          <w:p w14:paraId="6D3F2078" w14:textId="12F13759" w:rsidR="006A412A" w:rsidRPr="006A412A" w:rsidRDefault="006A412A" w:rsidP="006A412A">
            <w:pPr>
              <w:jc w:val="both"/>
              <w:rPr>
                <w:rFonts w:eastAsia="Times New Roman" w:cstheme="minorHAnsi"/>
                <w:color w:val="2C307E"/>
                <w:sz w:val="20"/>
                <w:szCs w:val="20"/>
                <w:lang w:eastAsia="nl-NL"/>
              </w:rPr>
            </w:pPr>
            <w:r w:rsidRPr="006A412A">
              <w:rPr>
                <w:rFonts w:eastAsia="Times New Roman" w:cstheme="minorHAnsi"/>
                <w:color w:val="2C307E"/>
                <w:sz w:val="20"/>
                <w:szCs w:val="20"/>
                <w:lang w:eastAsia="nl-NL"/>
              </w:rPr>
              <w:t xml:space="preserve">Slechte of geen faciliteiten (WiFi, restaurant etc.) </w:t>
            </w:r>
          </w:p>
        </w:tc>
      </w:tr>
    </w:tbl>
    <w:p w14:paraId="199C5ED1" w14:textId="77777777" w:rsidR="006A412A" w:rsidRDefault="006A412A" w:rsidP="007F430C">
      <w:pPr>
        <w:spacing w:after="0" w:line="276" w:lineRule="auto"/>
        <w:jc w:val="both"/>
        <w:rPr>
          <w:rFonts w:cstheme="minorHAnsi"/>
          <w:color w:val="2C307E"/>
        </w:rPr>
      </w:pPr>
    </w:p>
    <w:p w14:paraId="0E6F7905" w14:textId="7B005E84" w:rsidR="007F430C" w:rsidRDefault="007F430C" w:rsidP="007F430C">
      <w:pPr>
        <w:spacing w:after="0" w:line="276" w:lineRule="auto"/>
        <w:jc w:val="both"/>
        <w:rPr>
          <w:rFonts w:cstheme="minorHAnsi"/>
          <w:color w:val="2C307E"/>
        </w:rPr>
      </w:pPr>
      <w:r>
        <w:rPr>
          <w:rFonts w:cstheme="minorHAnsi"/>
          <w:color w:val="2C307E"/>
        </w:rPr>
        <w:t>Bovenstaand raster geeft weer hoe vaak een knelpunt is ervaren tegen de hinderlijkheid van dit knelpunt. Op de y-as het percentage van de laadsessies dat dit knelpunt voorkomt</w:t>
      </w:r>
      <w:r w:rsidRPr="000F3621">
        <w:rPr>
          <w:rFonts w:cstheme="minorHAnsi"/>
          <w:color w:val="2C307E"/>
        </w:rPr>
        <w:t xml:space="preserve"> </w:t>
      </w:r>
      <w:r>
        <w:rPr>
          <w:rFonts w:cstheme="minorHAnsi"/>
          <w:color w:val="2C307E"/>
        </w:rPr>
        <w:t>(</w:t>
      </w:r>
      <w:r w:rsidRPr="000F3621">
        <w:rPr>
          <w:rFonts w:cstheme="minorHAnsi"/>
          <w:color w:val="2C307E"/>
        </w:rPr>
        <w:t>als men het knelpunt weleens ervaart</w:t>
      </w:r>
      <w:r>
        <w:rPr>
          <w:rFonts w:cstheme="minorHAnsi"/>
          <w:color w:val="2C307E"/>
        </w:rPr>
        <w:t xml:space="preserve">). Op de x-as het aandeel respondenten dat dit knelpunt als </w:t>
      </w:r>
      <w:r w:rsidR="00963227">
        <w:rPr>
          <w:rFonts w:cstheme="minorHAnsi"/>
          <w:color w:val="2C307E"/>
        </w:rPr>
        <w:t xml:space="preserve">heel </w:t>
      </w:r>
      <w:r>
        <w:rPr>
          <w:rFonts w:cstheme="minorHAnsi"/>
          <w:color w:val="2C307E"/>
        </w:rPr>
        <w:t>(</w:t>
      </w:r>
      <w:r w:rsidR="00963227">
        <w:rPr>
          <w:rFonts w:cstheme="minorHAnsi"/>
          <w:color w:val="2C307E"/>
        </w:rPr>
        <w:t>erg</w:t>
      </w:r>
      <w:r>
        <w:rPr>
          <w:rFonts w:cstheme="minorHAnsi"/>
          <w:color w:val="2C307E"/>
        </w:rPr>
        <w:t xml:space="preserve">) hinderlijk beschouwt. Op basis van deze gegevens is een kwadrant ontwikkeld. </w:t>
      </w:r>
    </w:p>
    <w:p w14:paraId="65827C85" w14:textId="77777777" w:rsidR="007F430C" w:rsidRDefault="007F430C" w:rsidP="007F430C">
      <w:pPr>
        <w:spacing w:after="0" w:line="276" w:lineRule="auto"/>
        <w:jc w:val="both"/>
        <w:rPr>
          <w:rFonts w:cstheme="minorHAnsi"/>
          <w:color w:val="2C307E"/>
        </w:rPr>
      </w:pPr>
    </w:p>
    <w:p w14:paraId="3600522E" w14:textId="77777777" w:rsidR="006A412A" w:rsidRDefault="006A412A" w:rsidP="007F430C">
      <w:pPr>
        <w:spacing w:after="0" w:line="276" w:lineRule="auto"/>
        <w:jc w:val="both"/>
        <w:rPr>
          <w:rFonts w:cstheme="minorHAnsi"/>
          <w:color w:val="2C307E"/>
        </w:rPr>
      </w:pPr>
    </w:p>
    <w:p w14:paraId="59EFF400" w14:textId="1EEE4601" w:rsidR="007F430C" w:rsidRDefault="007F430C" w:rsidP="007F430C">
      <w:pPr>
        <w:spacing w:after="0" w:line="276" w:lineRule="auto"/>
        <w:jc w:val="both"/>
        <w:rPr>
          <w:rFonts w:cstheme="minorHAnsi"/>
          <w:color w:val="2C307E"/>
        </w:rPr>
      </w:pPr>
      <w:r>
        <w:rPr>
          <w:rFonts w:cstheme="minorHAnsi"/>
          <w:color w:val="2C307E"/>
        </w:rPr>
        <w:t xml:space="preserve">Elk knelpunt is onderverdeeld in één van de vier kwadranten. Knelpunten in het groene kwadrant komen niet/nauwelijks voor en worden niet als hinderlijk ervaren. De gele kwadranten bevatten knelpunten die ofwel (bijna) niet voorkomen ofwel niet als hinderlijk worden ervaren. Knelpunten in het paarse kwadrant worden zowel als hinderlijk ervaren en komen relatief vaker voor. </w:t>
      </w:r>
    </w:p>
    <w:p w14:paraId="0243AC27" w14:textId="54731D39" w:rsidR="008477FC" w:rsidRDefault="008477FC" w:rsidP="007F430C">
      <w:pPr>
        <w:spacing w:after="0" w:line="276" w:lineRule="auto"/>
        <w:jc w:val="both"/>
        <w:rPr>
          <w:rFonts w:cstheme="minorHAnsi"/>
          <w:color w:val="2C307E"/>
        </w:rPr>
      </w:pPr>
      <w:r w:rsidRPr="008477FC">
        <w:rPr>
          <w:rFonts w:cstheme="minorHAnsi"/>
          <w:color w:val="2C307E"/>
        </w:rPr>
        <w:t>Een defect laadpunt (2) en een niet werkende laadpas/laadapp (6) worden als meest hinderlijk ervaren: +/- 70% ervaart deze knelpunten als (heel) hinderlijk. Deze knelpunten komen relatief minder vaak voor (11 en 12% van de laadsessies – als men dit knelpunt weleens ervaart).</w:t>
      </w:r>
    </w:p>
    <w:p w14:paraId="35FE49BE" w14:textId="0D1BAA6F" w:rsidR="008477FC" w:rsidRDefault="00073540" w:rsidP="008477FC">
      <w:pPr>
        <w:jc w:val="both"/>
        <w:rPr>
          <w:rFonts w:cstheme="minorHAnsi"/>
          <w:color w:val="2C307E"/>
        </w:rPr>
      </w:pPr>
      <w:r>
        <w:rPr>
          <w:rFonts w:cstheme="minorHAnsi"/>
          <w:color w:val="2C307E"/>
        </w:rPr>
        <w:t>Een lagere laadsnelheid dan aangegeven komt relatief het vaakst voor (40% van de laadsessies, als men dit knelpunt weleens ervaart), maar wordt niet als heel hinderlijk ervaren.</w:t>
      </w:r>
    </w:p>
    <w:p w14:paraId="283D9D32" w14:textId="6CB9BAB5" w:rsidR="00B55171" w:rsidRDefault="00B55171" w:rsidP="008477FC">
      <w:pPr>
        <w:jc w:val="both"/>
        <w:rPr>
          <w:rFonts w:cstheme="minorHAnsi"/>
          <w:b/>
          <w:bCs/>
          <w:color w:val="2C307E"/>
        </w:rPr>
      </w:pPr>
      <w:r>
        <w:rPr>
          <w:rFonts w:cstheme="minorHAnsi"/>
          <w:b/>
          <w:bCs/>
          <w:color w:val="2C307E"/>
        </w:rPr>
        <w:br w:type="page"/>
      </w:r>
    </w:p>
    <w:p w14:paraId="1291860A" w14:textId="4F19B4E5" w:rsidR="00F87B24" w:rsidRPr="00AA6982" w:rsidRDefault="00E150B6" w:rsidP="00F87B24">
      <w:pPr>
        <w:jc w:val="both"/>
        <w:rPr>
          <w:rFonts w:cstheme="minorHAnsi"/>
          <w:b/>
          <w:bCs/>
          <w:color w:val="2C307E"/>
        </w:rPr>
      </w:pPr>
      <w:r>
        <w:rPr>
          <w:rFonts w:cstheme="minorHAnsi"/>
          <w:b/>
          <w:bCs/>
          <w:color w:val="2C307E"/>
        </w:rPr>
        <w:lastRenderedPageBreak/>
        <w:t>Laadsnelheid is de belangrijkste factor voor</w:t>
      </w:r>
      <w:r w:rsidR="00F87B24" w:rsidRPr="00F87B24">
        <w:rPr>
          <w:rFonts w:cstheme="minorHAnsi"/>
          <w:b/>
          <w:bCs/>
          <w:color w:val="2C307E"/>
        </w:rPr>
        <w:t xml:space="preserve"> een fijne snellaadervaring.  </w:t>
      </w:r>
      <w:r w:rsidR="00AA6982">
        <w:rPr>
          <w:rFonts w:cstheme="minorHAnsi"/>
          <w:b/>
          <w:bCs/>
          <w:color w:val="2C307E"/>
        </w:rPr>
        <w:t>[N=1.375]</w:t>
      </w:r>
      <w:r w:rsidR="00AA6982">
        <w:rPr>
          <w:rFonts w:cstheme="minorHAnsi"/>
          <w:b/>
          <w:bCs/>
          <w:color w:val="2C307E"/>
        </w:rPr>
        <w:br/>
      </w:r>
      <w:r w:rsidR="006D312A">
        <w:rPr>
          <w:rFonts w:cstheme="minorHAnsi"/>
          <w:color w:val="2C307E"/>
        </w:rPr>
        <w:t xml:space="preserve">Verder </w:t>
      </w:r>
      <w:r w:rsidR="00160A69">
        <w:rPr>
          <w:rFonts w:cstheme="minorHAnsi"/>
          <w:color w:val="2C307E"/>
        </w:rPr>
        <w:t>geeft</w:t>
      </w:r>
      <w:r w:rsidR="006D312A">
        <w:rPr>
          <w:rFonts w:cstheme="minorHAnsi"/>
          <w:color w:val="2C307E"/>
        </w:rPr>
        <w:t xml:space="preserve"> de EV-ri</w:t>
      </w:r>
      <w:r w:rsidR="00082549">
        <w:rPr>
          <w:rFonts w:cstheme="minorHAnsi"/>
          <w:color w:val="2C307E"/>
        </w:rPr>
        <w:t>jder</w:t>
      </w:r>
      <w:r w:rsidR="00160A69">
        <w:rPr>
          <w:rFonts w:cstheme="minorHAnsi"/>
          <w:color w:val="2C307E"/>
        </w:rPr>
        <w:t xml:space="preserve"> aan dat</w:t>
      </w:r>
      <w:r w:rsidR="00082549">
        <w:rPr>
          <w:rFonts w:cstheme="minorHAnsi"/>
          <w:color w:val="2C307E"/>
        </w:rPr>
        <w:t xml:space="preserve"> faciliteiten </w:t>
      </w:r>
      <w:r w:rsidR="00BE67CB">
        <w:rPr>
          <w:rFonts w:cstheme="minorHAnsi"/>
          <w:color w:val="2C307E"/>
        </w:rPr>
        <w:t xml:space="preserve">als horeca en toiletten </w:t>
      </w:r>
      <w:r w:rsidR="00160A69">
        <w:rPr>
          <w:rFonts w:cstheme="minorHAnsi"/>
          <w:color w:val="2C307E"/>
        </w:rPr>
        <w:t>(37%) en vooraf inzicht hebben in de prijs (34%) bijdragen aan een fijne snellaadervaring.</w:t>
      </w:r>
    </w:p>
    <w:p w14:paraId="66BE9BBC" w14:textId="6A6D69F8" w:rsidR="00E739CD" w:rsidRDefault="00E2553E" w:rsidP="001649AB">
      <w:pPr>
        <w:spacing w:after="0" w:line="276" w:lineRule="auto"/>
        <w:jc w:val="both"/>
        <w:rPr>
          <w:rFonts w:cstheme="minorHAnsi"/>
          <w:b/>
          <w:bCs/>
          <w:color w:val="2C307E"/>
        </w:rPr>
      </w:pPr>
      <w:r>
        <w:rPr>
          <w:noProof/>
        </w:rPr>
        <w:drawing>
          <wp:inline distT="0" distB="0" distL="0" distR="0" wp14:anchorId="02874183" wp14:editId="451F4D36">
            <wp:extent cx="2655570" cy="4261899"/>
            <wp:effectExtent l="0" t="0" r="0" b="0"/>
            <wp:docPr id="1730935520" name="Grafiek 1">
              <a:extLst xmlns:a="http://schemas.openxmlformats.org/drawingml/2006/main">
                <a:ext uri="{FF2B5EF4-FFF2-40B4-BE49-F238E27FC236}">
                  <a16:creationId xmlns:a16="http://schemas.microsoft.com/office/drawing/2014/main" id="{DA4AFFB7-D9D2-C632-ED9B-1D746A72C0B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inline>
        </w:drawing>
      </w:r>
    </w:p>
    <w:p w14:paraId="727E8F01" w14:textId="77777777" w:rsidR="001129A3" w:rsidRPr="00EF0712" w:rsidRDefault="001129A3" w:rsidP="001129A3">
      <w:pPr>
        <w:spacing w:after="0" w:line="276" w:lineRule="auto"/>
        <w:jc w:val="both"/>
        <w:rPr>
          <w:rFonts w:cstheme="minorHAnsi"/>
          <w:color w:val="2C307E"/>
        </w:rPr>
      </w:pPr>
      <w:r w:rsidRPr="00EF0712">
        <w:rPr>
          <w:rFonts w:cstheme="minorHAnsi"/>
          <w:b/>
          <w:bCs/>
          <w:color w:val="2C307E"/>
        </w:rPr>
        <w:t>Het minimaal benodigde aantal kWh bepaalt grotendeels (73%) de tijd die de elektrische rijders aan de snellader staan. [N=1.387]</w:t>
      </w:r>
      <w:r w:rsidRPr="00EF0712">
        <w:rPr>
          <w:rFonts w:cstheme="minorHAnsi"/>
          <w:color w:val="2C307E"/>
        </w:rPr>
        <w:t xml:space="preserve"> </w:t>
      </w:r>
    </w:p>
    <w:p w14:paraId="7C41209B" w14:textId="35259F89" w:rsidR="001129A3" w:rsidRPr="00EF0712" w:rsidRDefault="001129A3" w:rsidP="001129A3">
      <w:pPr>
        <w:spacing w:after="0" w:line="276" w:lineRule="auto"/>
        <w:jc w:val="both"/>
        <w:rPr>
          <w:rFonts w:cstheme="minorHAnsi"/>
          <w:color w:val="2C307E"/>
        </w:rPr>
      </w:pPr>
      <w:r w:rsidRPr="00EF0712">
        <w:rPr>
          <w:rFonts w:cstheme="minorHAnsi"/>
          <w:color w:val="2C307E"/>
        </w:rPr>
        <w:t xml:space="preserve">In de vorige editie van het </w:t>
      </w:r>
      <w:r w:rsidR="00E150B6">
        <w:rPr>
          <w:rFonts w:cstheme="minorHAnsi"/>
          <w:color w:val="2C307E"/>
        </w:rPr>
        <w:t>L</w:t>
      </w:r>
      <w:r w:rsidRPr="00EF0712">
        <w:rPr>
          <w:rFonts w:cstheme="minorHAnsi"/>
          <w:color w:val="2C307E"/>
        </w:rPr>
        <w:t xml:space="preserve">aadonderzoek gaf 74% aan dat het minimaal aantal kWh de doorslag geeft voor de laadtijd. </w:t>
      </w:r>
    </w:p>
    <w:p w14:paraId="056ED506" w14:textId="7AE853F6" w:rsidR="001129A3" w:rsidRDefault="00BE67CB" w:rsidP="001649AB">
      <w:pPr>
        <w:spacing w:after="0" w:line="276" w:lineRule="auto"/>
        <w:jc w:val="both"/>
        <w:rPr>
          <w:rFonts w:cstheme="minorHAnsi"/>
          <w:b/>
          <w:bCs/>
          <w:color w:val="2C307E"/>
        </w:rPr>
      </w:pPr>
      <w:r>
        <w:rPr>
          <w:noProof/>
        </w:rPr>
        <w:drawing>
          <wp:inline distT="0" distB="0" distL="0" distR="0" wp14:anchorId="3DE9F536" wp14:editId="61C2252A">
            <wp:extent cx="2655570" cy="2210463"/>
            <wp:effectExtent l="0" t="0" r="0" b="0"/>
            <wp:docPr id="1687575474" name="Grafiek 1">
              <a:extLst xmlns:a="http://schemas.openxmlformats.org/drawingml/2006/main">
                <a:ext uri="{FF2B5EF4-FFF2-40B4-BE49-F238E27FC236}">
                  <a16:creationId xmlns:a16="http://schemas.microsoft.com/office/drawing/2014/main" id="{2154D4AF-D504-C966-DA18-0BDCEB471E9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inline>
        </w:drawing>
      </w:r>
    </w:p>
    <w:p w14:paraId="4AAF5778" w14:textId="5E7CD806" w:rsidR="00712417" w:rsidRPr="0068555F" w:rsidRDefault="00961028" w:rsidP="001649AB">
      <w:pPr>
        <w:spacing w:after="0" w:line="276" w:lineRule="auto"/>
        <w:jc w:val="both"/>
        <w:rPr>
          <w:rFonts w:cstheme="minorHAnsi"/>
          <w:color w:val="2C307E"/>
        </w:rPr>
      </w:pPr>
      <w:r w:rsidRPr="0068555F">
        <w:rPr>
          <w:rFonts w:cstheme="minorHAnsi"/>
          <w:b/>
          <w:bCs/>
          <w:color w:val="2C307E"/>
        </w:rPr>
        <w:t>D</w:t>
      </w:r>
      <w:r w:rsidR="00712417" w:rsidRPr="0068555F">
        <w:rPr>
          <w:rFonts w:cstheme="minorHAnsi"/>
          <w:b/>
          <w:bCs/>
          <w:color w:val="2C307E"/>
        </w:rPr>
        <w:t xml:space="preserve">e locatie </w:t>
      </w:r>
      <w:r w:rsidRPr="0068555F">
        <w:rPr>
          <w:rFonts w:cstheme="minorHAnsi"/>
          <w:b/>
          <w:bCs/>
          <w:color w:val="2C307E"/>
        </w:rPr>
        <w:t xml:space="preserve">bepaalt </w:t>
      </w:r>
      <w:r w:rsidR="00712417" w:rsidRPr="0068555F">
        <w:rPr>
          <w:rFonts w:cstheme="minorHAnsi"/>
          <w:b/>
          <w:bCs/>
          <w:color w:val="2C307E"/>
        </w:rPr>
        <w:t>de keuze van de snellader</w:t>
      </w:r>
      <w:r w:rsidR="00A73CE6" w:rsidRPr="0068555F">
        <w:rPr>
          <w:rFonts w:cstheme="minorHAnsi"/>
          <w:b/>
          <w:bCs/>
          <w:color w:val="2C307E"/>
        </w:rPr>
        <w:t>.</w:t>
      </w:r>
      <w:r w:rsidR="00712417" w:rsidRPr="0068555F">
        <w:rPr>
          <w:rFonts w:cstheme="minorHAnsi"/>
          <w:b/>
          <w:bCs/>
          <w:color w:val="2C307E"/>
        </w:rPr>
        <w:t xml:space="preserve"> [N=</w:t>
      </w:r>
      <w:r w:rsidRPr="0068555F">
        <w:rPr>
          <w:rFonts w:cstheme="minorHAnsi"/>
          <w:b/>
          <w:bCs/>
          <w:color w:val="2C307E"/>
        </w:rPr>
        <w:t>1.373</w:t>
      </w:r>
      <w:r w:rsidR="00712417" w:rsidRPr="0068555F">
        <w:rPr>
          <w:rFonts w:cstheme="minorHAnsi"/>
          <w:b/>
          <w:bCs/>
          <w:color w:val="2C307E"/>
        </w:rPr>
        <w:t>]</w:t>
      </w:r>
    </w:p>
    <w:p w14:paraId="07681FE3" w14:textId="03D1FE71" w:rsidR="00712417" w:rsidRPr="00057017" w:rsidRDefault="008E26FD" w:rsidP="0068555F">
      <w:pPr>
        <w:spacing w:after="0" w:line="276" w:lineRule="auto"/>
        <w:jc w:val="both"/>
        <w:rPr>
          <w:noProof/>
          <w:highlight w:val="yellow"/>
        </w:rPr>
      </w:pPr>
      <w:r w:rsidRPr="0068555F">
        <w:rPr>
          <w:rFonts w:cstheme="minorHAnsi"/>
          <w:color w:val="2C307E"/>
        </w:rPr>
        <w:t xml:space="preserve">Dat is tot nu toe </w:t>
      </w:r>
      <w:r w:rsidR="00C53E31">
        <w:rPr>
          <w:rFonts w:cstheme="minorHAnsi"/>
          <w:color w:val="2C307E"/>
        </w:rPr>
        <w:t xml:space="preserve">in elk </w:t>
      </w:r>
      <w:r w:rsidR="00E150B6">
        <w:rPr>
          <w:rFonts w:cstheme="minorHAnsi"/>
          <w:color w:val="2C307E"/>
        </w:rPr>
        <w:t>L</w:t>
      </w:r>
      <w:r w:rsidR="00C53E31">
        <w:rPr>
          <w:rFonts w:cstheme="minorHAnsi"/>
          <w:color w:val="2C307E"/>
        </w:rPr>
        <w:t>aadonderzoek</w:t>
      </w:r>
      <w:r w:rsidRPr="0068555F">
        <w:rPr>
          <w:rFonts w:cstheme="minorHAnsi"/>
          <w:color w:val="2C307E"/>
        </w:rPr>
        <w:t xml:space="preserve"> het geval. Opvallend is dat het aantal aanwezige laadpunten het minst bepalend is voor de keuze </w:t>
      </w:r>
      <w:r w:rsidR="0068555F" w:rsidRPr="0068555F">
        <w:rPr>
          <w:rFonts w:cstheme="minorHAnsi"/>
          <w:color w:val="2C307E"/>
        </w:rPr>
        <w:t>van de snellaadlocatie.</w:t>
      </w:r>
      <w:r w:rsidR="003460BC">
        <w:rPr>
          <w:rFonts w:cstheme="minorHAnsi"/>
          <w:color w:val="2C307E"/>
        </w:rPr>
        <w:t xml:space="preserve"> </w:t>
      </w:r>
      <w:r w:rsidR="004933CB">
        <w:rPr>
          <w:rFonts w:cstheme="minorHAnsi"/>
          <w:color w:val="2C307E"/>
        </w:rPr>
        <w:t xml:space="preserve">En hoewel laadsnelheid erg belangrijk is voor een fijne snellaadervaring, is dit niet de meest bepalende factor bij de keuze voor een snellader. </w:t>
      </w:r>
    </w:p>
    <w:p w14:paraId="409C0B20" w14:textId="7A3F5BA3" w:rsidR="00712417" w:rsidRPr="00057017" w:rsidRDefault="008E26FD" w:rsidP="00712417">
      <w:pPr>
        <w:spacing w:after="0" w:line="240" w:lineRule="auto"/>
        <w:jc w:val="both"/>
        <w:rPr>
          <w:color w:val="2C307E"/>
          <w:highlight w:val="yellow"/>
        </w:rPr>
      </w:pPr>
      <w:r>
        <w:rPr>
          <w:noProof/>
        </w:rPr>
        <w:drawing>
          <wp:inline distT="0" distB="0" distL="0" distR="0" wp14:anchorId="6BAB6902" wp14:editId="3D3B2D68">
            <wp:extent cx="2655570" cy="3959749"/>
            <wp:effectExtent l="0" t="0" r="0" b="0"/>
            <wp:docPr id="1209591085" name="Grafiek 1">
              <a:extLst xmlns:a="http://schemas.openxmlformats.org/drawingml/2006/main">
                <a:ext uri="{FF2B5EF4-FFF2-40B4-BE49-F238E27FC236}">
                  <a16:creationId xmlns:a16="http://schemas.microsoft.com/office/drawing/2014/main" id="{27BEC9ED-96B0-54F8-826D-BA760733514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inline>
        </w:drawing>
      </w:r>
    </w:p>
    <w:p w14:paraId="1122B5EA" w14:textId="4B604B6D" w:rsidR="00712417" w:rsidRPr="00057017" w:rsidRDefault="00712417" w:rsidP="00712417">
      <w:pPr>
        <w:spacing w:after="0" w:line="240" w:lineRule="auto"/>
        <w:jc w:val="both"/>
        <w:rPr>
          <w:color w:val="2C307E"/>
          <w:highlight w:val="yellow"/>
        </w:rPr>
      </w:pPr>
    </w:p>
    <w:p w14:paraId="02187F28" w14:textId="77777777" w:rsidR="00CF66B2" w:rsidRDefault="00CF66B2">
      <w:pPr>
        <w:rPr>
          <w:rFonts w:asciiTheme="majorHAnsi" w:eastAsiaTheme="majorEastAsia" w:hAnsiTheme="majorHAnsi" w:cstheme="majorBidi"/>
          <w:color w:val="2F5496" w:themeColor="accent1" w:themeShade="BF"/>
          <w:sz w:val="26"/>
          <w:szCs w:val="26"/>
        </w:rPr>
      </w:pPr>
      <w:bookmarkStart w:id="80" w:name="_Toc176513699"/>
      <w:bookmarkStart w:id="81" w:name="_Toc176537578"/>
      <w:bookmarkStart w:id="82" w:name="_Toc208498186"/>
      <w:r>
        <w:br w:type="page"/>
      </w:r>
    </w:p>
    <w:p w14:paraId="39C20E73" w14:textId="2249BE5B" w:rsidR="00AB73AA" w:rsidRPr="00117D2C" w:rsidRDefault="00AB73AA" w:rsidP="00AB73AA">
      <w:pPr>
        <w:pStyle w:val="Kop2"/>
        <w:jc w:val="both"/>
        <w:rPr>
          <w:rFonts w:cstheme="minorHAnsi"/>
          <w:b/>
          <w:bCs/>
          <w:color w:val="2C307E"/>
        </w:rPr>
      </w:pPr>
      <w:bookmarkStart w:id="83" w:name="_Toc209702003"/>
      <w:bookmarkStart w:id="84" w:name="_Toc209702096"/>
      <w:bookmarkStart w:id="85" w:name="_Toc209702581"/>
      <w:bookmarkStart w:id="86" w:name="_Toc209710056"/>
      <w:r w:rsidRPr="00117D2C">
        <w:lastRenderedPageBreak/>
        <w:t>Binnenstedelijk snellade</w:t>
      </w:r>
      <w:bookmarkEnd w:id="80"/>
      <w:bookmarkEnd w:id="81"/>
      <w:r w:rsidR="006D6D85">
        <w:t>n</w:t>
      </w:r>
      <w:bookmarkEnd w:id="82"/>
      <w:bookmarkEnd w:id="83"/>
      <w:bookmarkEnd w:id="84"/>
      <w:bookmarkEnd w:id="85"/>
      <w:bookmarkEnd w:id="86"/>
    </w:p>
    <w:p w14:paraId="17019E54" w14:textId="75C01639" w:rsidR="003958B3" w:rsidRPr="00117D2C" w:rsidRDefault="003958B3" w:rsidP="001649AB">
      <w:pPr>
        <w:spacing w:after="0" w:line="276" w:lineRule="auto"/>
        <w:jc w:val="both"/>
        <w:rPr>
          <w:rFonts w:cstheme="minorHAnsi"/>
          <w:b/>
          <w:bCs/>
          <w:color w:val="2C307E"/>
        </w:rPr>
      </w:pPr>
      <w:r w:rsidRPr="00117D2C">
        <w:rPr>
          <w:rFonts w:cstheme="minorHAnsi"/>
          <w:b/>
          <w:bCs/>
          <w:color w:val="2C307E"/>
        </w:rPr>
        <w:t>Slechts een klein deel van de elektrische rijders maakt weleens gebruik van binnenstedelijke snelladers</w:t>
      </w:r>
      <w:r w:rsidR="00787FB9" w:rsidRPr="00117D2C">
        <w:rPr>
          <w:rFonts w:cstheme="minorHAnsi"/>
          <w:b/>
          <w:bCs/>
          <w:color w:val="2C307E"/>
        </w:rPr>
        <w:t>.</w:t>
      </w:r>
      <w:r w:rsidRPr="00117D2C">
        <w:rPr>
          <w:rFonts w:cstheme="minorHAnsi"/>
          <w:b/>
          <w:bCs/>
          <w:color w:val="2C307E"/>
        </w:rPr>
        <w:t xml:space="preserve"> [N</w:t>
      </w:r>
      <w:r w:rsidR="001C64A1">
        <w:rPr>
          <w:rFonts w:cstheme="minorHAnsi"/>
          <w:b/>
          <w:bCs/>
          <w:color w:val="2C307E"/>
        </w:rPr>
        <w:t>=1.372]</w:t>
      </w:r>
    </w:p>
    <w:p w14:paraId="3423B6F6" w14:textId="3E686162" w:rsidR="003958B3" w:rsidRDefault="001376B2" w:rsidP="001649AB">
      <w:pPr>
        <w:spacing w:after="0" w:line="276" w:lineRule="auto"/>
        <w:jc w:val="both"/>
        <w:rPr>
          <w:rFonts w:cstheme="minorHAnsi"/>
          <w:color w:val="2C307E"/>
        </w:rPr>
      </w:pPr>
      <w:r w:rsidRPr="00117D2C">
        <w:rPr>
          <w:rFonts w:cstheme="minorHAnsi"/>
          <w:color w:val="2C307E"/>
        </w:rPr>
        <w:t xml:space="preserve">Naast het laden langs het hoofdwegennet, zijn er ook binnenstedelijke snelladers op locaties </w:t>
      </w:r>
      <w:r w:rsidR="003958B3" w:rsidRPr="00117D2C">
        <w:rPr>
          <w:rFonts w:cstheme="minorHAnsi"/>
          <w:color w:val="2C307E"/>
        </w:rPr>
        <w:t>bij bouwmarkten, supermarkten of binnenstedelijke 'tankstations'</w:t>
      </w:r>
      <w:r w:rsidR="00117D2C">
        <w:rPr>
          <w:rFonts w:cstheme="minorHAnsi"/>
          <w:color w:val="2C307E"/>
        </w:rPr>
        <w:t>.</w:t>
      </w:r>
    </w:p>
    <w:p w14:paraId="772B640F" w14:textId="4C4311F8" w:rsidR="00117D2C" w:rsidRPr="00117D2C" w:rsidRDefault="00117D2C" w:rsidP="001649AB">
      <w:pPr>
        <w:spacing w:after="0" w:line="276" w:lineRule="auto"/>
        <w:jc w:val="both"/>
        <w:rPr>
          <w:rFonts w:cstheme="minorHAnsi"/>
          <w:color w:val="2C307E"/>
        </w:rPr>
      </w:pPr>
      <w:r>
        <w:rPr>
          <w:rFonts w:cstheme="minorHAnsi"/>
          <w:color w:val="2C307E"/>
        </w:rPr>
        <w:t xml:space="preserve">De EV-rijder geeft aan deze (nu nog) </w:t>
      </w:r>
      <w:r w:rsidR="001C64A1">
        <w:rPr>
          <w:rFonts w:cstheme="minorHAnsi"/>
          <w:color w:val="2C307E"/>
        </w:rPr>
        <w:t>nauwelijks</w:t>
      </w:r>
      <w:r w:rsidR="00297A64">
        <w:rPr>
          <w:rFonts w:cstheme="minorHAnsi"/>
          <w:color w:val="2C307E"/>
        </w:rPr>
        <w:t xml:space="preserve"> te gebruiken. </w:t>
      </w:r>
      <w:r w:rsidR="00BE67CB">
        <w:rPr>
          <w:rFonts w:cstheme="minorHAnsi"/>
          <w:color w:val="2C307E"/>
        </w:rPr>
        <w:t>Dit is gelijk aan de resultaten van vorig jaar.</w:t>
      </w:r>
    </w:p>
    <w:p w14:paraId="44746C75" w14:textId="6A96A8C6" w:rsidR="003958B3" w:rsidRPr="00057017" w:rsidRDefault="00117D2C" w:rsidP="00B826F0">
      <w:pPr>
        <w:jc w:val="both"/>
        <w:rPr>
          <w:b/>
          <w:color w:val="2C307E"/>
          <w:highlight w:val="yellow"/>
        </w:rPr>
      </w:pPr>
      <w:r>
        <w:rPr>
          <w:noProof/>
        </w:rPr>
        <w:drawing>
          <wp:inline distT="0" distB="0" distL="0" distR="0" wp14:anchorId="30D5AE70" wp14:editId="5AC762A3">
            <wp:extent cx="2655570" cy="2282024"/>
            <wp:effectExtent l="0" t="0" r="0" b="0"/>
            <wp:docPr id="292339429" name="Grafiek 1">
              <a:extLst xmlns:a="http://schemas.openxmlformats.org/drawingml/2006/main">
                <a:ext uri="{FF2B5EF4-FFF2-40B4-BE49-F238E27FC236}">
                  <a16:creationId xmlns:a16="http://schemas.microsoft.com/office/drawing/2014/main" id="{10BC5130-13C8-3518-8F8F-616A94CEB4D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7"/>
              </a:graphicData>
            </a:graphic>
          </wp:inline>
        </w:drawing>
      </w:r>
      <w:r w:rsidR="003958B3" w:rsidRPr="00057017">
        <w:rPr>
          <w:b/>
          <w:color w:val="2C307E"/>
          <w:highlight w:val="yellow"/>
        </w:rPr>
        <w:t xml:space="preserve"> </w:t>
      </w:r>
    </w:p>
    <w:p w14:paraId="3CEEBBFE" w14:textId="2CA5896E" w:rsidR="001028AF" w:rsidRDefault="00BE67CB" w:rsidP="001028AF">
      <w:pPr>
        <w:spacing w:after="0" w:line="276" w:lineRule="auto"/>
        <w:jc w:val="both"/>
        <w:rPr>
          <w:rFonts w:cstheme="minorHAnsi"/>
          <w:b/>
          <w:bCs/>
          <w:color w:val="2C307E"/>
        </w:rPr>
      </w:pPr>
      <w:r>
        <w:rPr>
          <w:rFonts w:cstheme="minorHAnsi"/>
          <w:b/>
          <w:bCs/>
          <w:color w:val="2C307E"/>
        </w:rPr>
        <w:t>De bel</w:t>
      </w:r>
      <w:r w:rsidR="001C64A1">
        <w:rPr>
          <w:rFonts w:cstheme="minorHAnsi"/>
          <w:b/>
          <w:bCs/>
          <w:color w:val="2C307E"/>
        </w:rPr>
        <w:t>angrijkste</w:t>
      </w:r>
      <w:r w:rsidR="001028AF" w:rsidRPr="004C023B">
        <w:rPr>
          <w:rFonts w:cstheme="minorHAnsi"/>
          <w:b/>
          <w:bCs/>
          <w:color w:val="2C307E"/>
        </w:rPr>
        <w:t xml:space="preserve"> reden voor </w:t>
      </w:r>
      <w:r>
        <w:rPr>
          <w:rFonts w:cstheme="minorHAnsi"/>
          <w:b/>
          <w:bCs/>
          <w:color w:val="2C307E"/>
        </w:rPr>
        <w:t xml:space="preserve">het </w:t>
      </w:r>
      <w:r w:rsidR="001028AF" w:rsidRPr="004C023B">
        <w:rPr>
          <w:rFonts w:cstheme="minorHAnsi"/>
          <w:b/>
          <w:bCs/>
          <w:color w:val="2C307E"/>
        </w:rPr>
        <w:t>gebruik van binnenstedelijke snelladers is het gemak. [N=</w:t>
      </w:r>
      <w:r w:rsidR="00A36694" w:rsidRPr="004C023B">
        <w:rPr>
          <w:rFonts w:cstheme="minorHAnsi"/>
          <w:b/>
          <w:bCs/>
          <w:color w:val="2C307E"/>
        </w:rPr>
        <w:t>37</w:t>
      </w:r>
      <w:r w:rsidR="001028AF" w:rsidRPr="004C023B">
        <w:rPr>
          <w:rFonts w:cstheme="minorHAnsi"/>
          <w:b/>
          <w:bCs/>
          <w:color w:val="2C307E"/>
        </w:rPr>
        <w:t>]</w:t>
      </w:r>
    </w:p>
    <w:p w14:paraId="5A5A8EAB" w14:textId="70200668" w:rsidR="00F83E7B" w:rsidRPr="00F83E7B" w:rsidRDefault="00F83E7B" w:rsidP="001028AF">
      <w:pPr>
        <w:spacing w:after="0" w:line="276" w:lineRule="auto"/>
        <w:jc w:val="both"/>
        <w:rPr>
          <w:rFonts w:cstheme="minorHAnsi"/>
          <w:color w:val="2C307E"/>
        </w:rPr>
      </w:pPr>
      <w:r>
        <w:rPr>
          <w:rFonts w:cstheme="minorHAnsi"/>
          <w:color w:val="2C307E"/>
        </w:rPr>
        <w:t>Als men er toch moet zijn, dan kan er gelijk geladen worden.</w:t>
      </w:r>
    </w:p>
    <w:p w14:paraId="2638F9E9" w14:textId="5922EA9C" w:rsidR="001028AF" w:rsidRDefault="00A36694" w:rsidP="001649AB">
      <w:pPr>
        <w:spacing w:after="0" w:line="276" w:lineRule="auto"/>
        <w:jc w:val="both"/>
        <w:rPr>
          <w:rFonts w:cstheme="minorHAnsi"/>
          <w:b/>
          <w:bCs/>
          <w:color w:val="2C307E"/>
        </w:rPr>
      </w:pPr>
      <w:r>
        <w:rPr>
          <w:noProof/>
        </w:rPr>
        <w:drawing>
          <wp:inline distT="0" distB="0" distL="0" distR="0" wp14:anchorId="3C44CF56" wp14:editId="2DDB0639">
            <wp:extent cx="2655570" cy="3307743"/>
            <wp:effectExtent l="0" t="0" r="0" b="0"/>
            <wp:docPr id="639701960" name="Grafiek 1">
              <a:extLst xmlns:a="http://schemas.openxmlformats.org/drawingml/2006/main">
                <a:ext uri="{FF2B5EF4-FFF2-40B4-BE49-F238E27FC236}">
                  <a16:creationId xmlns:a16="http://schemas.microsoft.com/office/drawing/2014/main" id="{651CA930-AA79-4072-80C8-1B509E91052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8"/>
              </a:graphicData>
            </a:graphic>
          </wp:inline>
        </w:drawing>
      </w:r>
    </w:p>
    <w:p w14:paraId="670510C6" w14:textId="6E43539C" w:rsidR="003958B3" w:rsidRPr="0039497D" w:rsidRDefault="00BE67CB" w:rsidP="001649AB">
      <w:pPr>
        <w:spacing w:after="0" w:line="276" w:lineRule="auto"/>
        <w:jc w:val="both"/>
        <w:rPr>
          <w:rFonts w:cstheme="minorHAnsi"/>
          <w:b/>
          <w:bCs/>
          <w:color w:val="2C307E"/>
        </w:rPr>
      </w:pPr>
      <w:bookmarkStart w:id="87" w:name="_Hlk206688835"/>
      <w:r>
        <w:rPr>
          <w:rFonts w:cstheme="minorHAnsi"/>
          <w:b/>
          <w:bCs/>
          <w:color w:val="2C307E"/>
        </w:rPr>
        <w:t xml:space="preserve">De </w:t>
      </w:r>
      <w:r w:rsidR="00121B5C">
        <w:rPr>
          <w:rFonts w:cstheme="minorHAnsi"/>
          <w:b/>
          <w:bCs/>
          <w:color w:val="2C307E"/>
        </w:rPr>
        <w:t>EV</w:t>
      </w:r>
      <w:r>
        <w:rPr>
          <w:rFonts w:cstheme="minorHAnsi"/>
          <w:b/>
          <w:bCs/>
          <w:color w:val="2C307E"/>
        </w:rPr>
        <w:t>-</w:t>
      </w:r>
      <w:r w:rsidR="00121B5C">
        <w:rPr>
          <w:rFonts w:cstheme="minorHAnsi"/>
          <w:b/>
          <w:bCs/>
          <w:color w:val="2C307E"/>
        </w:rPr>
        <w:t xml:space="preserve">rijder heeft (nog) geen behoefte aan een </w:t>
      </w:r>
      <w:r>
        <w:rPr>
          <w:rFonts w:cstheme="minorHAnsi"/>
          <w:b/>
          <w:bCs/>
          <w:color w:val="2C307E"/>
        </w:rPr>
        <w:t>snel</w:t>
      </w:r>
      <w:r w:rsidR="00121B5C">
        <w:rPr>
          <w:rFonts w:cstheme="minorHAnsi"/>
          <w:b/>
          <w:bCs/>
          <w:color w:val="2C307E"/>
        </w:rPr>
        <w:t xml:space="preserve">laadvoorziening </w:t>
      </w:r>
      <w:r w:rsidR="00AB0EBD">
        <w:rPr>
          <w:rFonts w:cstheme="minorHAnsi"/>
          <w:b/>
          <w:bCs/>
          <w:color w:val="2C307E"/>
        </w:rPr>
        <w:t>op een binnenstedelijke plek.</w:t>
      </w:r>
      <w:bookmarkEnd w:id="87"/>
      <w:r w:rsidR="003958B3" w:rsidRPr="0039497D">
        <w:rPr>
          <w:rFonts w:cstheme="minorHAnsi"/>
          <w:b/>
          <w:bCs/>
          <w:color w:val="2C307E"/>
        </w:rPr>
        <w:t xml:space="preserve"> [N=</w:t>
      </w:r>
      <w:r w:rsidR="00AB0EBD">
        <w:rPr>
          <w:rFonts w:cstheme="minorHAnsi"/>
          <w:b/>
          <w:bCs/>
          <w:color w:val="2C307E"/>
        </w:rPr>
        <w:t>1.120</w:t>
      </w:r>
      <w:r w:rsidR="003958B3" w:rsidRPr="0039497D">
        <w:rPr>
          <w:rFonts w:cstheme="minorHAnsi"/>
          <w:b/>
          <w:bCs/>
          <w:color w:val="2C307E"/>
        </w:rPr>
        <w:t>]</w:t>
      </w:r>
    </w:p>
    <w:p w14:paraId="69016785" w14:textId="2F889B4E" w:rsidR="00AB73AA" w:rsidRPr="0039497D" w:rsidRDefault="00D81187" w:rsidP="001649AB">
      <w:pPr>
        <w:spacing w:after="0" w:line="276" w:lineRule="auto"/>
        <w:jc w:val="both"/>
        <w:rPr>
          <w:rFonts w:cstheme="minorHAnsi"/>
          <w:color w:val="2C307E"/>
        </w:rPr>
      </w:pPr>
      <w:r>
        <w:rPr>
          <w:rFonts w:cstheme="minorHAnsi"/>
          <w:color w:val="2C307E"/>
        </w:rPr>
        <w:t xml:space="preserve">70% geeft aan dat de actieradius voldoende is als ze </w:t>
      </w:r>
      <w:r w:rsidR="00B90D27">
        <w:rPr>
          <w:rFonts w:cstheme="minorHAnsi"/>
          <w:color w:val="2C307E"/>
        </w:rPr>
        <w:t xml:space="preserve">op dergelijke locaties komen. Ze hebben een alternatief, </w:t>
      </w:r>
      <w:r w:rsidR="003B60AC">
        <w:rPr>
          <w:rFonts w:cstheme="minorHAnsi"/>
          <w:color w:val="2C307E"/>
        </w:rPr>
        <w:t>namelijk thuis laden</w:t>
      </w:r>
      <w:r w:rsidR="001028AF">
        <w:rPr>
          <w:rFonts w:cstheme="minorHAnsi"/>
          <w:color w:val="2C307E"/>
        </w:rPr>
        <w:t xml:space="preserve"> of publiek laden in de straat. 26% van de EV-rijders geeft daarnaast aan niet vaak op dergelijke locaties te komen.</w:t>
      </w:r>
      <w:r w:rsidR="00B90D27">
        <w:rPr>
          <w:rFonts w:cstheme="minorHAnsi"/>
          <w:color w:val="2C307E"/>
        </w:rPr>
        <w:t xml:space="preserve"> </w:t>
      </w:r>
    </w:p>
    <w:p w14:paraId="71EF5FC5" w14:textId="2B8C588E" w:rsidR="00DF4DC3" w:rsidRPr="00057017" w:rsidRDefault="00DF4DC3" w:rsidP="00B826F0">
      <w:pPr>
        <w:jc w:val="both"/>
        <w:rPr>
          <w:rFonts w:cstheme="minorHAnsi"/>
          <w:color w:val="2C307E"/>
          <w:highlight w:val="yellow"/>
        </w:rPr>
      </w:pPr>
      <w:r>
        <w:rPr>
          <w:noProof/>
        </w:rPr>
        <w:drawing>
          <wp:inline distT="0" distB="0" distL="0" distR="0" wp14:anchorId="422E1C46" wp14:editId="38898602">
            <wp:extent cx="2655570" cy="3864333"/>
            <wp:effectExtent l="0" t="0" r="0" b="0"/>
            <wp:docPr id="1652365455" name="Grafiek 1">
              <a:extLst xmlns:a="http://schemas.openxmlformats.org/drawingml/2006/main">
                <a:ext uri="{FF2B5EF4-FFF2-40B4-BE49-F238E27FC236}">
                  <a16:creationId xmlns:a16="http://schemas.microsoft.com/office/drawing/2014/main" id="{FB7AC97F-3E4F-09BC-556C-D85853EDAF9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9"/>
              </a:graphicData>
            </a:graphic>
          </wp:inline>
        </w:drawing>
      </w:r>
    </w:p>
    <w:p w14:paraId="4C915CBC" w14:textId="795CFCE9" w:rsidR="00AB73AA" w:rsidRPr="00057017" w:rsidRDefault="00AB73AA" w:rsidP="001376B2">
      <w:pPr>
        <w:jc w:val="both"/>
        <w:rPr>
          <w:rFonts w:cstheme="minorHAnsi"/>
          <w:color w:val="2C307E"/>
          <w:highlight w:val="yellow"/>
        </w:rPr>
      </w:pPr>
    </w:p>
    <w:p w14:paraId="4D0FC203" w14:textId="7294F2D8" w:rsidR="00AB73AA" w:rsidRPr="00057017" w:rsidRDefault="00AB73AA" w:rsidP="001376B2">
      <w:pPr>
        <w:jc w:val="both"/>
        <w:rPr>
          <w:rFonts w:cstheme="minorHAnsi"/>
          <w:color w:val="2C307E"/>
          <w:highlight w:val="yellow"/>
        </w:rPr>
      </w:pPr>
    </w:p>
    <w:p w14:paraId="5AEFC5E0" w14:textId="24F56436" w:rsidR="003958B3" w:rsidRPr="00057017" w:rsidRDefault="003958B3" w:rsidP="00B826F0">
      <w:pPr>
        <w:jc w:val="both"/>
        <w:rPr>
          <w:b/>
          <w:color w:val="2C307E"/>
          <w:highlight w:val="yellow"/>
        </w:rPr>
      </w:pPr>
    </w:p>
    <w:p w14:paraId="3B870FFF" w14:textId="77777777" w:rsidR="003958B3" w:rsidRPr="00057017" w:rsidRDefault="003958B3" w:rsidP="00B826F0">
      <w:pPr>
        <w:jc w:val="both"/>
        <w:rPr>
          <w:rFonts w:cstheme="minorHAnsi"/>
          <w:b/>
          <w:bCs/>
          <w:color w:val="2C307E"/>
          <w:highlight w:val="yellow"/>
        </w:rPr>
      </w:pPr>
    </w:p>
    <w:p w14:paraId="477D7983" w14:textId="77777777" w:rsidR="003958B3" w:rsidRPr="00057017" w:rsidRDefault="003958B3" w:rsidP="003958B3">
      <w:pPr>
        <w:spacing w:after="0" w:line="240" w:lineRule="auto"/>
        <w:jc w:val="both"/>
        <w:rPr>
          <w:rFonts w:cstheme="minorHAnsi"/>
          <w:b/>
          <w:bCs/>
          <w:color w:val="2C307E"/>
          <w:highlight w:val="yellow"/>
        </w:rPr>
      </w:pPr>
    </w:p>
    <w:p w14:paraId="2709D253" w14:textId="77777777" w:rsidR="00712417" w:rsidRPr="00057017" w:rsidRDefault="00712417" w:rsidP="00B826F0">
      <w:pPr>
        <w:jc w:val="both"/>
        <w:rPr>
          <w:rFonts w:asciiTheme="majorHAnsi" w:eastAsiaTheme="majorEastAsia" w:hAnsiTheme="majorHAnsi" w:cstheme="majorBidi"/>
          <w:color w:val="2F5496" w:themeColor="accent1" w:themeShade="BF"/>
          <w:sz w:val="26"/>
          <w:szCs w:val="26"/>
          <w:highlight w:val="yellow"/>
        </w:rPr>
      </w:pPr>
      <w:r w:rsidRPr="00057017">
        <w:rPr>
          <w:highlight w:val="yellow"/>
        </w:rPr>
        <w:br w:type="page"/>
      </w:r>
    </w:p>
    <w:p w14:paraId="3ED67B0A" w14:textId="77777777" w:rsidR="00712417" w:rsidRPr="00221530" w:rsidRDefault="00712417" w:rsidP="00B826F0">
      <w:pPr>
        <w:pStyle w:val="Kop2"/>
        <w:jc w:val="both"/>
      </w:pPr>
      <w:bookmarkStart w:id="88" w:name="_Toc143700622"/>
      <w:bookmarkStart w:id="89" w:name="_Toc176513700"/>
      <w:bookmarkStart w:id="90" w:name="_Toc176537579"/>
      <w:bookmarkStart w:id="91" w:name="_Toc209710057"/>
      <w:r w:rsidRPr="00221530">
        <w:lastRenderedPageBreak/>
        <w:t>Laden op het werk</w:t>
      </w:r>
      <w:bookmarkEnd w:id="88"/>
      <w:bookmarkEnd w:id="89"/>
      <w:bookmarkEnd w:id="90"/>
      <w:bookmarkEnd w:id="91"/>
    </w:p>
    <w:p w14:paraId="0230672E" w14:textId="77777777" w:rsidR="00C80523" w:rsidRPr="00221530" w:rsidRDefault="00C80523" w:rsidP="001649AB">
      <w:pPr>
        <w:spacing w:after="0" w:line="276" w:lineRule="auto"/>
        <w:jc w:val="both"/>
        <w:rPr>
          <w:rFonts w:cstheme="minorHAnsi"/>
          <w:color w:val="2C307E"/>
        </w:rPr>
      </w:pPr>
      <w:r w:rsidRPr="00221530">
        <w:rPr>
          <w:rFonts w:cstheme="minorHAnsi"/>
          <w:b/>
          <w:bCs/>
          <w:color w:val="2C307E"/>
        </w:rPr>
        <w:t xml:space="preserve">Algemeen rapportcijfer </w:t>
      </w:r>
    </w:p>
    <w:tbl>
      <w:tblPr>
        <w:tblStyle w:val="Tabelraster"/>
        <w:tblW w:w="0" w:type="auto"/>
        <w:shd w:val="clear" w:color="auto" w:fill="DEEAF6" w:themeFill="accent5" w:themeFillTint="33"/>
        <w:tblLook w:val="04A0" w:firstRow="1" w:lastRow="0" w:firstColumn="1" w:lastColumn="0" w:noHBand="0" w:noVBand="1"/>
      </w:tblPr>
      <w:tblGrid>
        <w:gridCol w:w="2547"/>
        <w:gridCol w:w="1602"/>
      </w:tblGrid>
      <w:tr w:rsidR="00712417" w:rsidRPr="00221530" w14:paraId="72962D30" w14:textId="77777777">
        <w:tc>
          <w:tcPr>
            <w:tcW w:w="2547" w:type="dxa"/>
            <w:shd w:val="clear" w:color="auto" w:fill="DEEAF6" w:themeFill="accent5" w:themeFillTint="33"/>
          </w:tcPr>
          <w:p w14:paraId="067B87B7" w14:textId="77777777" w:rsidR="00712417" w:rsidRPr="00221530" w:rsidRDefault="00712417">
            <w:pPr>
              <w:jc w:val="both"/>
              <w:rPr>
                <w:rFonts w:cstheme="minorHAnsi"/>
                <w:b/>
                <w:bCs/>
                <w:color w:val="2C307E"/>
              </w:rPr>
            </w:pPr>
            <w:r w:rsidRPr="00221530">
              <w:rPr>
                <w:rFonts w:cstheme="minorHAnsi"/>
                <w:b/>
                <w:bCs/>
                <w:color w:val="2C307E"/>
              </w:rPr>
              <w:t>Rapportcijfer algemeen</w:t>
            </w:r>
          </w:p>
        </w:tc>
        <w:tc>
          <w:tcPr>
            <w:tcW w:w="1602" w:type="dxa"/>
            <w:shd w:val="clear" w:color="auto" w:fill="DEEAF6" w:themeFill="accent5" w:themeFillTint="33"/>
          </w:tcPr>
          <w:p w14:paraId="4C123C0A" w14:textId="2F4912BD" w:rsidR="00712417" w:rsidRPr="00221530" w:rsidRDefault="00712417">
            <w:pPr>
              <w:jc w:val="both"/>
              <w:rPr>
                <w:rFonts w:cstheme="minorHAnsi"/>
                <w:color w:val="2C307E"/>
              </w:rPr>
            </w:pPr>
            <w:r w:rsidRPr="00221530">
              <w:rPr>
                <w:rFonts w:cstheme="minorHAnsi"/>
                <w:color w:val="2C307E"/>
              </w:rPr>
              <w:t>7,</w:t>
            </w:r>
            <w:r w:rsidR="00BD0B08" w:rsidRPr="00221530">
              <w:rPr>
                <w:rFonts w:cstheme="minorHAnsi"/>
                <w:color w:val="2C307E"/>
              </w:rPr>
              <w:t>8</w:t>
            </w:r>
          </w:p>
        </w:tc>
      </w:tr>
      <w:tr w:rsidR="00712417" w:rsidRPr="00221530" w14:paraId="42D4A3B8" w14:textId="77777777">
        <w:tc>
          <w:tcPr>
            <w:tcW w:w="2547" w:type="dxa"/>
            <w:shd w:val="clear" w:color="auto" w:fill="DEEAF6" w:themeFill="accent5" w:themeFillTint="33"/>
          </w:tcPr>
          <w:p w14:paraId="06507750" w14:textId="77777777" w:rsidR="00712417" w:rsidRPr="00221530" w:rsidRDefault="00712417" w:rsidP="00B826F0">
            <w:pPr>
              <w:jc w:val="both"/>
              <w:rPr>
                <w:rFonts w:cstheme="minorHAnsi"/>
                <w:b/>
                <w:bCs/>
                <w:color w:val="2C307E"/>
              </w:rPr>
            </w:pPr>
            <w:r w:rsidRPr="00221530">
              <w:rPr>
                <w:rFonts w:cstheme="minorHAnsi"/>
                <w:b/>
                <w:bCs/>
                <w:color w:val="2C307E"/>
              </w:rPr>
              <w:t>Rapportcijfer met ervaren knelpunt</w:t>
            </w:r>
          </w:p>
        </w:tc>
        <w:tc>
          <w:tcPr>
            <w:tcW w:w="1602" w:type="dxa"/>
            <w:shd w:val="clear" w:color="auto" w:fill="DEEAF6" w:themeFill="accent5" w:themeFillTint="33"/>
          </w:tcPr>
          <w:p w14:paraId="57FDE8B1" w14:textId="42327E42" w:rsidR="00712417" w:rsidRPr="00221530" w:rsidRDefault="00BD0B08">
            <w:pPr>
              <w:jc w:val="both"/>
              <w:rPr>
                <w:rFonts w:cstheme="minorHAnsi"/>
                <w:color w:val="2C307E"/>
              </w:rPr>
            </w:pPr>
            <w:r w:rsidRPr="00221530">
              <w:rPr>
                <w:rFonts w:cstheme="minorHAnsi"/>
                <w:color w:val="2C307E"/>
              </w:rPr>
              <w:t>6,7</w:t>
            </w:r>
          </w:p>
        </w:tc>
      </w:tr>
      <w:tr w:rsidR="00712417" w:rsidRPr="00057017" w14:paraId="4AC6287D" w14:textId="77777777">
        <w:tc>
          <w:tcPr>
            <w:tcW w:w="2547" w:type="dxa"/>
            <w:shd w:val="clear" w:color="auto" w:fill="DEEAF6" w:themeFill="accent5" w:themeFillTint="33"/>
          </w:tcPr>
          <w:p w14:paraId="7299A661" w14:textId="77777777" w:rsidR="00712417" w:rsidRPr="00221530" w:rsidRDefault="00712417" w:rsidP="00B826F0">
            <w:pPr>
              <w:jc w:val="both"/>
              <w:rPr>
                <w:rFonts w:cstheme="minorHAnsi"/>
                <w:b/>
                <w:bCs/>
                <w:color w:val="2C307E"/>
              </w:rPr>
            </w:pPr>
            <w:r w:rsidRPr="00221530">
              <w:rPr>
                <w:rFonts w:cstheme="minorHAnsi"/>
                <w:b/>
                <w:bCs/>
                <w:color w:val="2C307E"/>
              </w:rPr>
              <w:t>Rapportcijfer zonder ervaren knelpunt</w:t>
            </w:r>
          </w:p>
        </w:tc>
        <w:tc>
          <w:tcPr>
            <w:tcW w:w="1602" w:type="dxa"/>
            <w:shd w:val="clear" w:color="auto" w:fill="DEEAF6" w:themeFill="accent5" w:themeFillTint="33"/>
          </w:tcPr>
          <w:p w14:paraId="0B90BD98" w14:textId="7F988813" w:rsidR="00712417" w:rsidRPr="00221530" w:rsidRDefault="00712417">
            <w:pPr>
              <w:jc w:val="both"/>
              <w:rPr>
                <w:rFonts w:cstheme="minorHAnsi"/>
                <w:color w:val="2C307E"/>
              </w:rPr>
            </w:pPr>
            <w:r w:rsidRPr="00221530">
              <w:rPr>
                <w:rFonts w:cstheme="minorHAnsi"/>
                <w:color w:val="2C307E"/>
              </w:rPr>
              <w:t>8,5</w:t>
            </w:r>
          </w:p>
        </w:tc>
      </w:tr>
    </w:tbl>
    <w:p w14:paraId="2F0C2D0F" w14:textId="77777777" w:rsidR="00712417" w:rsidRPr="00057017" w:rsidRDefault="00712417" w:rsidP="00712417">
      <w:pPr>
        <w:spacing w:after="0" w:line="240" w:lineRule="auto"/>
        <w:jc w:val="both"/>
        <w:rPr>
          <w:rFonts w:cstheme="minorHAnsi"/>
          <w:color w:val="2C307E"/>
          <w:highlight w:val="yellow"/>
        </w:rPr>
      </w:pPr>
    </w:p>
    <w:p w14:paraId="56D98786" w14:textId="05DE9BA3" w:rsidR="00B81DE3" w:rsidRPr="00B81DE3" w:rsidRDefault="00BE67CB" w:rsidP="00406995">
      <w:pPr>
        <w:spacing w:after="0" w:line="240" w:lineRule="auto"/>
        <w:jc w:val="both"/>
        <w:rPr>
          <w:rFonts w:cstheme="minorHAnsi"/>
          <w:b/>
          <w:bCs/>
          <w:color w:val="2C307E"/>
        </w:rPr>
      </w:pPr>
      <w:r w:rsidRPr="00BE67CB">
        <w:rPr>
          <w:rFonts w:cstheme="minorHAnsi"/>
          <w:b/>
          <w:bCs/>
          <w:color w:val="2C307E"/>
        </w:rPr>
        <w:t xml:space="preserve">De meeste </w:t>
      </w:r>
      <w:r w:rsidR="008A1648">
        <w:rPr>
          <w:rFonts w:cstheme="minorHAnsi"/>
          <w:b/>
          <w:bCs/>
          <w:color w:val="2C307E"/>
        </w:rPr>
        <w:t>EV-rijders</w:t>
      </w:r>
      <w:r w:rsidRPr="00BE67CB">
        <w:rPr>
          <w:rFonts w:cstheme="minorHAnsi"/>
          <w:b/>
          <w:bCs/>
          <w:color w:val="2C307E"/>
        </w:rPr>
        <w:t xml:space="preserve"> ervaren geen knelpunten bij laden op het werk (62%).</w:t>
      </w:r>
      <w:r>
        <w:rPr>
          <w:rFonts w:cstheme="minorHAnsi"/>
          <w:color w:val="2C307E"/>
        </w:rPr>
        <w:t xml:space="preserve"> </w:t>
      </w:r>
      <w:r w:rsidR="00B81DE3">
        <w:rPr>
          <w:rFonts w:cstheme="minorHAnsi"/>
          <w:b/>
          <w:bCs/>
          <w:color w:val="2C307E"/>
        </w:rPr>
        <w:t>[N=548]</w:t>
      </w:r>
    </w:p>
    <w:p w14:paraId="2EB90B0E" w14:textId="49060FBE" w:rsidR="00712417" w:rsidRPr="00DE67F7" w:rsidRDefault="00406995" w:rsidP="00DE67F7">
      <w:pPr>
        <w:spacing w:after="0" w:line="240" w:lineRule="auto"/>
        <w:jc w:val="both"/>
        <w:rPr>
          <w:rFonts w:cstheme="minorHAnsi"/>
          <w:color w:val="2C307E"/>
        </w:rPr>
      </w:pPr>
      <w:r>
        <w:rPr>
          <w:rFonts w:cstheme="minorHAnsi"/>
          <w:color w:val="2C307E"/>
        </w:rPr>
        <w:t xml:space="preserve">Vorig jaar was dit nog 55%. Het ervaren van knelpunten maakt veel uit in de rapportcijfers voor laden op het werk: degenen die geen knelpunten ervaren geven een cijfer van bijna 2 punten hoger. De algemene beoordeling van laden op het werk is 0,1 punt afgenomen ten opzichte van vorig jaar. </w:t>
      </w:r>
    </w:p>
    <w:p w14:paraId="5F58C24D" w14:textId="7713F958" w:rsidR="00712417" w:rsidRPr="00057017" w:rsidRDefault="00422282" w:rsidP="00712417">
      <w:pPr>
        <w:spacing w:after="0" w:line="240" w:lineRule="auto"/>
        <w:jc w:val="both"/>
        <w:rPr>
          <w:rFonts w:cstheme="minorHAnsi"/>
          <w:color w:val="2C307E"/>
          <w:highlight w:val="yellow"/>
        </w:rPr>
      </w:pPr>
      <w:r>
        <w:rPr>
          <w:noProof/>
        </w:rPr>
        <w:drawing>
          <wp:inline distT="0" distB="0" distL="0" distR="0" wp14:anchorId="0AACF840" wp14:editId="4FEB1E52">
            <wp:extent cx="2655570" cy="2113936"/>
            <wp:effectExtent l="0" t="0" r="0" b="0"/>
            <wp:docPr id="591234751" name="Grafiek 1">
              <a:extLst xmlns:a="http://schemas.openxmlformats.org/drawingml/2006/main">
                <a:ext uri="{FF2B5EF4-FFF2-40B4-BE49-F238E27FC236}">
                  <a16:creationId xmlns:a16="http://schemas.microsoft.com/office/drawing/2014/main" id="{F63B1142-95FD-C42B-09B5-D168DDA087F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0"/>
              </a:graphicData>
            </a:graphic>
          </wp:inline>
        </w:drawing>
      </w:r>
    </w:p>
    <w:p w14:paraId="6B22F18E" w14:textId="77777777" w:rsidR="00712417" w:rsidRPr="00057017" w:rsidRDefault="00712417" w:rsidP="00712417">
      <w:pPr>
        <w:spacing w:after="0" w:line="240" w:lineRule="auto"/>
        <w:jc w:val="both"/>
        <w:rPr>
          <w:rFonts w:cstheme="minorHAnsi"/>
          <w:color w:val="2C307E"/>
          <w:highlight w:val="yellow"/>
        </w:rPr>
      </w:pPr>
    </w:p>
    <w:tbl>
      <w:tblPr>
        <w:tblStyle w:val="Rastertabel1licht-Accent1"/>
        <w:tblpPr w:leftFromText="141" w:rightFromText="141" w:vertAnchor="text" w:horzAnchor="margin" w:tblpY="103"/>
        <w:tblOverlap w:val="never"/>
        <w:tblW w:w="11207" w:type="pct"/>
        <w:tblLayout w:type="fixed"/>
        <w:tblLook w:val="04A0" w:firstRow="1" w:lastRow="0" w:firstColumn="1" w:lastColumn="0" w:noHBand="0" w:noVBand="1"/>
      </w:tblPr>
      <w:tblGrid>
        <w:gridCol w:w="281"/>
        <w:gridCol w:w="3684"/>
        <w:gridCol w:w="1135"/>
        <w:gridCol w:w="2125"/>
        <w:gridCol w:w="2126"/>
      </w:tblGrid>
      <w:tr w:rsidR="007F4420" w:rsidRPr="00CA0D55" w14:paraId="38834E2E" w14:textId="77777777" w:rsidTr="007F4420">
        <w:trPr>
          <w:cnfStyle w:val="100000000000" w:firstRow="1" w:lastRow="0" w:firstColumn="0" w:lastColumn="0" w:oddVBand="0" w:evenVBand="0" w:oddHBand="0"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150" w:type="pct"/>
            <w:noWrap/>
            <w:hideMark/>
          </w:tcPr>
          <w:p w14:paraId="4A2593B7" w14:textId="77777777" w:rsidR="007F4420" w:rsidRPr="002D0DAE" w:rsidRDefault="007F4420" w:rsidP="007F4420">
            <w:pPr>
              <w:rPr>
                <w:rFonts w:eastAsia="Times New Roman" w:cstheme="minorHAnsi"/>
                <w:color w:val="002060"/>
                <w:sz w:val="20"/>
                <w:szCs w:val="20"/>
                <w:lang w:eastAsia="nl-NL"/>
              </w:rPr>
            </w:pPr>
          </w:p>
        </w:tc>
        <w:tc>
          <w:tcPr>
            <w:tcW w:w="1970" w:type="pct"/>
            <w:noWrap/>
            <w:hideMark/>
          </w:tcPr>
          <w:p w14:paraId="1EA0BBB5" w14:textId="77777777" w:rsidR="007F4420" w:rsidRPr="002D0DAE" w:rsidRDefault="007F4420" w:rsidP="007F4420">
            <w:pP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color w:val="002060"/>
                <w:sz w:val="20"/>
                <w:szCs w:val="20"/>
                <w:lang w:eastAsia="nl-NL"/>
              </w:rPr>
            </w:pPr>
            <w:r w:rsidRPr="002D0DAE">
              <w:rPr>
                <w:rFonts w:eastAsia="Times New Roman" w:cstheme="minorHAnsi"/>
                <w:color w:val="002060"/>
                <w:sz w:val="20"/>
                <w:szCs w:val="20"/>
                <w:lang w:eastAsia="nl-NL"/>
              </w:rPr>
              <w:t>Knelpunt</w:t>
            </w:r>
          </w:p>
          <w:p w14:paraId="174DDBA2" w14:textId="77777777" w:rsidR="007F4420" w:rsidRPr="002D0DAE" w:rsidRDefault="007F4420" w:rsidP="007F4420">
            <w:pPr>
              <w:cnfStyle w:val="100000000000" w:firstRow="1" w:lastRow="0" w:firstColumn="0" w:lastColumn="0" w:oddVBand="0" w:evenVBand="0" w:oddHBand="0" w:evenHBand="0" w:firstRowFirstColumn="0" w:firstRowLastColumn="0" w:lastRowFirstColumn="0" w:lastRowLastColumn="0"/>
              <w:rPr>
                <w:rFonts w:eastAsia="Times New Roman" w:cstheme="minorHAnsi"/>
                <w:color w:val="002060"/>
                <w:sz w:val="20"/>
                <w:szCs w:val="20"/>
                <w:lang w:eastAsia="nl-NL"/>
              </w:rPr>
            </w:pPr>
            <w:r w:rsidRPr="002D0DAE">
              <w:rPr>
                <w:rFonts w:eastAsia="Times New Roman" w:cstheme="minorHAnsi"/>
                <w:color w:val="002060"/>
                <w:sz w:val="20"/>
                <w:szCs w:val="20"/>
                <w:lang w:eastAsia="nl-NL"/>
              </w:rPr>
              <w:t>Top 5 vaakst genoemd</w:t>
            </w:r>
          </w:p>
        </w:tc>
        <w:tc>
          <w:tcPr>
            <w:tcW w:w="607" w:type="pct"/>
          </w:tcPr>
          <w:p w14:paraId="20EF9744" w14:textId="77777777" w:rsidR="007F4420" w:rsidRPr="002D0DAE" w:rsidRDefault="007F4420" w:rsidP="007F4420">
            <w:pPr>
              <w:cnfStyle w:val="100000000000" w:firstRow="1" w:lastRow="0" w:firstColumn="0" w:lastColumn="0" w:oddVBand="0" w:evenVBand="0" w:oddHBand="0" w:evenHBand="0" w:firstRowFirstColumn="0" w:firstRowLastColumn="0" w:lastRowFirstColumn="0" w:lastRowLastColumn="0"/>
              <w:rPr>
                <w:rFonts w:eastAsia="Times New Roman" w:cstheme="minorHAnsi"/>
                <w:color w:val="002060"/>
                <w:sz w:val="20"/>
                <w:szCs w:val="20"/>
                <w:lang w:eastAsia="nl-NL"/>
              </w:rPr>
            </w:pPr>
            <w:r w:rsidRPr="002D0DAE">
              <w:rPr>
                <w:rFonts w:eastAsia="Times New Roman" w:cstheme="minorHAnsi"/>
                <w:color w:val="002060"/>
                <w:sz w:val="20"/>
                <w:szCs w:val="20"/>
                <w:lang w:eastAsia="nl-NL"/>
              </w:rPr>
              <w:t xml:space="preserve">Genoemd door: </w:t>
            </w:r>
          </w:p>
        </w:tc>
        <w:tc>
          <w:tcPr>
            <w:tcW w:w="1136" w:type="pct"/>
            <w:noWrap/>
            <w:hideMark/>
          </w:tcPr>
          <w:p w14:paraId="228AD523" w14:textId="77777777" w:rsidR="007F4420" w:rsidRPr="002D0DAE" w:rsidRDefault="007F4420" w:rsidP="007F4420">
            <w:pP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color w:val="002060"/>
                <w:sz w:val="20"/>
                <w:szCs w:val="20"/>
                <w:lang w:eastAsia="nl-NL"/>
              </w:rPr>
            </w:pPr>
            <w:r w:rsidRPr="002D0DAE">
              <w:rPr>
                <w:rFonts w:eastAsia="Times New Roman" w:cstheme="minorHAnsi"/>
                <w:color w:val="002060"/>
                <w:sz w:val="20"/>
                <w:szCs w:val="20"/>
                <w:lang w:eastAsia="nl-NL"/>
              </w:rPr>
              <w:t>Komt hoe vaak voor?</w:t>
            </w:r>
          </w:p>
          <w:p w14:paraId="431F537E" w14:textId="77777777" w:rsidR="007F4420" w:rsidRPr="002D0DAE" w:rsidRDefault="007F4420" w:rsidP="007F4420">
            <w:pP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color w:val="002060"/>
                <w:sz w:val="20"/>
                <w:szCs w:val="20"/>
                <w:lang w:eastAsia="nl-NL"/>
              </w:rPr>
            </w:pPr>
            <w:r w:rsidRPr="002D0DAE">
              <w:rPr>
                <w:rFonts w:eastAsia="Times New Roman" w:cstheme="minorHAnsi"/>
                <w:color w:val="002060"/>
                <w:sz w:val="20"/>
                <w:szCs w:val="20"/>
                <w:lang w:eastAsia="nl-NL"/>
              </w:rPr>
              <w:t>(% van de laadsessies)</w:t>
            </w:r>
          </w:p>
          <w:p w14:paraId="23D2CFF5" w14:textId="77777777" w:rsidR="007F4420" w:rsidRPr="002D0DAE" w:rsidRDefault="007F4420" w:rsidP="007F4420">
            <w:pPr>
              <w:cnfStyle w:val="100000000000" w:firstRow="1" w:lastRow="0" w:firstColumn="0" w:lastColumn="0" w:oddVBand="0" w:evenVBand="0" w:oddHBand="0" w:evenHBand="0" w:firstRowFirstColumn="0" w:firstRowLastColumn="0" w:lastRowFirstColumn="0" w:lastRowLastColumn="0"/>
              <w:rPr>
                <w:rFonts w:eastAsia="Times New Roman" w:cstheme="minorHAnsi"/>
                <w:color w:val="002060"/>
                <w:sz w:val="20"/>
                <w:szCs w:val="20"/>
                <w:lang w:eastAsia="nl-NL"/>
              </w:rPr>
            </w:pPr>
            <w:r w:rsidRPr="002D0DAE">
              <w:rPr>
                <w:rFonts w:eastAsia="Times New Roman" w:cstheme="minorHAnsi"/>
                <w:color w:val="002060"/>
                <w:sz w:val="20"/>
                <w:szCs w:val="20"/>
                <w:lang w:eastAsia="nl-NL"/>
              </w:rPr>
              <w:t>(als men het knelpunt weleens ervaart)</w:t>
            </w:r>
          </w:p>
        </w:tc>
        <w:tc>
          <w:tcPr>
            <w:tcW w:w="1137" w:type="pct"/>
          </w:tcPr>
          <w:p w14:paraId="6980B2E8" w14:textId="5DD9F307" w:rsidR="007F4420" w:rsidRPr="002D0DAE" w:rsidRDefault="007F4420" w:rsidP="007F4420">
            <w:pP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color w:val="002060"/>
                <w:sz w:val="20"/>
                <w:szCs w:val="20"/>
                <w:lang w:eastAsia="nl-NL"/>
              </w:rPr>
            </w:pPr>
            <w:r w:rsidRPr="002D0DAE">
              <w:rPr>
                <w:rFonts w:eastAsia="Times New Roman" w:cstheme="minorHAnsi"/>
                <w:color w:val="002060"/>
                <w:sz w:val="20"/>
                <w:szCs w:val="20"/>
                <w:lang w:eastAsia="nl-NL"/>
              </w:rPr>
              <w:t>Ervaar het knelpunt als</w:t>
            </w:r>
            <w:r w:rsidR="00800983">
              <w:rPr>
                <w:rFonts w:eastAsia="Times New Roman" w:cstheme="minorHAnsi"/>
                <w:color w:val="002060"/>
                <w:sz w:val="20"/>
                <w:szCs w:val="20"/>
                <w:lang w:eastAsia="nl-NL"/>
              </w:rPr>
              <w:t xml:space="preserve"> </w:t>
            </w:r>
            <w:r w:rsidRPr="002D0DAE">
              <w:rPr>
                <w:rFonts w:eastAsia="Times New Roman" w:cstheme="minorHAnsi"/>
                <w:color w:val="002060"/>
                <w:sz w:val="20"/>
                <w:szCs w:val="20"/>
                <w:lang w:eastAsia="nl-NL"/>
              </w:rPr>
              <w:t>heel (erg) hinderlijk</w:t>
            </w:r>
          </w:p>
          <w:p w14:paraId="095C645F" w14:textId="77777777" w:rsidR="007F4420" w:rsidRPr="002D0DAE" w:rsidRDefault="007F4420" w:rsidP="007F4420">
            <w:pPr>
              <w:cnfStyle w:val="100000000000" w:firstRow="1" w:lastRow="0" w:firstColumn="0" w:lastColumn="0" w:oddVBand="0" w:evenVBand="0" w:oddHBand="0" w:evenHBand="0" w:firstRowFirstColumn="0" w:firstRowLastColumn="0" w:lastRowFirstColumn="0" w:lastRowLastColumn="0"/>
              <w:rPr>
                <w:rFonts w:eastAsia="Times New Roman" w:cstheme="minorHAnsi"/>
                <w:color w:val="002060"/>
                <w:sz w:val="20"/>
                <w:szCs w:val="20"/>
                <w:lang w:eastAsia="nl-NL"/>
              </w:rPr>
            </w:pPr>
            <w:r w:rsidRPr="002D0DAE">
              <w:rPr>
                <w:rFonts w:eastAsia="Times New Roman" w:cstheme="minorHAnsi"/>
                <w:color w:val="002060"/>
                <w:sz w:val="20"/>
                <w:szCs w:val="20"/>
                <w:lang w:eastAsia="nl-NL"/>
              </w:rPr>
              <w:t>(als men het knelpunt weleens ervaart)</w:t>
            </w:r>
          </w:p>
        </w:tc>
      </w:tr>
      <w:tr w:rsidR="007F4420" w:rsidRPr="00CA0D55" w14:paraId="295950F6" w14:textId="77777777" w:rsidTr="007F4420">
        <w:trPr>
          <w:trHeight w:val="295"/>
        </w:trPr>
        <w:tc>
          <w:tcPr>
            <w:cnfStyle w:val="001000000000" w:firstRow="0" w:lastRow="0" w:firstColumn="1" w:lastColumn="0" w:oddVBand="0" w:evenVBand="0" w:oddHBand="0" w:evenHBand="0" w:firstRowFirstColumn="0" w:firstRowLastColumn="0" w:lastRowFirstColumn="0" w:lastRowLastColumn="0"/>
            <w:tcW w:w="150" w:type="pct"/>
            <w:noWrap/>
            <w:hideMark/>
          </w:tcPr>
          <w:p w14:paraId="205B00FF" w14:textId="77777777" w:rsidR="007F4420" w:rsidRPr="002D0DAE" w:rsidRDefault="007F4420" w:rsidP="007F4420">
            <w:pPr>
              <w:jc w:val="right"/>
              <w:rPr>
                <w:rFonts w:eastAsia="Times New Roman" w:cstheme="minorHAnsi"/>
                <w:color w:val="002060"/>
                <w:sz w:val="20"/>
                <w:szCs w:val="20"/>
                <w:lang w:eastAsia="nl-NL"/>
              </w:rPr>
            </w:pPr>
            <w:r w:rsidRPr="002D0DAE">
              <w:rPr>
                <w:rFonts w:eastAsia="Times New Roman" w:cstheme="minorHAnsi"/>
                <w:color w:val="002060"/>
                <w:sz w:val="20"/>
                <w:szCs w:val="20"/>
                <w:lang w:eastAsia="nl-NL"/>
              </w:rPr>
              <w:t>1</w:t>
            </w:r>
          </w:p>
        </w:tc>
        <w:tc>
          <w:tcPr>
            <w:tcW w:w="1970" w:type="pct"/>
            <w:noWrap/>
          </w:tcPr>
          <w:p w14:paraId="5E41F8A6" w14:textId="77777777" w:rsidR="007F4420" w:rsidRPr="002D0DAE" w:rsidRDefault="007F4420" w:rsidP="007F4420">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2060"/>
                <w:sz w:val="20"/>
                <w:szCs w:val="20"/>
                <w:lang w:eastAsia="nl-NL"/>
              </w:rPr>
            </w:pPr>
            <w:r w:rsidRPr="002D0DAE">
              <w:rPr>
                <w:rFonts w:eastAsia="Times New Roman" w:cstheme="minorHAnsi"/>
                <w:color w:val="002060"/>
                <w:sz w:val="20"/>
                <w:szCs w:val="20"/>
                <w:lang w:eastAsia="nl-NL"/>
              </w:rPr>
              <w:t>Laadpaal is bezet door een elektrische auto</w:t>
            </w:r>
          </w:p>
        </w:tc>
        <w:tc>
          <w:tcPr>
            <w:tcW w:w="607" w:type="pct"/>
          </w:tcPr>
          <w:p w14:paraId="23ECD31F" w14:textId="77777777" w:rsidR="007F4420" w:rsidRPr="002D0DAE" w:rsidRDefault="007F4420" w:rsidP="007F4420">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2060"/>
                <w:sz w:val="20"/>
                <w:szCs w:val="20"/>
                <w:lang w:eastAsia="nl-NL"/>
              </w:rPr>
            </w:pPr>
            <w:r w:rsidRPr="002D0DAE">
              <w:rPr>
                <w:rFonts w:eastAsia="Times New Roman" w:cstheme="minorHAnsi"/>
                <w:color w:val="002060"/>
                <w:sz w:val="20"/>
                <w:szCs w:val="20"/>
                <w:lang w:eastAsia="nl-NL"/>
              </w:rPr>
              <w:t>33%</w:t>
            </w:r>
          </w:p>
        </w:tc>
        <w:tc>
          <w:tcPr>
            <w:tcW w:w="1136" w:type="pct"/>
            <w:noWrap/>
          </w:tcPr>
          <w:p w14:paraId="4F6C056E" w14:textId="77777777" w:rsidR="007F4420" w:rsidRPr="002D0DAE" w:rsidRDefault="007F4420" w:rsidP="007F4420">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2060"/>
                <w:sz w:val="20"/>
                <w:szCs w:val="20"/>
                <w:lang w:eastAsia="nl-NL"/>
              </w:rPr>
            </w:pPr>
            <w:r w:rsidRPr="002D0DAE">
              <w:rPr>
                <w:rFonts w:eastAsia="Times New Roman" w:cstheme="minorHAnsi"/>
                <w:color w:val="002060"/>
                <w:sz w:val="20"/>
                <w:szCs w:val="20"/>
                <w:lang w:eastAsia="nl-NL"/>
              </w:rPr>
              <w:t>36%</w:t>
            </w:r>
          </w:p>
        </w:tc>
        <w:tc>
          <w:tcPr>
            <w:tcW w:w="1137" w:type="pct"/>
          </w:tcPr>
          <w:p w14:paraId="7E193D80" w14:textId="77777777" w:rsidR="007F4420" w:rsidRPr="002D0DAE" w:rsidRDefault="007F4420" w:rsidP="007F4420">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2060"/>
                <w:sz w:val="20"/>
                <w:szCs w:val="20"/>
                <w:lang w:eastAsia="nl-NL"/>
              </w:rPr>
            </w:pPr>
            <w:r w:rsidRPr="002D0DAE">
              <w:rPr>
                <w:rFonts w:eastAsia="Times New Roman" w:cstheme="minorHAnsi"/>
                <w:color w:val="002060"/>
                <w:sz w:val="20"/>
                <w:szCs w:val="20"/>
                <w:lang w:eastAsia="nl-NL"/>
              </w:rPr>
              <w:t>22%</w:t>
            </w:r>
          </w:p>
        </w:tc>
      </w:tr>
      <w:tr w:rsidR="007F4420" w:rsidRPr="00CA0D55" w14:paraId="3EB6D797" w14:textId="77777777" w:rsidTr="007F4420">
        <w:trPr>
          <w:trHeight w:val="295"/>
        </w:trPr>
        <w:tc>
          <w:tcPr>
            <w:cnfStyle w:val="001000000000" w:firstRow="0" w:lastRow="0" w:firstColumn="1" w:lastColumn="0" w:oddVBand="0" w:evenVBand="0" w:oddHBand="0" w:evenHBand="0" w:firstRowFirstColumn="0" w:firstRowLastColumn="0" w:lastRowFirstColumn="0" w:lastRowLastColumn="0"/>
            <w:tcW w:w="150" w:type="pct"/>
            <w:noWrap/>
            <w:hideMark/>
          </w:tcPr>
          <w:p w14:paraId="6283B1C6" w14:textId="77777777" w:rsidR="007F4420" w:rsidRPr="002D0DAE" w:rsidRDefault="007F4420" w:rsidP="007F4420">
            <w:pPr>
              <w:jc w:val="right"/>
              <w:rPr>
                <w:rFonts w:eastAsia="Times New Roman" w:cstheme="minorHAnsi"/>
                <w:color w:val="002060"/>
                <w:sz w:val="20"/>
                <w:szCs w:val="20"/>
                <w:lang w:eastAsia="nl-NL"/>
              </w:rPr>
            </w:pPr>
            <w:r w:rsidRPr="002D0DAE">
              <w:rPr>
                <w:rFonts w:eastAsia="Times New Roman" w:cstheme="minorHAnsi"/>
                <w:color w:val="002060"/>
                <w:sz w:val="20"/>
                <w:szCs w:val="20"/>
                <w:lang w:eastAsia="nl-NL"/>
              </w:rPr>
              <w:t>2</w:t>
            </w:r>
          </w:p>
        </w:tc>
        <w:tc>
          <w:tcPr>
            <w:tcW w:w="1970" w:type="pct"/>
            <w:noWrap/>
          </w:tcPr>
          <w:p w14:paraId="7147F2E9" w14:textId="77777777" w:rsidR="007F4420" w:rsidRPr="002D0DAE" w:rsidRDefault="007F4420" w:rsidP="007F4420">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2060"/>
                <w:sz w:val="20"/>
                <w:szCs w:val="20"/>
                <w:lang w:eastAsia="nl-NL"/>
              </w:rPr>
            </w:pPr>
            <w:r w:rsidRPr="002D0DAE">
              <w:rPr>
                <w:rFonts w:eastAsia="Times New Roman" w:cstheme="minorHAnsi"/>
                <w:color w:val="002060"/>
                <w:sz w:val="20"/>
                <w:szCs w:val="20"/>
                <w:lang w:eastAsia="nl-NL"/>
              </w:rPr>
              <w:t>Er zijn niet voldoende laadpunten</w:t>
            </w:r>
          </w:p>
        </w:tc>
        <w:tc>
          <w:tcPr>
            <w:tcW w:w="607" w:type="pct"/>
          </w:tcPr>
          <w:p w14:paraId="703EC9C1" w14:textId="77777777" w:rsidR="007F4420" w:rsidRPr="002D0DAE" w:rsidRDefault="007F4420" w:rsidP="007F4420">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2060"/>
                <w:sz w:val="20"/>
                <w:szCs w:val="20"/>
                <w:lang w:eastAsia="nl-NL"/>
              </w:rPr>
            </w:pPr>
            <w:r w:rsidRPr="002D0DAE">
              <w:rPr>
                <w:rFonts w:eastAsia="Times New Roman" w:cstheme="minorHAnsi"/>
                <w:color w:val="002060"/>
                <w:sz w:val="20"/>
                <w:szCs w:val="20"/>
                <w:lang w:eastAsia="nl-NL"/>
              </w:rPr>
              <w:t>31%</w:t>
            </w:r>
          </w:p>
        </w:tc>
        <w:tc>
          <w:tcPr>
            <w:tcW w:w="1136" w:type="pct"/>
            <w:noWrap/>
          </w:tcPr>
          <w:p w14:paraId="33CEEDB8" w14:textId="77777777" w:rsidR="007F4420" w:rsidRPr="002D0DAE" w:rsidRDefault="007F4420" w:rsidP="007F4420">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2060"/>
                <w:sz w:val="20"/>
                <w:szCs w:val="20"/>
                <w:lang w:eastAsia="nl-NL"/>
              </w:rPr>
            </w:pPr>
            <w:r w:rsidRPr="002D0DAE">
              <w:rPr>
                <w:rFonts w:eastAsia="Times New Roman" w:cstheme="minorHAnsi"/>
                <w:color w:val="002060"/>
                <w:sz w:val="20"/>
                <w:szCs w:val="20"/>
                <w:lang w:eastAsia="nl-NL"/>
              </w:rPr>
              <w:t>44%</w:t>
            </w:r>
          </w:p>
        </w:tc>
        <w:tc>
          <w:tcPr>
            <w:tcW w:w="1137" w:type="pct"/>
          </w:tcPr>
          <w:p w14:paraId="24828862" w14:textId="77777777" w:rsidR="007F4420" w:rsidRPr="002D0DAE" w:rsidRDefault="007F4420" w:rsidP="007F4420">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2060"/>
                <w:sz w:val="20"/>
                <w:szCs w:val="20"/>
                <w:lang w:eastAsia="nl-NL"/>
              </w:rPr>
            </w:pPr>
            <w:r w:rsidRPr="002D0DAE">
              <w:rPr>
                <w:rFonts w:eastAsia="Times New Roman" w:cstheme="minorHAnsi"/>
                <w:color w:val="002060"/>
                <w:sz w:val="20"/>
                <w:szCs w:val="20"/>
                <w:lang w:eastAsia="nl-NL"/>
              </w:rPr>
              <w:t>45%</w:t>
            </w:r>
          </w:p>
        </w:tc>
      </w:tr>
      <w:tr w:rsidR="007F4420" w:rsidRPr="00CA0D55" w14:paraId="0C9A7712" w14:textId="77777777" w:rsidTr="007F4420">
        <w:trPr>
          <w:trHeight w:val="295"/>
        </w:trPr>
        <w:tc>
          <w:tcPr>
            <w:cnfStyle w:val="001000000000" w:firstRow="0" w:lastRow="0" w:firstColumn="1" w:lastColumn="0" w:oddVBand="0" w:evenVBand="0" w:oddHBand="0" w:evenHBand="0" w:firstRowFirstColumn="0" w:firstRowLastColumn="0" w:lastRowFirstColumn="0" w:lastRowLastColumn="0"/>
            <w:tcW w:w="150" w:type="pct"/>
            <w:noWrap/>
            <w:hideMark/>
          </w:tcPr>
          <w:p w14:paraId="07799A58" w14:textId="77777777" w:rsidR="007F4420" w:rsidRPr="002D0DAE" w:rsidRDefault="007F4420" w:rsidP="007F4420">
            <w:pPr>
              <w:jc w:val="right"/>
              <w:rPr>
                <w:rFonts w:eastAsia="Times New Roman" w:cstheme="minorHAnsi"/>
                <w:color w:val="002060"/>
                <w:sz w:val="20"/>
                <w:szCs w:val="20"/>
                <w:lang w:eastAsia="nl-NL"/>
              </w:rPr>
            </w:pPr>
            <w:r w:rsidRPr="002D0DAE">
              <w:rPr>
                <w:rFonts w:eastAsia="Times New Roman" w:cstheme="minorHAnsi"/>
                <w:color w:val="002060"/>
                <w:sz w:val="20"/>
                <w:szCs w:val="20"/>
                <w:lang w:eastAsia="nl-NL"/>
              </w:rPr>
              <w:t>3</w:t>
            </w:r>
          </w:p>
        </w:tc>
        <w:tc>
          <w:tcPr>
            <w:tcW w:w="1970" w:type="pct"/>
            <w:noWrap/>
          </w:tcPr>
          <w:p w14:paraId="5F22D751" w14:textId="77777777" w:rsidR="007F4420" w:rsidRPr="002D0DAE" w:rsidRDefault="007F4420" w:rsidP="007F4420">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2060"/>
                <w:sz w:val="20"/>
                <w:szCs w:val="20"/>
                <w:lang w:eastAsia="nl-NL"/>
              </w:rPr>
            </w:pPr>
            <w:r w:rsidRPr="002D0DAE">
              <w:rPr>
                <w:rFonts w:eastAsia="Times New Roman" w:cstheme="minorHAnsi"/>
                <w:color w:val="002060"/>
                <w:sz w:val="20"/>
                <w:szCs w:val="20"/>
                <w:lang w:eastAsia="nl-NL"/>
              </w:rPr>
              <w:t>Laadpaal is defect</w:t>
            </w:r>
          </w:p>
        </w:tc>
        <w:tc>
          <w:tcPr>
            <w:tcW w:w="607" w:type="pct"/>
          </w:tcPr>
          <w:p w14:paraId="56AB24DA" w14:textId="77777777" w:rsidR="007F4420" w:rsidRPr="002D0DAE" w:rsidRDefault="007F4420" w:rsidP="007F4420">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2060"/>
                <w:sz w:val="20"/>
                <w:szCs w:val="20"/>
                <w:lang w:eastAsia="nl-NL"/>
              </w:rPr>
            </w:pPr>
            <w:r w:rsidRPr="002D0DAE">
              <w:rPr>
                <w:rFonts w:eastAsia="Times New Roman" w:cstheme="minorHAnsi"/>
                <w:color w:val="002060"/>
                <w:sz w:val="20"/>
                <w:szCs w:val="20"/>
                <w:lang w:eastAsia="nl-NL"/>
              </w:rPr>
              <w:t>24%</w:t>
            </w:r>
          </w:p>
        </w:tc>
        <w:tc>
          <w:tcPr>
            <w:tcW w:w="1136" w:type="pct"/>
            <w:noWrap/>
          </w:tcPr>
          <w:p w14:paraId="7EB1A4A5" w14:textId="77777777" w:rsidR="007F4420" w:rsidRPr="002D0DAE" w:rsidRDefault="007F4420" w:rsidP="007F4420">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2060"/>
                <w:sz w:val="20"/>
                <w:szCs w:val="20"/>
                <w:lang w:eastAsia="nl-NL"/>
              </w:rPr>
            </w:pPr>
            <w:r w:rsidRPr="002D0DAE">
              <w:rPr>
                <w:rFonts w:eastAsia="Times New Roman" w:cstheme="minorHAnsi"/>
                <w:color w:val="002060"/>
                <w:sz w:val="20"/>
                <w:szCs w:val="20"/>
                <w:lang w:eastAsia="nl-NL"/>
              </w:rPr>
              <w:t>19%</w:t>
            </w:r>
          </w:p>
        </w:tc>
        <w:tc>
          <w:tcPr>
            <w:tcW w:w="1137" w:type="pct"/>
          </w:tcPr>
          <w:p w14:paraId="00064BE6" w14:textId="77777777" w:rsidR="007F4420" w:rsidRPr="002D0DAE" w:rsidRDefault="007F4420" w:rsidP="007F4420">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2060"/>
                <w:sz w:val="20"/>
                <w:szCs w:val="20"/>
                <w:lang w:eastAsia="nl-NL"/>
              </w:rPr>
            </w:pPr>
            <w:r w:rsidRPr="002D0DAE">
              <w:rPr>
                <w:rFonts w:eastAsia="Times New Roman" w:cstheme="minorHAnsi"/>
                <w:color w:val="002060"/>
                <w:sz w:val="20"/>
                <w:szCs w:val="20"/>
                <w:lang w:eastAsia="nl-NL"/>
              </w:rPr>
              <w:t>59%</w:t>
            </w:r>
          </w:p>
        </w:tc>
      </w:tr>
      <w:tr w:rsidR="007F4420" w:rsidRPr="00CA0D55" w14:paraId="40C526BE" w14:textId="77777777" w:rsidTr="007F4420">
        <w:trPr>
          <w:trHeight w:val="295"/>
        </w:trPr>
        <w:tc>
          <w:tcPr>
            <w:cnfStyle w:val="001000000000" w:firstRow="0" w:lastRow="0" w:firstColumn="1" w:lastColumn="0" w:oddVBand="0" w:evenVBand="0" w:oddHBand="0" w:evenHBand="0" w:firstRowFirstColumn="0" w:firstRowLastColumn="0" w:lastRowFirstColumn="0" w:lastRowLastColumn="0"/>
            <w:tcW w:w="150" w:type="pct"/>
            <w:noWrap/>
            <w:hideMark/>
          </w:tcPr>
          <w:p w14:paraId="1CD6B014" w14:textId="77777777" w:rsidR="007F4420" w:rsidRPr="002D0DAE" w:rsidRDefault="007F4420" w:rsidP="007F4420">
            <w:pPr>
              <w:jc w:val="right"/>
              <w:rPr>
                <w:rFonts w:eastAsia="Times New Roman" w:cstheme="minorHAnsi"/>
                <w:color w:val="002060"/>
                <w:sz w:val="20"/>
                <w:szCs w:val="20"/>
                <w:lang w:eastAsia="nl-NL"/>
              </w:rPr>
            </w:pPr>
            <w:r w:rsidRPr="002D0DAE">
              <w:rPr>
                <w:rFonts w:eastAsia="Times New Roman" w:cstheme="minorHAnsi"/>
                <w:color w:val="002060"/>
                <w:sz w:val="20"/>
                <w:szCs w:val="20"/>
                <w:lang w:eastAsia="nl-NL"/>
              </w:rPr>
              <w:t>4</w:t>
            </w:r>
          </w:p>
        </w:tc>
        <w:tc>
          <w:tcPr>
            <w:tcW w:w="1970" w:type="pct"/>
            <w:noWrap/>
          </w:tcPr>
          <w:p w14:paraId="732DBBC9" w14:textId="77777777" w:rsidR="007F4420" w:rsidRPr="002D0DAE" w:rsidRDefault="007F4420" w:rsidP="007F4420">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2060"/>
                <w:sz w:val="20"/>
                <w:szCs w:val="20"/>
                <w:lang w:eastAsia="nl-NL"/>
              </w:rPr>
            </w:pPr>
            <w:r w:rsidRPr="002D0DAE">
              <w:rPr>
                <w:rFonts w:eastAsia="Times New Roman" w:cstheme="minorHAnsi"/>
                <w:color w:val="002060"/>
                <w:sz w:val="20"/>
                <w:szCs w:val="20"/>
                <w:lang w:eastAsia="nl-NL"/>
              </w:rPr>
              <w:t>laadsnelheid is onvoldoende</w:t>
            </w:r>
          </w:p>
        </w:tc>
        <w:tc>
          <w:tcPr>
            <w:tcW w:w="607" w:type="pct"/>
          </w:tcPr>
          <w:p w14:paraId="3C89F173" w14:textId="77777777" w:rsidR="007F4420" w:rsidRPr="002D0DAE" w:rsidRDefault="007F4420" w:rsidP="007F4420">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2060"/>
                <w:sz w:val="20"/>
                <w:szCs w:val="20"/>
                <w:lang w:eastAsia="nl-NL"/>
              </w:rPr>
            </w:pPr>
            <w:r w:rsidRPr="002D0DAE">
              <w:rPr>
                <w:rFonts w:eastAsia="Times New Roman" w:cstheme="minorHAnsi"/>
                <w:color w:val="002060"/>
                <w:sz w:val="20"/>
                <w:szCs w:val="20"/>
                <w:lang w:eastAsia="nl-NL"/>
              </w:rPr>
              <w:t>22%</w:t>
            </w:r>
          </w:p>
        </w:tc>
        <w:tc>
          <w:tcPr>
            <w:tcW w:w="1136" w:type="pct"/>
            <w:noWrap/>
          </w:tcPr>
          <w:p w14:paraId="1300A41E" w14:textId="77777777" w:rsidR="007F4420" w:rsidRPr="002D0DAE" w:rsidRDefault="007F4420" w:rsidP="007F4420">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2060"/>
                <w:sz w:val="20"/>
                <w:szCs w:val="20"/>
                <w:lang w:eastAsia="nl-NL"/>
              </w:rPr>
            </w:pPr>
            <w:r w:rsidRPr="002D0DAE">
              <w:rPr>
                <w:rFonts w:eastAsia="Times New Roman" w:cstheme="minorHAnsi"/>
                <w:color w:val="002060"/>
                <w:sz w:val="20"/>
                <w:szCs w:val="20"/>
                <w:lang w:eastAsia="nl-NL"/>
              </w:rPr>
              <w:t>41%</w:t>
            </w:r>
          </w:p>
        </w:tc>
        <w:tc>
          <w:tcPr>
            <w:tcW w:w="1137" w:type="pct"/>
          </w:tcPr>
          <w:p w14:paraId="1AA4D67D" w14:textId="77777777" w:rsidR="007F4420" w:rsidRPr="002D0DAE" w:rsidRDefault="007F4420" w:rsidP="007F4420">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2060"/>
                <w:sz w:val="20"/>
                <w:szCs w:val="20"/>
                <w:lang w:eastAsia="nl-NL"/>
              </w:rPr>
            </w:pPr>
            <w:r w:rsidRPr="002D0DAE">
              <w:rPr>
                <w:rFonts w:eastAsia="Times New Roman" w:cstheme="minorHAnsi"/>
                <w:color w:val="002060"/>
                <w:sz w:val="20"/>
                <w:szCs w:val="20"/>
                <w:lang w:eastAsia="nl-NL"/>
              </w:rPr>
              <w:t>39%</w:t>
            </w:r>
          </w:p>
        </w:tc>
      </w:tr>
      <w:tr w:rsidR="007F4420" w:rsidRPr="00CA0D55" w14:paraId="7CD64DBF" w14:textId="77777777" w:rsidTr="007F4420">
        <w:trPr>
          <w:trHeight w:val="295"/>
        </w:trPr>
        <w:tc>
          <w:tcPr>
            <w:cnfStyle w:val="001000000000" w:firstRow="0" w:lastRow="0" w:firstColumn="1" w:lastColumn="0" w:oddVBand="0" w:evenVBand="0" w:oddHBand="0" w:evenHBand="0" w:firstRowFirstColumn="0" w:firstRowLastColumn="0" w:lastRowFirstColumn="0" w:lastRowLastColumn="0"/>
            <w:tcW w:w="150" w:type="pct"/>
            <w:noWrap/>
            <w:hideMark/>
          </w:tcPr>
          <w:p w14:paraId="666C1CBD" w14:textId="77777777" w:rsidR="007F4420" w:rsidRPr="002D0DAE" w:rsidRDefault="007F4420" w:rsidP="007F4420">
            <w:pPr>
              <w:jc w:val="right"/>
              <w:rPr>
                <w:rFonts w:eastAsia="Times New Roman" w:cstheme="minorHAnsi"/>
                <w:color w:val="002060"/>
                <w:sz w:val="20"/>
                <w:szCs w:val="20"/>
                <w:lang w:eastAsia="nl-NL"/>
              </w:rPr>
            </w:pPr>
            <w:r w:rsidRPr="002D0DAE">
              <w:rPr>
                <w:rFonts w:eastAsia="Times New Roman" w:cstheme="minorHAnsi"/>
                <w:color w:val="002060"/>
                <w:sz w:val="20"/>
                <w:szCs w:val="20"/>
                <w:lang w:eastAsia="nl-NL"/>
              </w:rPr>
              <w:t>5</w:t>
            </w:r>
          </w:p>
        </w:tc>
        <w:tc>
          <w:tcPr>
            <w:tcW w:w="1970" w:type="pct"/>
            <w:noWrap/>
          </w:tcPr>
          <w:p w14:paraId="5C977712" w14:textId="77777777" w:rsidR="007F4420" w:rsidRPr="002D0DAE" w:rsidRDefault="007F4420" w:rsidP="007F4420">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2060"/>
                <w:sz w:val="20"/>
                <w:szCs w:val="20"/>
                <w:lang w:eastAsia="nl-NL"/>
              </w:rPr>
            </w:pPr>
            <w:r w:rsidRPr="002D0DAE">
              <w:rPr>
                <w:rFonts w:eastAsia="Times New Roman" w:cstheme="minorHAnsi"/>
                <w:color w:val="002060"/>
                <w:sz w:val="20"/>
                <w:szCs w:val="20"/>
                <w:lang w:eastAsia="nl-NL"/>
              </w:rPr>
              <w:t>Laadpaal is bezet door een fossiele brandstofauto</w:t>
            </w:r>
          </w:p>
        </w:tc>
        <w:tc>
          <w:tcPr>
            <w:tcW w:w="607" w:type="pct"/>
          </w:tcPr>
          <w:p w14:paraId="39BFC368" w14:textId="77777777" w:rsidR="007F4420" w:rsidRPr="002D0DAE" w:rsidRDefault="007F4420" w:rsidP="007F4420">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2060"/>
                <w:sz w:val="20"/>
                <w:szCs w:val="20"/>
                <w:lang w:eastAsia="nl-NL"/>
              </w:rPr>
            </w:pPr>
            <w:r w:rsidRPr="002D0DAE">
              <w:rPr>
                <w:rFonts w:eastAsia="Times New Roman" w:cstheme="minorHAnsi"/>
                <w:color w:val="002060"/>
                <w:sz w:val="20"/>
                <w:szCs w:val="20"/>
                <w:lang w:eastAsia="nl-NL"/>
              </w:rPr>
              <w:t>16%</w:t>
            </w:r>
          </w:p>
        </w:tc>
        <w:tc>
          <w:tcPr>
            <w:tcW w:w="1136" w:type="pct"/>
            <w:noWrap/>
          </w:tcPr>
          <w:p w14:paraId="0CB84CC5" w14:textId="77777777" w:rsidR="007F4420" w:rsidRPr="002D0DAE" w:rsidRDefault="007F4420" w:rsidP="007F4420">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2060"/>
                <w:sz w:val="20"/>
                <w:szCs w:val="20"/>
                <w:lang w:eastAsia="nl-NL"/>
              </w:rPr>
            </w:pPr>
            <w:r w:rsidRPr="002D0DAE">
              <w:rPr>
                <w:rFonts w:eastAsia="Times New Roman" w:cstheme="minorHAnsi"/>
                <w:color w:val="002060"/>
                <w:sz w:val="20"/>
                <w:szCs w:val="20"/>
                <w:lang w:eastAsia="nl-NL"/>
              </w:rPr>
              <w:t>14%</w:t>
            </w:r>
          </w:p>
        </w:tc>
        <w:tc>
          <w:tcPr>
            <w:tcW w:w="1137" w:type="pct"/>
          </w:tcPr>
          <w:p w14:paraId="1565C8D5" w14:textId="77777777" w:rsidR="007F4420" w:rsidRPr="002D0DAE" w:rsidRDefault="007F4420" w:rsidP="007F4420">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2060"/>
                <w:sz w:val="20"/>
                <w:szCs w:val="20"/>
                <w:lang w:eastAsia="nl-NL"/>
              </w:rPr>
            </w:pPr>
            <w:r w:rsidRPr="002D0DAE">
              <w:rPr>
                <w:rFonts w:eastAsia="Times New Roman" w:cstheme="minorHAnsi"/>
                <w:color w:val="002060"/>
                <w:sz w:val="20"/>
                <w:szCs w:val="20"/>
                <w:lang w:eastAsia="nl-NL"/>
              </w:rPr>
              <w:t>69%</w:t>
            </w:r>
          </w:p>
        </w:tc>
      </w:tr>
    </w:tbl>
    <w:p w14:paraId="08B1A183" w14:textId="77777777" w:rsidR="009010C0" w:rsidRDefault="009010C0" w:rsidP="00DB5DA7">
      <w:pPr>
        <w:spacing w:after="0" w:line="240" w:lineRule="auto"/>
        <w:jc w:val="both"/>
        <w:rPr>
          <w:rFonts w:cstheme="minorHAnsi"/>
          <w:b/>
          <w:bCs/>
          <w:color w:val="2C307E"/>
        </w:rPr>
      </w:pPr>
    </w:p>
    <w:p w14:paraId="56EC1CED" w14:textId="77777777" w:rsidR="009010C0" w:rsidRDefault="009010C0" w:rsidP="00DB5DA7">
      <w:pPr>
        <w:spacing w:after="0" w:line="240" w:lineRule="auto"/>
        <w:jc w:val="both"/>
        <w:rPr>
          <w:rFonts w:cstheme="minorHAnsi"/>
          <w:b/>
          <w:bCs/>
          <w:color w:val="2C307E"/>
        </w:rPr>
      </w:pPr>
    </w:p>
    <w:p w14:paraId="207B8CE2" w14:textId="77777777" w:rsidR="009010C0" w:rsidRDefault="009010C0" w:rsidP="00DB5DA7">
      <w:pPr>
        <w:spacing w:after="0" w:line="240" w:lineRule="auto"/>
        <w:jc w:val="both"/>
        <w:rPr>
          <w:rFonts w:cstheme="minorHAnsi"/>
          <w:b/>
          <w:bCs/>
          <w:color w:val="2C307E"/>
        </w:rPr>
      </w:pPr>
    </w:p>
    <w:p w14:paraId="135D50FF" w14:textId="77777777" w:rsidR="009010C0" w:rsidRDefault="009010C0" w:rsidP="00DB5DA7">
      <w:pPr>
        <w:spacing w:after="0" w:line="240" w:lineRule="auto"/>
        <w:jc w:val="both"/>
        <w:rPr>
          <w:rFonts w:cstheme="minorHAnsi"/>
          <w:b/>
          <w:bCs/>
          <w:color w:val="2C307E"/>
        </w:rPr>
      </w:pPr>
    </w:p>
    <w:p w14:paraId="54EA8D55" w14:textId="77777777" w:rsidR="009010C0" w:rsidRDefault="009010C0" w:rsidP="00DB5DA7">
      <w:pPr>
        <w:spacing w:after="0" w:line="240" w:lineRule="auto"/>
        <w:jc w:val="both"/>
        <w:rPr>
          <w:rFonts w:cstheme="minorHAnsi"/>
          <w:b/>
          <w:bCs/>
          <w:color w:val="2C307E"/>
        </w:rPr>
      </w:pPr>
    </w:p>
    <w:p w14:paraId="4CA2AD5B" w14:textId="77777777" w:rsidR="009010C0" w:rsidRDefault="009010C0" w:rsidP="00DB5DA7">
      <w:pPr>
        <w:spacing w:after="0" w:line="240" w:lineRule="auto"/>
        <w:jc w:val="both"/>
        <w:rPr>
          <w:rFonts w:cstheme="minorHAnsi"/>
          <w:b/>
          <w:bCs/>
          <w:color w:val="2C307E"/>
        </w:rPr>
      </w:pPr>
    </w:p>
    <w:p w14:paraId="3A7B2C4C" w14:textId="77777777" w:rsidR="009010C0" w:rsidRDefault="009010C0" w:rsidP="00DB5DA7">
      <w:pPr>
        <w:spacing w:after="0" w:line="240" w:lineRule="auto"/>
        <w:jc w:val="both"/>
        <w:rPr>
          <w:rFonts w:cstheme="minorHAnsi"/>
          <w:b/>
          <w:bCs/>
          <w:color w:val="2C307E"/>
        </w:rPr>
      </w:pPr>
    </w:p>
    <w:p w14:paraId="387C95D9" w14:textId="77777777" w:rsidR="009010C0" w:rsidRDefault="009010C0" w:rsidP="00DB5DA7">
      <w:pPr>
        <w:spacing w:after="0" w:line="240" w:lineRule="auto"/>
        <w:jc w:val="both"/>
        <w:rPr>
          <w:rFonts w:cstheme="minorHAnsi"/>
          <w:b/>
          <w:bCs/>
          <w:color w:val="2C307E"/>
        </w:rPr>
      </w:pPr>
    </w:p>
    <w:p w14:paraId="35FD346F" w14:textId="77777777" w:rsidR="009010C0" w:rsidRDefault="009010C0" w:rsidP="00DB5DA7">
      <w:pPr>
        <w:spacing w:after="0" w:line="240" w:lineRule="auto"/>
        <w:jc w:val="both"/>
        <w:rPr>
          <w:rFonts w:cstheme="minorHAnsi"/>
          <w:b/>
          <w:bCs/>
          <w:color w:val="2C307E"/>
        </w:rPr>
      </w:pPr>
    </w:p>
    <w:p w14:paraId="0638FAE7" w14:textId="4DD1493C" w:rsidR="00DB5DA7" w:rsidRDefault="00DB5DA7" w:rsidP="00DB5DA7">
      <w:pPr>
        <w:spacing w:after="0" w:line="240" w:lineRule="auto"/>
        <w:jc w:val="both"/>
        <w:rPr>
          <w:rFonts w:cstheme="minorHAnsi"/>
          <w:b/>
          <w:bCs/>
          <w:color w:val="2C307E"/>
        </w:rPr>
      </w:pPr>
      <w:r>
        <w:rPr>
          <w:rFonts w:cstheme="minorHAnsi"/>
          <w:b/>
          <w:bCs/>
          <w:color w:val="2C307E"/>
        </w:rPr>
        <w:t>Hoe vaak komt het knelpunt voor?</w:t>
      </w:r>
    </w:p>
    <w:p w14:paraId="0D776264" w14:textId="0EC0FC9D" w:rsidR="00BE67CB" w:rsidRDefault="00BE67CB" w:rsidP="00BE67CB">
      <w:pPr>
        <w:spacing w:after="0" w:line="240" w:lineRule="auto"/>
        <w:jc w:val="both"/>
        <w:rPr>
          <w:rFonts w:cstheme="minorHAnsi"/>
          <w:color w:val="2C307E"/>
        </w:rPr>
      </w:pPr>
      <w:r>
        <w:rPr>
          <w:rFonts w:cstheme="minorHAnsi"/>
          <w:color w:val="2C307E"/>
        </w:rPr>
        <w:t>Er is gevraagd welke knelpunten EV-rijders ervaren, maar ook in hoeveel procent van de laadsessies deze voorkom</w:t>
      </w:r>
      <w:r w:rsidR="007277E5">
        <w:rPr>
          <w:rFonts w:cstheme="minorHAnsi"/>
          <w:color w:val="2C307E"/>
        </w:rPr>
        <w:t>en</w:t>
      </w:r>
      <w:r>
        <w:rPr>
          <w:rFonts w:cstheme="minorHAnsi"/>
          <w:color w:val="2C307E"/>
        </w:rPr>
        <w:t>. Het kan dus zijn dat een knelpunt vaak wordt genoemd, maar in relatief weinig sessies voorkomt.</w:t>
      </w:r>
    </w:p>
    <w:p w14:paraId="4D1C0284" w14:textId="1CDBACE1" w:rsidR="00DB5DA7" w:rsidRDefault="004E5DE9" w:rsidP="004E5DE9">
      <w:pPr>
        <w:spacing w:after="0" w:line="240" w:lineRule="auto"/>
        <w:jc w:val="both"/>
        <w:rPr>
          <w:rFonts w:cstheme="minorHAnsi"/>
          <w:color w:val="2C307E"/>
        </w:rPr>
      </w:pPr>
      <w:r>
        <w:rPr>
          <w:rFonts w:cstheme="minorHAnsi"/>
          <w:color w:val="2C307E"/>
        </w:rPr>
        <w:t xml:space="preserve">Het meest hinderlijke knelpunt is </w:t>
      </w:r>
      <w:r w:rsidR="00DB5DA7">
        <w:rPr>
          <w:rFonts w:cstheme="minorHAnsi"/>
          <w:color w:val="2C307E"/>
        </w:rPr>
        <w:t>een laadpaal die bezet is door een fossiele brands</w:t>
      </w:r>
      <w:r w:rsidR="009010C0">
        <w:rPr>
          <w:rFonts w:cstheme="minorHAnsi"/>
          <w:color w:val="2C307E"/>
        </w:rPr>
        <w:t>t</w:t>
      </w:r>
      <w:r w:rsidR="00DB5DA7">
        <w:rPr>
          <w:rFonts w:cstheme="minorHAnsi"/>
          <w:color w:val="2C307E"/>
        </w:rPr>
        <w:t>ofauto. Dit komt in 14% van de laadsessies voor (als men dit knelpunt weleens ervaart).</w:t>
      </w:r>
      <w:r w:rsidR="00716BB4">
        <w:rPr>
          <w:rFonts w:cstheme="minorHAnsi"/>
          <w:color w:val="2C307E"/>
        </w:rPr>
        <w:t xml:space="preserve"> Een laadpaal die bezet is door een elektrische auto wordt als minder hinderlijk ervaren, maar komt wel vaker voor.</w:t>
      </w:r>
    </w:p>
    <w:p w14:paraId="1F5E3A8B" w14:textId="4601FBC1" w:rsidR="00476A91" w:rsidRPr="004E5DE9" w:rsidRDefault="0085799D" w:rsidP="004E5DE9">
      <w:pPr>
        <w:spacing w:after="0" w:line="240" w:lineRule="auto"/>
        <w:jc w:val="both"/>
        <w:rPr>
          <w:rFonts w:cstheme="minorHAnsi"/>
          <w:color w:val="2C307E"/>
        </w:rPr>
      </w:pPr>
      <w:r>
        <w:rPr>
          <w:rFonts w:cstheme="minorHAnsi"/>
          <w:color w:val="2C307E"/>
        </w:rPr>
        <w:t>Een defecte laadpaal wordt ook als</w:t>
      </w:r>
      <w:r w:rsidR="000146AF">
        <w:rPr>
          <w:rFonts w:cstheme="minorHAnsi"/>
          <w:color w:val="2C307E"/>
        </w:rPr>
        <w:t xml:space="preserve"> hee</w:t>
      </w:r>
      <w:r w:rsidR="001C64A1">
        <w:rPr>
          <w:rFonts w:cstheme="minorHAnsi"/>
          <w:color w:val="2C307E"/>
        </w:rPr>
        <w:t>l</w:t>
      </w:r>
      <w:r w:rsidR="000146AF">
        <w:rPr>
          <w:rFonts w:cstheme="minorHAnsi"/>
          <w:color w:val="2C307E"/>
        </w:rPr>
        <w:t xml:space="preserve"> (erg) hinderlijk ervaren. </w:t>
      </w:r>
      <w:r w:rsidR="00716BB4">
        <w:rPr>
          <w:rFonts w:cstheme="minorHAnsi"/>
          <w:color w:val="2C307E"/>
        </w:rPr>
        <w:t>Dit komt in 19% van</w:t>
      </w:r>
      <w:r w:rsidR="001C64A1">
        <w:rPr>
          <w:rFonts w:cstheme="minorHAnsi"/>
          <w:color w:val="2C307E"/>
        </w:rPr>
        <w:t xml:space="preserve"> </w:t>
      </w:r>
      <w:r w:rsidR="00716BB4">
        <w:rPr>
          <w:rFonts w:cstheme="minorHAnsi"/>
          <w:color w:val="2C307E"/>
        </w:rPr>
        <w:t>de  sessies voor (als men dit knelpu</w:t>
      </w:r>
      <w:r w:rsidR="001C64A1">
        <w:rPr>
          <w:rFonts w:cstheme="minorHAnsi"/>
          <w:color w:val="2C307E"/>
        </w:rPr>
        <w:t>n</w:t>
      </w:r>
      <w:r w:rsidR="00716BB4">
        <w:rPr>
          <w:rFonts w:cstheme="minorHAnsi"/>
          <w:color w:val="2C307E"/>
        </w:rPr>
        <w:t xml:space="preserve">t weleens ervaart). </w:t>
      </w:r>
      <w:r w:rsidR="001C64A1">
        <w:rPr>
          <w:rFonts w:cstheme="minorHAnsi"/>
          <w:color w:val="2C307E"/>
        </w:rPr>
        <w:t>EV-rijders</w:t>
      </w:r>
      <w:r w:rsidR="004E5DE9">
        <w:rPr>
          <w:rFonts w:cstheme="minorHAnsi"/>
          <w:color w:val="2C307E"/>
        </w:rPr>
        <w:t xml:space="preserve"> geven aan dat</w:t>
      </w:r>
      <w:r w:rsidR="001C64A1">
        <w:rPr>
          <w:rFonts w:cstheme="minorHAnsi"/>
          <w:color w:val="2C307E"/>
        </w:rPr>
        <w:t xml:space="preserve"> het knelpunt ‘onvoldoende laadpunten’</w:t>
      </w:r>
      <w:r w:rsidR="004E5DE9">
        <w:rPr>
          <w:rFonts w:cstheme="minorHAnsi"/>
          <w:color w:val="2C307E"/>
        </w:rPr>
        <w:t xml:space="preserve"> </w:t>
      </w:r>
      <w:r w:rsidR="001C64A1">
        <w:rPr>
          <w:rFonts w:cstheme="minorHAnsi"/>
          <w:color w:val="2C307E"/>
        </w:rPr>
        <w:t xml:space="preserve">bij </w:t>
      </w:r>
      <w:r w:rsidR="004E5DE9">
        <w:rPr>
          <w:rFonts w:cstheme="minorHAnsi"/>
          <w:color w:val="2C307E"/>
        </w:rPr>
        <w:t>44% van de laadbeurten voorkomt. Een onbekende laadsnelheid komt nog vaker voor (46%) maar wordt als minder hinderlijk ervaren.</w:t>
      </w:r>
    </w:p>
    <w:p w14:paraId="294C8761" w14:textId="77777777" w:rsidR="00864846" w:rsidRDefault="00864846" w:rsidP="00864846">
      <w:pPr>
        <w:jc w:val="both"/>
        <w:rPr>
          <w:rFonts w:cstheme="minorHAnsi"/>
          <w:color w:val="2C307E"/>
        </w:rPr>
      </w:pPr>
      <w:bookmarkStart w:id="92" w:name="_Hlk207879557"/>
    </w:p>
    <w:p w14:paraId="37CB0E73" w14:textId="77777777" w:rsidR="009010C0" w:rsidRDefault="009010C0">
      <w:pPr>
        <w:rPr>
          <w:rFonts w:cstheme="minorHAnsi"/>
          <w:b/>
          <w:bCs/>
          <w:color w:val="2C307E"/>
        </w:rPr>
      </w:pPr>
      <w:r>
        <w:rPr>
          <w:rFonts w:cstheme="minorHAnsi"/>
          <w:b/>
          <w:bCs/>
          <w:color w:val="2C307E"/>
        </w:rPr>
        <w:br w:type="page"/>
      </w:r>
    </w:p>
    <w:p w14:paraId="14C72B34" w14:textId="77777777" w:rsidR="00B01510" w:rsidRDefault="00B01510">
      <w:pPr>
        <w:rPr>
          <w:rFonts w:cstheme="minorHAnsi"/>
          <w:b/>
          <w:bCs/>
          <w:color w:val="2C307E"/>
        </w:rPr>
      </w:pPr>
      <w:r>
        <w:rPr>
          <w:rFonts w:cstheme="minorHAnsi"/>
          <w:b/>
          <w:bCs/>
          <w:noProof/>
          <w:color w:val="2C307E"/>
        </w:rPr>
        <w:lastRenderedPageBreak/>
        <w:drawing>
          <wp:anchor distT="0" distB="0" distL="114300" distR="114300" simplePos="0" relativeHeight="251658260" behindDoc="0" locked="0" layoutInCell="1" allowOverlap="1" wp14:anchorId="359306BD" wp14:editId="35482352">
            <wp:simplePos x="0" y="0"/>
            <wp:positionH relativeFrom="column">
              <wp:posOffset>-1298</wp:posOffset>
            </wp:positionH>
            <wp:positionV relativeFrom="paragraph">
              <wp:posOffset>607</wp:posOffset>
            </wp:positionV>
            <wp:extent cx="5760000" cy="3467878"/>
            <wp:effectExtent l="0" t="0" r="0" b="0"/>
            <wp:wrapSquare wrapText="bothSides"/>
            <wp:docPr id="2045865460"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111">
                      <a:extLst>
                        <a:ext uri="{28A0092B-C50C-407E-A947-70E740481C1C}">
                          <a14:useLocalDpi xmlns:a14="http://schemas.microsoft.com/office/drawing/2010/main" val="0"/>
                        </a:ext>
                      </a:extLst>
                    </a:blip>
                    <a:srcRect l="4522" t="-1" r="785" b="2684"/>
                    <a:stretch>
                      <a:fillRect/>
                    </a:stretch>
                  </pic:blipFill>
                  <pic:spPr bwMode="auto">
                    <a:xfrm>
                      <a:off x="0" y="0"/>
                      <a:ext cx="5760000" cy="346787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bl>
      <w:tblPr>
        <w:tblStyle w:val="Tabelrasterlicht"/>
        <w:tblpPr w:leftFromText="141" w:rightFromText="141" w:vertAnchor="text" w:horzAnchor="margin" w:tblpY="36"/>
        <w:tblW w:w="4673" w:type="dxa"/>
        <w:tblLook w:val="04A0" w:firstRow="1" w:lastRow="0" w:firstColumn="1" w:lastColumn="0" w:noHBand="0" w:noVBand="1"/>
      </w:tblPr>
      <w:tblGrid>
        <w:gridCol w:w="419"/>
        <w:gridCol w:w="4254"/>
      </w:tblGrid>
      <w:tr w:rsidR="00B01510" w:rsidRPr="00AF6132" w14:paraId="620509C4" w14:textId="77777777" w:rsidTr="00F46134">
        <w:trPr>
          <w:trHeight w:val="365"/>
        </w:trPr>
        <w:tc>
          <w:tcPr>
            <w:tcW w:w="419" w:type="dxa"/>
            <w:noWrap/>
            <w:vAlign w:val="bottom"/>
          </w:tcPr>
          <w:p w14:paraId="37D12F20" w14:textId="77777777" w:rsidR="00B01510" w:rsidRPr="00DB067E" w:rsidRDefault="00B01510" w:rsidP="00F46134">
            <w:pPr>
              <w:rPr>
                <w:rFonts w:eastAsia="Times New Roman" w:cstheme="minorHAnsi"/>
                <w:b/>
                <w:bCs/>
                <w:color w:val="2C307E"/>
                <w:sz w:val="20"/>
                <w:szCs w:val="20"/>
                <w:lang w:eastAsia="nl-NL"/>
              </w:rPr>
            </w:pPr>
          </w:p>
        </w:tc>
        <w:tc>
          <w:tcPr>
            <w:tcW w:w="4254" w:type="dxa"/>
            <w:noWrap/>
            <w:vAlign w:val="bottom"/>
          </w:tcPr>
          <w:p w14:paraId="6F09B22B" w14:textId="77777777" w:rsidR="00B01510" w:rsidRPr="00DB067E" w:rsidRDefault="00B01510" w:rsidP="00F46134">
            <w:pPr>
              <w:rPr>
                <w:rFonts w:eastAsia="Times New Roman" w:cstheme="minorHAnsi"/>
                <w:b/>
                <w:bCs/>
                <w:color w:val="2C307E"/>
                <w:sz w:val="20"/>
                <w:szCs w:val="20"/>
                <w:lang w:eastAsia="nl-NL"/>
              </w:rPr>
            </w:pPr>
            <w:r w:rsidRPr="00DB067E">
              <w:rPr>
                <w:rFonts w:eastAsia="Times New Roman" w:cstheme="minorHAnsi"/>
                <w:b/>
                <w:bCs/>
                <w:color w:val="2C307E"/>
                <w:sz w:val="20"/>
                <w:szCs w:val="20"/>
                <w:lang w:eastAsia="nl-NL"/>
              </w:rPr>
              <w:t>Knelpunt</w:t>
            </w:r>
          </w:p>
        </w:tc>
      </w:tr>
      <w:tr w:rsidR="00264571" w:rsidRPr="00AF6132" w14:paraId="52A1F1C9" w14:textId="77777777" w:rsidTr="00F46134">
        <w:trPr>
          <w:trHeight w:val="365"/>
        </w:trPr>
        <w:tc>
          <w:tcPr>
            <w:tcW w:w="419" w:type="dxa"/>
            <w:noWrap/>
            <w:hideMark/>
          </w:tcPr>
          <w:p w14:paraId="76547EA3" w14:textId="77777777" w:rsidR="00264571" w:rsidRPr="00DB067E" w:rsidRDefault="00264571" w:rsidP="00264571">
            <w:pPr>
              <w:jc w:val="both"/>
              <w:rPr>
                <w:rFonts w:eastAsia="Times New Roman" w:cstheme="minorHAnsi"/>
                <w:b/>
                <w:bCs/>
                <w:color w:val="2C307E"/>
                <w:sz w:val="20"/>
                <w:szCs w:val="20"/>
                <w:lang w:eastAsia="nl-NL"/>
              </w:rPr>
            </w:pPr>
            <w:r w:rsidRPr="00DB067E">
              <w:rPr>
                <w:rFonts w:eastAsia="Times New Roman" w:cstheme="minorHAnsi"/>
                <w:b/>
                <w:bCs/>
                <w:color w:val="2C307E"/>
                <w:sz w:val="20"/>
                <w:szCs w:val="20"/>
                <w:lang w:eastAsia="nl-NL"/>
              </w:rPr>
              <w:t>1</w:t>
            </w:r>
          </w:p>
        </w:tc>
        <w:tc>
          <w:tcPr>
            <w:tcW w:w="4254" w:type="dxa"/>
            <w:noWrap/>
            <w:hideMark/>
          </w:tcPr>
          <w:p w14:paraId="228B3CA3" w14:textId="57747792" w:rsidR="00264571" w:rsidRPr="00264571" w:rsidRDefault="00264571" w:rsidP="00264571">
            <w:pPr>
              <w:jc w:val="both"/>
              <w:rPr>
                <w:rFonts w:eastAsia="Times New Roman" w:cstheme="minorHAnsi"/>
                <w:color w:val="2C307E"/>
                <w:sz w:val="20"/>
                <w:szCs w:val="20"/>
                <w:lang w:eastAsia="nl-NL"/>
              </w:rPr>
            </w:pPr>
            <w:r w:rsidRPr="00264571">
              <w:rPr>
                <w:rFonts w:eastAsia="Times New Roman" w:cstheme="minorHAnsi"/>
                <w:color w:val="2C307E"/>
                <w:sz w:val="20"/>
                <w:szCs w:val="20"/>
                <w:lang w:eastAsia="nl-NL"/>
              </w:rPr>
              <w:t>Er zijn niet voldoende laadpunten</w:t>
            </w:r>
          </w:p>
        </w:tc>
      </w:tr>
      <w:tr w:rsidR="00264571" w:rsidRPr="00AF6132" w14:paraId="366970D9" w14:textId="77777777" w:rsidTr="00F46134">
        <w:trPr>
          <w:trHeight w:val="365"/>
        </w:trPr>
        <w:tc>
          <w:tcPr>
            <w:tcW w:w="419" w:type="dxa"/>
            <w:noWrap/>
            <w:hideMark/>
          </w:tcPr>
          <w:p w14:paraId="29C58B2E" w14:textId="77777777" w:rsidR="00264571" w:rsidRPr="00DB067E" w:rsidRDefault="00264571" w:rsidP="00264571">
            <w:pPr>
              <w:jc w:val="both"/>
              <w:rPr>
                <w:rFonts w:eastAsia="Times New Roman" w:cstheme="minorHAnsi"/>
                <w:b/>
                <w:bCs/>
                <w:color w:val="2C307E"/>
                <w:sz w:val="20"/>
                <w:szCs w:val="20"/>
                <w:lang w:eastAsia="nl-NL"/>
              </w:rPr>
            </w:pPr>
            <w:r w:rsidRPr="00DB067E">
              <w:rPr>
                <w:rFonts w:eastAsia="Times New Roman" w:cstheme="minorHAnsi"/>
                <w:b/>
                <w:bCs/>
                <w:color w:val="2C307E"/>
                <w:sz w:val="20"/>
                <w:szCs w:val="20"/>
                <w:lang w:eastAsia="nl-NL"/>
              </w:rPr>
              <w:t>2</w:t>
            </w:r>
          </w:p>
        </w:tc>
        <w:tc>
          <w:tcPr>
            <w:tcW w:w="4254" w:type="dxa"/>
            <w:noWrap/>
            <w:hideMark/>
          </w:tcPr>
          <w:p w14:paraId="1A79316A" w14:textId="1004AFC6" w:rsidR="00264571" w:rsidRPr="00264571" w:rsidRDefault="00264571" w:rsidP="00264571">
            <w:pPr>
              <w:jc w:val="both"/>
              <w:rPr>
                <w:rFonts w:eastAsia="Times New Roman" w:cstheme="minorHAnsi"/>
                <w:color w:val="2C307E"/>
                <w:sz w:val="20"/>
                <w:szCs w:val="20"/>
                <w:lang w:eastAsia="nl-NL"/>
              </w:rPr>
            </w:pPr>
            <w:r w:rsidRPr="00264571">
              <w:rPr>
                <w:rFonts w:eastAsia="Times New Roman" w:cstheme="minorHAnsi"/>
                <w:color w:val="2C307E"/>
                <w:sz w:val="20"/>
                <w:szCs w:val="20"/>
                <w:lang w:eastAsia="nl-NL"/>
              </w:rPr>
              <w:t xml:space="preserve">Laadpaal is defect  </w:t>
            </w:r>
          </w:p>
        </w:tc>
      </w:tr>
      <w:tr w:rsidR="00264571" w:rsidRPr="00AF6132" w14:paraId="036B000A" w14:textId="77777777" w:rsidTr="00F46134">
        <w:trPr>
          <w:trHeight w:val="365"/>
        </w:trPr>
        <w:tc>
          <w:tcPr>
            <w:tcW w:w="419" w:type="dxa"/>
            <w:noWrap/>
            <w:hideMark/>
          </w:tcPr>
          <w:p w14:paraId="061AF74C" w14:textId="77777777" w:rsidR="00264571" w:rsidRPr="00DB067E" w:rsidRDefault="00264571" w:rsidP="00264571">
            <w:pPr>
              <w:jc w:val="both"/>
              <w:rPr>
                <w:rFonts w:eastAsia="Times New Roman" w:cstheme="minorHAnsi"/>
                <w:b/>
                <w:bCs/>
                <w:color w:val="2C307E"/>
                <w:sz w:val="20"/>
                <w:szCs w:val="20"/>
                <w:lang w:eastAsia="nl-NL"/>
              </w:rPr>
            </w:pPr>
            <w:r w:rsidRPr="00DB067E">
              <w:rPr>
                <w:rFonts w:eastAsia="Times New Roman" w:cstheme="minorHAnsi"/>
                <w:b/>
                <w:bCs/>
                <w:color w:val="2C307E"/>
                <w:sz w:val="20"/>
                <w:szCs w:val="20"/>
                <w:lang w:eastAsia="nl-NL"/>
              </w:rPr>
              <w:t>3</w:t>
            </w:r>
          </w:p>
        </w:tc>
        <w:tc>
          <w:tcPr>
            <w:tcW w:w="4254" w:type="dxa"/>
            <w:noWrap/>
            <w:hideMark/>
          </w:tcPr>
          <w:p w14:paraId="538DD681" w14:textId="5CAC5AC3" w:rsidR="00264571" w:rsidRPr="00264571" w:rsidRDefault="00264571" w:rsidP="00264571">
            <w:pPr>
              <w:jc w:val="both"/>
              <w:rPr>
                <w:rFonts w:eastAsia="Times New Roman" w:cstheme="minorHAnsi"/>
                <w:color w:val="2C307E"/>
                <w:sz w:val="20"/>
                <w:szCs w:val="20"/>
                <w:lang w:eastAsia="nl-NL"/>
              </w:rPr>
            </w:pPr>
            <w:r w:rsidRPr="00264571">
              <w:rPr>
                <w:rFonts w:eastAsia="Times New Roman" w:cstheme="minorHAnsi"/>
                <w:color w:val="2C307E"/>
                <w:sz w:val="20"/>
                <w:szCs w:val="20"/>
                <w:lang w:eastAsia="nl-NL"/>
              </w:rPr>
              <w:t>Laadpaal is bezet door een fossiele brandstofauto</w:t>
            </w:r>
          </w:p>
        </w:tc>
      </w:tr>
      <w:tr w:rsidR="00264571" w:rsidRPr="00AF6132" w14:paraId="4B754F6E" w14:textId="77777777" w:rsidTr="00F46134">
        <w:trPr>
          <w:trHeight w:val="365"/>
        </w:trPr>
        <w:tc>
          <w:tcPr>
            <w:tcW w:w="419" w:type="dxa"/>
            <w:noWrap/>
            <w:hideMark/>
          </w:tcPr>
          <w:p w14:paraId="3AED25B2" w14:textId="77777777" w:rsidR="00264571" w:rsidRPr="00DB067E" w:rsidRDefault="00264571" w:rsidP="00264571">
            <w:pPr>
              <w:jc w:val="both"/>
              <w:rPr>
                <w:rFonts w:eastAsia="Times New Roman" w:cstheme="minorHAnsi"/>
                <w:b/>
                <w:bCs/>
                <w:color w:val="2C307E"/>
                <w:sz w:val="20"/>
                <w:szCs w:val="20"/>
                <w:lang w:eastAsia="nl-NL"/>
              </w:rPr>
            </w:pPr>
            <w:r w:rsidRPr="00DB067E">
              <w:rPr>
                <w:rFonts w:eastAsia="Times New Roman" w:cstheme="minorHAnsi"/>
                <w:b/>
                <w:bCs/>
                <w:color w:val="2C307E"/>
                <w:sz w:val="20"/>
                <w:szCs w:val="20"/>
                <w:lang w:eastAsia="nl-NL"/>
              </w:rPr>
              <w:t>4</w:t>
            </w:r>
          </w:p>
        </w:tc>
        <w:tc>
          <w:tcPr>
            <w:tcW w:w="4254" w:type="dxa"/>
            <w:noWrap/>
            <w:hideMark/>
          </w:tcPr>
          <w:p w14:paraId="36CC01FE" w14:textId="6407A908" w:rsidR="00264571" w:rsidRPr="00264571" w:rsidRDefault="00264571" w:rsidP="00264571">
            <w:pPr>
              <w:jc w:val="both"/>
              <w:rPr>
                <w:rFonts w:eastAsia="Times New Roman" w:cstheme="minorHAnsi"/>
                <w:color w:val="2C307E"/>
                <w:sz w:val="20"/>
                <w:szCs w:val="20"/>
                <w:lang w:eastAsia="nl-NL"/>
              </w:rPr>
            </w:pPr>
            <w:r w:rsidRPr="00264571">
              <w:rPr>
                <w:rFonts w:eastAsia="Times New Roman" w:cstheme="minorHAnsi"/>
                <w:color w:val="2C307E"/>
                <w:sz w:val="20"/>
                <w:szCs w:val="20"/>
                <w:lang w:eastAsia="nl-NL"/>
              </w:rPr>
              <w:t>Laadpaal is bezet door een elektrische auto</w:t>
            </w:r>
          </w:p>
        </w:tc>
      </w:tr>
      <w:tr w:rsidR="00264571" w:rsidRPr="00AF6132" w14:paraId="56040DAC" w14:textId="77777777" w:rsidTr="00F46134">
        <w:trPr>
          <w:trHeight w:val="365"/>
        </w:trPr>
        <w:tc>
          <w:tcPr>
            <w:tcW w:w="419" w:type="dxa"/>
            <w:noWrap/>
            <w:hideMark/>
          </w:tcPr>
          <w:p w14:paraId="6E7506D9" w14:textId="77777777" w:rsidR="00264571" w:rsidRPr="00DB067E" w:rsidRDefault="00264571" w:rsidP="00264571">
            <w:pPr>
              <w:jc w:val="both"/>
              <w:rPr>
                <w:rFonts w:eastAsia="Times New Roman" w:cstheme="minorHAnsi"/>
                <w:b/>
                <w:bCs/>
                <w:color w:val="2C307E"/>
                <w:sz w:val="20"/>
                <w:szCs w:val="20"/>
                <w:lang w:eastAsia="nl-NL"/>
              </w:rPr>
            </w:pPr>
            <w:r w:rsidRPr="00DB067E">
              <w:rPr>
                <w:rFonts w:eastAsia="Times New Roman" w:cstheme="minorHAnsi"/>
                <w:b/>
                <w:bCs/>
                <w:color w:val="2C307E"/>
                <w:sz w:val="20"/>
                <w:szCs w:val="20"/>
                <w:lang w:eastAsia="nl-NL"/>
              </w:rPr>
              <w:t>5</w:t>
            </w:r>
          </w:p>
        </w:tc>
        <w:tc>
          <w:tcPr>
            <w:tcW w:w="4254" w:type="dxa"/>
            <w:noWrap/>
            <w:hideMark/>
          </w:tcPr>
          <w:p w14:paraId="1A94B582" w14:textId="4F38EE06" w:rsidR="00264571" w:rsidRPr="00264571" w:rsidRDefault="00264571" w:rsidP="00264571">
            <w:pPr>
              <w:jc w:val="both"/>
              <w:rPr>
                <w:rFonts w:eastAsia="Times New Roman" w:cstheme="minorHAnsi"/>
                <w:color w:val="2C307E"/>
                <w:sz w:val="20"/>
                <w:szCs w:val="20"/>
                <w:lang w:eastAsia="nl-NL"/>
              </w:rPr>
            </w:pPr>
            <w:r w:rsidRPr="00264571">
              <w:rPr>
                <w:rFonts w:eastAsia="Times New Roman" w:cstheme="minorHAnsi"/>
                <w:color w:val="2C307E"/>
                <w:sz w:val="20"/>
                <w:szCs w:val="20"/>
                <w:lang w:eastAsia="nl-NL"/>
              </w:rPr>
              <w:t xml:space="preserve">Laadpas/laadapp werkt niet  </w:t>
            </w:r>
          </w:p>
        </w:tc>
      </w:tr>
      <w:tr w:rsidR="00264571" w:rsidRPr="00AF6132" w14:paraId="401EDB4C" w14:textId="77777777" w:rsidTr="00F46134">
        <w:trPr>
          <w:trHeight w:val="365"/>
        </w:trPr>
        <w:tc>
          <w:tcPr>
            <w:tcW w:w="419" w:type="dxa"/>
            <w:noWrap/>
            <w:hideMark/>
          </w:tcPr>
          <w:p w14:paraId="748D6A54" w14:textId="77777777" w:rsidR="00264571" w:rsidRPr="00DB067E" w:rsidRDefault="00264571" w:rsidP="00264571">
            <w:pPr>
              <w:jc w:val="both"/>
              <w:rPr>
                <w:rFonts w:eastAsia="Times New Roman" w:cstheme="minorHAnsi"/>
                <w:b/>
                <w:bCs/>
                <w:color w:val="2C307E"/>
                <w:sz w:val="20"/>
                <w:szCs w:val="20"/>
                <w:lang w:eastAsia="nl-NL"/>
              </w:rPr>
            </w:pPr>
            <w:r w:rsidRPr="00DB067E">
              <w:rPr>
                <w:rFonts w:eastAsia="Times New Roman" w:cstheme="minorHAnsi"/>
                <w:b/>
                <w:bCs/>
                <w:color w:val="2C307E"/>
                <w:sz w:val="20"/>
                <w:szCs w:val="20"/>
                <w:lang w:eastAsia="nl-NL"/>
              </w:rPr>
              <w:t>6</w:t>
            </w:r>
          </w:p>
        </w:tc>
        <w:tc>
          <w:tcPr>
            <w:tcW w:w="4254" w:type="dxa"/>
            <w:noWrap/>
            <w:hideMark/>
          </w:tcPr>
          <w:p w14:paraId="70351977" w14:textId="450C8579" w:rsidR="00264571" w:rsidRPr="00264571" w:rsidRDefault="00264571" w:rsidP="00264571">
            <w:pPr>
              <w:jc w:val="both"/>
              <w:rPr>
                <w:rFonts w:eastAsia="Times New Roman" w:cstheme="minorHAnsi"/>
                <w:color w:val="2C307E"/>
                <w:sz w:val="20"/>
                <w:szCs w:val="20"/>
                <w:lang w:eastAsia="nl-NL"/>
              </w:rPr>
            </w:pPr>
            <w:r w:rsidRPr="00264571">
              <w:rPr>
                <w:rFonts w:eastAsia="Times New Roman" w:cstheme="minorHAnsi"/>
                <w:color w:val="2C307E"/>
                <w:sz w:val="20"/>
                <w:szCs w:val="20"/>
                <w:lang w:eastAsia="nl-NL"/>
              </w:rPr>
              <w:t>laadsnelheid is onbekend</w:t>
            </w:r>
          </w:p>
        </w:tc>
      </w:tr>
      <w:tr w:rsidR="00264571" w:rsidRPr="00AF6132" w14:paraId="7F7AA8B2" w14:textId="77777777" w:rsidTr="00F46134">
        <w:trPr>
          <w:trHeight w:val="365"/>
        </w:trPr>
        <w:tc>
          <w:tcPr>
            <w:tcW w:w="419" w:type="dxa"/>
            <w:noWrap/>
            <w:hideMark/>
          </w:tcPr>
          <w:p w14:paraId="7ACFD031" w14:textId="77777777" w:rsidR="00264571" w:rsidRPr="00DB067E" w:rsidRDefault="00264571" w:rsidP="00264571">
            <w:pPr>
              <w:jc w:val="both"/>
              <w:rPr>
                <w:rFonts w:eastAsia="Times New Roman" w:cstheme="minorHAnsi"/>
                <w:b/>
                <w:bCs/>
                <w:color w:val="2C307E"/>
                <w:sz w:val="20"/>
                <w:szCs w:val="20"/>
                <w:lang w:eastAsia="nl-NL"/>
              </w:rPr>
            </w:pPr>
            <w:r w:rsidRPr="00DB067E">
              <w:rPr>
                <w:rFonts w:eastAsia="Times New Roman" w:cstheme="minorHAnsi"/>
                <w:b/>
                <w:bCs/>
                <w:color w:val="2C307E"/>
                <w:sz w:val="20"/>
                <w:szCs w:val="20"/>
                <w:lang w:eastAsia="nl-NL"/>
              </w:rPr>
              <w:t>7</w:t>
            </w:r>
          </w:p>
        </w:tc>
        <w:tc>
          <w:tcPr>
            <w:tcW w:w="4254" w:type="dxa"/>
            <w:noWrap/>
            <w:hideMark/>
          </w:tcPr>
          <w:p w14:paraId="1172E2FC" w14:textId="4023EF3A" w:rsidR="00264571" w:rsidRPr="00264571" w:rsidRDefault="00264571" w:rsidP="00264571">
            <w:pPr>
              <w:jc w:val="both"/>
              <w:rPr>
                <w:rFonts w:eastAsia="Times New Roman" w:cstheme="minorHAnsi"/>
                <w:color w:val="2C307E"/>
                <w:sz w:val="20"/>
                <w:szCs w:val="20"/>
                <w:lang w:eastAsia="nl-NL"/>
              </w:rPr>
            </w:pPr>
            <w:r w:rsidRPr="00264571">
              <w:rPr>
                <w:rFonts w:eastAsia="Times New Roman" w:cstheme="minorHAnsi"/>
                <w:color w:val="2C307E"/>
                <w:sz w:val="20"/>
                <w:szCs w:val="20"/>
                <w:lang w:eastAsia="nl-NL"/>
              </w:rPr>
              <w:t>laadsnelheid is onvoldoende</w:t>
            </w:r>
          </w:p>
        </w:tc>
      </w:tr>
    </w:tbl>
    <w:p w14:paraId="1068AE27" w14:textId="77777777" w:rsidR="00264571" w:rsidRDefault="00264571">
      <w:pPr>
        <w:rPr>
          <w:rFonts w:cstheme="minorHAnsi"/>
          <w:b/>
          <w:bCs/>
          <w:color w:val="2C307E"/>
        </w:rPr>
      </w:pPr>
    </w:p>
    <w:p w14:paraId="1AEDBC1A" w14:textId="550F0D86" w:rsidR="00264571" w:rsidRDefault="00264571" w:rsidP="00264571">
      <w:pPr>
        <w:spacing w:after="0" w:line="276" w:lineRule="auto"/>
        <w:jc w:val="both"/>
        <w:rPr>
          <w:rFonts w:cstheme="minorHAnsi"/>
          <w:color w:val="2C307E"/>
        </w:rPr>
      </w:pPr>
      <w:r>
        <w:rPr>
          <w:rFonts w:cstheme="minorHAnsi"/>
          <w:color w:val="2C307E"/>
        </w:rPr>
        <w:t>Bovenstaand raster geeft weer hoe vaak een knelpunt is ervaren tegen de hinderlijkheid van dit knelpunt. Op de y-as het percentage van de laadsessies dat dit knelpunt voorkomt</w:t>
      </w:r>
      <w:r w:rsidRPr="000F3621">
        <w:rPr>
          <w:rFonts w:cstheme="minorHAnsi"/>
          <w:color w:val="2C307E"/>
        </w:rPr>
        <w:t xml:space="preserve"> </w:t>
      </w:r>
      <w:r>
        <w:rPr>
          <w:rFonts w:cstheme="minorHAnsi"/>
          <w:color w:val="2C307E"/>
        </w:rPr>
        <w:t>(</w:t>
      </w:r>
      <w:r w:rsidRPr="000F3621">
        <w:rPr>
          <w:rFonts w:cstheme="minorHAnsi"/>
          <w:color w:val="2C307E"/>
        </w:rPr>
        <w:t>als men het knelpunt weleens ervaart</w:t>
      </w:r>
      <w:r>
        <w:rPr>
          <w:rFonts w:cstheme="minorHAnsi"/>
          <w:color w:val="2C307E"/>
        </w:rPr>
        <w:t xml:space="preserve">). Op de x-as het aandeel respondenten dat dit knelpunt als </w:t>
      </w:r>
      <w:r w:rsidR="00963227">
        <w:rPr>
          <w:rFonts w:cstheme="minorHAnsi"/>
          <w:color w:val="2C307E"/>
        </w:rPr>
        <w:t xml:space="preserve">heel </w:t>
      </w:r>
      <w:r>
        <w:rPr>
          <w:rFonts w:cstheme="minorHAnsi"/>
          <w:color w:val="2C307E"/>
        </w:rPr>
        <w:t>(</w:t>
      </w:r>
      <w:r w:rsidR="00963227">
        <w:rPr>
          <w:rFonts w:cstheme="minorHAnsi"/>
          <w:color w:val="2C307E"/>
        </w:rPr>
        <w:t>erg</w:t>
      </w:r>
      <w:r>
        <w:rPr>
          <w:rFonts w:cstheme="minorHAnsi"/>
          <w:color w:val="2C307E"/>
        </w:rPr>
        <w:t xml:space="preserve">) hinderlijk beschouwt. Op basis van deze gegevens is een kwadrant ontwikkeld. </w:t>
      </w:r>
    </w:p>
    <w:p w14:paraId="547BB63B" w14:textId="77777777" w:rsidR="00264571" w:rsidRDefault="00264571">
      <w:pPr>
        <w:rPr>
          <w:rFonts w:cstheme="minorHAnsi"/>
          <w:b/>
          <w:bCs/>
          <w:color w:val="2C307E"/>
        </w:rPr>
      </w:pPr>
    </w:p>
    <w:p w14:paraId="1F179E18" w14:textId="77777777" w:rsidR="00264571" w:rsidRDefault="00264571">
      <w:pPr>
        <w:rPr>
          <w:rFonts w:cstheme="minorHAnsi"/>
          <w:b/>
          <w:bCs/>
          <w:color w:val="2C307E"/>
        </w:rPr>
      </w:pPr>
    </w:p>
    <w:p w14:paraId="1A41AE41" w14:textId="77777777" w:rsidR="00264571" w:rsidRDefault="00264571">
      <w:pPr>
        <w:rPr>
          <w:rFonts w:cstheme="minorHAnsi"/>
          <w:b/>
          <w:bCs/>
          <w:color w:val="2C307E"/>
        </w:rPr>
      </w:pPr>
    </w:p>
    <w:p w14:paraId="388B5AE9" w14:textId="77777777" w:rsidR="00264571" w:rsidRDefault="00264571">
      <w:pPr>
        <w:rPr>
          <w:rFonts w:cstheme="minorHAnsi"/>
          <w:b/>
          <w:bCs/>
          <w:color w:val="2C307E"/>
        </w:rPr>
      </w:pPr>
    </w:p>
    <w:p w14:paraId="7DAFB8C3" w14:textId="77777777" w:rsidR="00264571" w:rsidRDefault="00264571">
      <w:pPr>
        <w:rPr>
          <w:rFonts w:cstheme="minorHAnsi"/>
          <w:b/>
          <w:bCs/>
          <w:color w:val="2C307E"/>
        </w:rPr>
      </w:pPr>
    </w:p>
    <w:p w14:paraId="6D96DCBE" w14:textId="77777777" w:rsidR="00264571" w:rsidRDefault="00264571">
      <w:pPr>
        <w:rPr>
          <w:rFonts w:cstheme="minorHAnsi"/>
          <w:b/>
          <w:bCs/>
          <w:color w:val="2C307E"/>
        </w:rPr>
      </w:pPr>
    </w:p>
    <w:p w14:paraId="07943C41" w14:textId="77777777" w:rsidR="00264571" w:rsidRDefault="00264571" w:rsidP="00264571">
      <w:pPr>
        <w:spacing w:after="0" w:line="276" w:lineRule="auto"/>
        <w:jc w:val="both"/>
        <w:rPr>
          <w:rFonts w:cstheme="minorHAnsi"/>
          <w:color w:val="2C307E"/>
        </w:rPr>
      </w:pPr>
      <w:r>
        <w:rPr>
          <w:rFonts w:cstheme="minorHAnsi"/>
          <w:color w:val="2C307E"/>
        </w:rPr>
        <w:t xml:space="preserve">Elk knelpunt is onderverdeeld in één van de vier kwadranten. Knelpunten in het groene kwadrant komen niet/nauwelijks voor en worden niet als hinderlijk ervaren. De gele kwadranten bevatten knelpunten die ofwel (bijna) niet voorkomen ofwel niet als hinderlijk worden ervaren. Knelpunten in het paarse kwadrant worden zowel als hinderlijk ervaren en komen relatief vaker voor. </w:t>
      </w:r>
    </w:p>
    <w:p w14:paraId="71B1AA3C" w14:textId="3C815150" w:rsidR="00264571" w:rsidRDefault="00264571" w:rsidP="00A378D9">
      <w:pPr>
        <w:spacing w:after="0" w:line="276" w:lineRule="auto"/>
        <w:jc w:val="both"/>
        <w:rPr>
          <w:rFonts w:cstheme="minorHAnsi"/>
          <w:color w:val="2C307E"/>
        </w:rPr>
      </w:pPr>
      <w:r w:rsidRPr="008477FC">
        <w:rPr>
          <w:rFonts w:cstheme="minorHAnsi"/>
          <w:color w:val="2C307E"/>
        </w:rPr>
        <w:t xml:space="preserve">Een </w:t>
      </w:r>
      <w:r w:rsidR="00A378D9">
        <w:rPr>
          <w:rFonts w:cstheme="minorHAnsi"/>
          <w:color w:val="2C307E"/>
        </w:rPr>
        <w:t>laadpunt dat bezet is door een fossiele brandstofauto</w:t>
      </w:r>
      <w:r w:rsidR="004430F4">
        <w:rPr>
          <w:rFonts w:cstheme="minorHAnsi"/>
          <w:color w:val="2C307E"/>
        </w:rPr>
        <w:t xml:space="preserve"> (2)</w:t>
      </w:r>
      <w:r w:rsidR="00A378D9">
        <w:rPr>
          <w:rFonts w:cstheme="minorHAnsi"/>
          <w:color w:val="2C307E"/>
        </w:rPr>
        <w:t xml:space="preserve"> wordt als meest hinderlijk ervaren, maar</w:t>
      </w:r>
      <w:r w:rsidR="00963227">
        <w:rPr>
          <w:rFonts w:cstheme="minorHAnsi"/>
          <w:color w:val="2C307E"/>
        </w:rPr>
        <w:t xml:space="preserve"> komt relatief weinig voor.</w:t>
      </w:r>
      <w:r w:rsidRPr="008477FC">
        <w:rPr>
          <w:rFonts w:cstheme="minorHAnsi"/>
          <w:color w:val="2C307E"/>
        </w:rPr>
        <w:t xml:space="preserve"> </w:t>
      </w:r>
      <w:r w:rsidR="004430F4">
        <w:rPr>
          <w:rFonts w:cstheme="minorHAnsi"/>
          <w:color w:val="2C307E"/>
        </w:rPr>
        <w:t xml:space="preserve">Onvoldoende laadpunten  (1) </w:t>
      </w:r>
      <w:r w:rsidR="00FC21AA">
        <w:rPr>
          <w:rFonts w:cstheme="minorHAnsi"/>
          <w:color w:val="2C307E"/>
        </w:rPr>
        <w:t>komt relatief vaak voor en wordt ook door bijna de helft van de respondenten als heel (erg) hinderlijk beschouwt.</w:t>
      </w:r>
    </w:p>
    <w:p w14:paraId="23ED34D1" w14:textId="0DE8B035" w:rsidR="00B01510" w:rsidRDefault="00B01510">
      <w:pPr>
        <w:rPr>
          <w:rFonts w:cstheme="minorHAnsi"/>
          <w:b/>
          <w:bCs/>
          <w:color w:val="2C307E"/>
        </w:rPr>
      </w:pPr>
      <w:r>
        <w:rPr>
          <w:rFonts w:cstheme="minorHAnsi"/>
          <w:b/>
          <w:bCs/>
          <w:color w:val="2C307E"/>
        </w:rPr>
        <w:br w:type="page"/>
      </w:r>
    </w:p>
    <w:p w14:paraId="25F0974E" w14:textId="3129995C" w:rsidR="0038730F" w:rsidRPr="007F4420" w:rsidRDefault="00C66162" w:rsidP="007F4420">
      <w:pPr>
        <w:spacing w:after="0" w:line="276" w:lineRule="auto"/>
        <w:jc w:val="both"/>
        <w:rPr>
          <w:rFonts w:cstheme="minorHAnsi"/>
          <w:b/>
          <w:bCs/>
          <w:color w:val="2C307E"/>
        </w:rPr>
      </w:pPr>
      <w:r w:rsidRPr="00C66162">
        <w:rPr>
          <w:rFonts w:cstheme="minorHAnsi"/>
          <w:b/>
          <w:bCs/>
          <w:color w:val="2C307E"/>
        </w:rPr>
        <w:lastRenderedPageBreak/>
        <w:t xml:space="preserve">Laadpalen op het werk zijn </w:t>
      </w:r>
      <w:r w:rsidR="00DE67F7">
        <w:rPr>
          <w:rFonts w:cstheme="minorHAnsi"/>
          <w:b/>
          <w:bCs/>
          <w:color w:val="2C307E"/>
        </w:rPr>
        <w:t>meestal</w:t>
      </w:r>
      <w:r w:rsidRPr="00C66162">
        <w:rPr>
          <w:rFonts w:cstheme="minorHAnsi"/>
          <w:b/>
          <w:bCs/>
          <w:color w:val="2C307E"/>
        </w:rPr>
        <w:t xml:space="preserve"> beschikbaar</w:t>
      </w:r>
      <w:r w:rsidRPr="00DE67F7">
        <w:rPr>
          <w:rFonts w:cstheme="minorHAnsi"/>
          <w:b/>
          <w:bCs/>
          <w:color w:val="2C307E"/>
        </w:rPr>
        <w:t>.</w:t>
      </w:r>
      <w:r w:rsidR="00D7295D" w:rsidRPr="007F4420">
        <w:rPr>
          <w:rFonts w:cstheme="minorHAnsi"/>
          <w:b/>
          <w:bCs/>
          <w:color w:val="2C307E"/>
        </w:rPr>
        <w:t xml:space="preserve"> </w:t>
      </w:r>
      <w:r w:rsidR="0038730F" w:rsidRPr="00DE67F7">
        <w:rPr>
          <w:rFonts w:cstheme="minorHAnsi"/>
          <w:b/>
          <w:bCs/>
          <w:color w:val="2C307E"/>
        </w:rPr>
        <w:t>[</w:t>
      </w:r>
      <w:r w:rsidR="0038730F" w:rsidRPr="0038730F">
        <w:rPr>
          <w:rFonts w:cstheme="minorHAnsi"/>
          <w:b/>
          <w:bCs/>
          <w:color w:val="2C307E"/>
        </w:rPr>
        <w:t>N=548]</w:t>
      </w:r>
    </w:p>
    <w:p w14:paraId="7006D105" w14:textId="77777777" w:rsidR="00DE67F7" w:rsidRPr="007F4420" w:rsidRDefault="003F24CC" w:rsidP="007F4420">
      <w:pPr>
        <w:spacing w:after="0" w:line="276" w:lineRule="auto"/>
        <w:jc w:val="both"/>
        <w:rPr>
          <w:rFonts w:cstheme="minorHAnsi"/>
          <w:color w:val="2C307E"/>
        </w:rPr>
      </w:pPr>
      <w:r w:rsidRPr="007F4420">
        <w:rPr>
          <w:rFonts w:cstheme="minorHAnsi"/>
          <w:color w:val="2C307E"/>
        </w:rPr>
        <w:t xml:space="preserve">68% geeft aan dat de laadpalen meestal of altijd vrij zijn wanneer zij willen laden. </w:t>
      </w:r>
      <w:bookmarkEnd w:id="92"/>
    </w:p>
    <w:p w14:paraId="5659AC28" w14:textId="480565A6" w:rsidR="00C66162" w:rsidRDefault="003F24CC" w:rsidP="007F4420">
      <w:pPr>
        <w:spacing w:after="0" w:line="276" w:lineRule="auto"/>
        <w:jc w:val="both"/>
        <w:rPr>
          <w:b/>
          <w:bCs/>
          <w:color w:val="2C307E"/>
          <w:highlight w:val="yellow"/>
        </w:rPr>
      </w:pPr>
      <w:r w:rsidRPr="007F4420">
        <w:rPr>
          <w:rFonts w:cstheme="minorHAnsi"/>
          <w:color w:val="2C307E"/>
        </w:rPr>
        <w:t>35% geeft aan dat er afspraken zijn gemaakt over het verplaatsen van de auto zodra deze is volgeladen</w:t>
      </w:r>
      <w:r w:rsidR="00DE67F7" w:rsidRPr="007F4420">
        <w:rPr>
          <w:rFonts w:cstheme="minorHAnsi"/>
          <w:color w:val="2C307E"/>
        </w:rPr>
        <w:t>.</w:t>
      </w:r>
      <w:r w:rsidR="00DE67F7">
        <w:rPr>
          <w:rFonts w:cstheme="minorHAnsi"/>
          <w:color w:val="2C307E"/>
        </w:rPr>
        <w:t xml:space="preserve"> </w:t>
      </w:r>
      <w:r w:rsidR="00C66162">
        <w:rPr>
          <w:noProof/>
        </w:rPr>
        <w:drawing>
          <wp:inline distT="0" distB="0" distL="0" distR="0" wp14:anchorId="09222CE0" wp14:editId="42D67EEB">
            <wp:extent cx="2655570" cy="3188473"/>
            <wp:effectExtent l="0" t="0" r="0" b="0"/>
            <wp:docPr id="1653267432" name="Grafiek 1">
              <a:extLst xmlns:a="http://schemas.openxmlformats.org/drawingml/2006/main">
                <a:ext uri="{FF2B5EF4-FFF2-40B4-BE49-F238E27FC236}">
                  <a16:creationId xmlns:a16="http://schemas.microsoft.com/office/drawing/2014/main" id="{CD9B8EFD-6BAE-7280-1122-EA7E0D03E9A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2"/>
              </a:graphicData>
            </a:graphic>
          </wp:inline>
        </w:drawing>
      </w:r>
    </w:p>
    <w:p w14:paraId="46444E73" w14:textId="72142F3C" w:rsidR="00EB63DB" w:rsidRDefault="00F721B2" w:rsidP="00716BB4">
      <w:pPr>
        <w:jc w:val="both"/>
        <w:rPr>
          <w:color w:val="2C307E"/>
        </w:rPr>
      </w:pPr>
      <w:r w:rsidRPr="00F721B2">
        <w:rPr>
          <w:b/>
          <w:bCs/>
          <w:color w:val="2C307E"/>
        </w:rPr>
        <w:t>De EV-rijder betaalt vaker zelf voor de kosten van laden op het werk</w:t>
      </w:r>
      <w:r w:rsidR="00DE67F7">
        <w:rPr>
          <w:b/>
          <w:bCs/>
          <w:color w:val="2C307E"/>
        </w:rPr>
        <w:t xml:space="preserve"> dan vorig jaar.</w:t>
      </w:r>
      <w:r w:rsidRPr="00F721B2">
        <w:rPr>
          <w:b/>
          <w:bCs/>
          <w:color w:val="2C307E"/>
        </w:rPr>
        <w:t xml:space="preserve"> [N=547]</w:t>
      </w:r>
      <w:r>
        <w:rPr>
          <w:b/>
          <w:color w:val="2C307E"/>
        </w:rPr>
        <w:t xml:space="preserve"> </w:t>
      </w:r>
      <w:r>
        <w:rPr>
          <w:b/>
          <w:color w:val="2C307E"/>
        </w:rPr>
        <w:br/>
      </w:r>
      <w:r w:rsidR="00E00CB2" w:rsidRPr="00F721B2">
        <w:rPr>
          <w:color w:val="2C307E"/>
        </w:rPr>
        <w:t xml:space="preserve">De helft van de EV-rijders laadt gratis of krijgt 100% </w:t>
      </w:r>
      <w:r w:rsidR="00DE67F7">
        <w:rPr>
          <w:color w:val="2C307E"/>
        </w:rPr>
        <w:t>van de laadkosten vergoed</w:t>
      </w:r>
      <w:r w:rsidR="00E00CB2" w:rsidRPr="00F721B2">
        <w:rPr>
          <w:color w:val="2C307E"/>
        </w:rPr>
        <w:t xml:space="preserve">. </w:t>
      </w:r>
      <w:r w:rsidR="00644A3F">
        <w:rPr>
          <w:color w:val="2C307E"/>
        </w:rPr>
        <w:t>31% betaalt wel voor laden op het werk.</w:t>
      </w:r>
    </w:p>
    <w:p w14:paraId="3B4DA868" w14:textId="00866134" w:rsidR="00FC5313" w:rsidRPr="00057017" w:rsidRDefault="00FC5313" w:rsidP="00B826F0">
      <w:pPr>
        <w:spacing w:after="0" w:line="240" w:lineRule="auto"/>
        <w:jc w:val="both"/>
        <w:rPr>
          <w:rFonts w:cstheme="minorHAnsi"/>
          <w:b/>
          <w:bCs/>
          <w:color w:val="2C307E"/>
          <w:highlight w:val="yellow"/>
        </w:rPr>
      </w:pPr>
      <w:r>
        <w:rPr>
          <w:noProof/>
        </w:rPr>
        <w:drawing>
          <wp:inline distT="0" distB="0" distL="0" distR="0" wp14:anchorId="3E4BAEDB" wp14:editId="39CFE4EC">
            <wp:extent cx="2743200" cy="2687541"/>
            <wp:effectExtent l="0" t="0" r="0" b="0"/>
            <wp:docPr id="1531407346" name="Grafiek 1">
              <a:extLst xmlns:a="http://schemas.openxmlformats.org/drawingml/2006/main">
                <a:ext uri="{FF2B5EF4-FFF2-40B4-BE49-F238E27FC236}">
                  <a16:creationId xmlns:a16="http://schemas.microsoft.com/office/drawing/2014/main" id="{CA035DF3-DD3F-C46F-6981-D951C726485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3"/>
              </a:graphicData>
            </a:graphic>
          </wp:inline>
        </w:drawing>
      </w:r>
    </w:p>
    <w:p w14:paraId="15674469" w14:textId="77777777" w:rsidR="009010C0" w:rsidRDefault="009010C0" w:rsidP="001368B1">
      <w:pPr>
        <w:spacing w:after="0" w:line="276" w:lineRule="auto"/>
        <w:jc w:val="both"/>
        <w:rPr>
          <w:rFonts w:cstheme="minorHAnsi"/>
          <w:b/>
          <w:bCs/>
          <w:color w:val="2C307E"/>
        </w:rPr>
      </w:pPr>
    </w:p>
    <w:p w14:paraId="75AE2BBF" w14:textId="77777777" w:rsidR="009010C0" w:rsidRDefault="009010C0" w:rsidP="001368B1">
      <w:pPr>
        <w:spacing w:after="0" w:line="276" w:lineRule="auto"/>
        <w:jc w:val="both"/>
        <w:rPr>
          <w:rFonts w:cstheme="minorHAnsi"/>
          <w:b/>
          <w:bCs/>
          <w:color w:val="2C307E"/>
        </w:rPr>
      </w:pPr>
    </w:p>
    <w:p w14:paraId="381B9003" w14:textId="77777777" w:rsidR="009010C0" w:rsidRDefault="009010C0" w:rsidP="001368B1">
      <w:pPr>
        <w:spacing w:after="0" w:line="276" w:lineRule="auto"/>
        <w:jc w:val="both"/>
        <w:rPr>
          <w:rFonts w:cstheme="minorHAnsi"/>
          <w:b/>
          <w:bCs/>
          <w:color w:val="2C307E"/>
        </w:rPr>
      </w:pPr>
    </w:p>
    <w:p w14:paraId="7EE5F01F" w14:textId="1470A2DA" w:rsidR="007F4420" w:rsidRPr="002D79F9" w:rsidRDefault="00712417" w:rsidP="001368B1">
      <w:pPr>
        <w:spacing w:after="0" w:line="276" w:lineRule="auto"/>
        <w:jc w:val="both"/>
        <w:rPr>
          <w:rFonts w:cstheme="minorHAnsi"/>
          <w:b/>
          <w:bCs/>
          <w:color w:val="2C307E"/>
        </w:rPr>
      </w:pPr>
      <w:r w:rsidRPr="002D79F9">
        <w:rPr>
          <w:rFonts w:cstheme="minorHAnsi"/>
          <w:b/>
          <w:bCs/>
          <w:color w:val="2C307E"/>
        </w:rPr>
        <w:t xml:space="preserve">Gemiddeld </w:t>
      </w:r>
      <w:r w:rsidR="003F31A6" w:rsidRPr="002D79F9">
        <w:rPr>
          <w:rFonts w:cstheme="minorHAnsi"/>
          <w:b/>
          <w:bCs/>
          <w:color w:val="2C307E"/>
        </w:rPr>
        <w:t>kost laden op het werk</w:t>
      </w:r>
      <w:r w:rsidRPr="002D79F9">
        <w:rPr>
          <w:rFonts w:cstheme="minorHAnsi"/>
          <w:b/>
          <w:bCs/>
          <w:color w:val="2C307E"/>
        </w:rPr>
        <w:t xml:space="preserve"> </w:t>
      </w:r>
      <w:r w:rsidR="00C544E1" w:rsidRPr="002D79F9">
        <w:rPr>
          <w:rFonts w:cstheme="minorHAnsi"/>
          <w:b/>
          <w:bCs/>
          <w:color w:val="2C307E"/>
        </w:rPr>
        <w:t>38,8 cent</w:t>
      </w:r>
      <w:r w:rsidR="002D79F9">
        <w:rPr>
          <w:rFonts w:cstheme="minorHAnsi"/>
          <w:b/>
          <w:bCs/>
          <w:color w:val="2C307E"/>
        </w:rPr>
        <w:t xml:space="preserve"> </w:t>
      </w:r>
      <w:r w:rsidR="00C544E1" w:rsidRPr="002D79F9">
        <w:rPr>
          <w:rFonts w:cstheme="minorHAnsi"/>
          <w:b/>
          <w:bCs/>
          <w:color w:val="2C307E"/>
        </w:rPr>
        <w:t>per kWh</w:t>
      </w:r>
      <w:r w:rsidR="00DE67F7">
        <w:rPr>
          <w:rFonts w:cstheme="minorHAnsi"/>
          <w:b/>
          <w:bCs/>
          <w:color w:val="2C307E"/>
        </w:rPr>
        <w:t xml:space="preserve">. </w:t>
      </w:r>
      <w:r w:rsidR="00806BF1" w:rsidRPr="002D79F9">
        <w:rPr>
          <w:rFonts w:cstheme="minorHAnsi"/>
          <w:b/>
          <w:bCs/>
          <w:color w:val="2C307E"/>
        </w:rPr>
        <w:t>[N=165]</w:t>
      </w:r>
    </w:p>
    <w:p w14:paraId="27701854" w14:textId="1C6DF4C3" w:rsidR="00644A3F" w:rsidRDefault="003F31A6" w:rsidP="001368B1">
      <w:pPr>
        <w:spacing w:after="0" w:line="276" w:lineRule="auto"/>
        <w:jc w:val="both"/>
        <w:rPr>
          <w:rFonts w:cstheme="minorHAnsi"/>
          <w:color w:val="2C307E"/>
        </w:rPr>
      </w:pPr>
      <w:r w:rsidRPr="002D79F9">
        <w:rPr>
          <w:rFonts w:cstheme="minorHAnsi"/>
          <w:color w:val="2C307E"/>
        </w:rPr>
        <w:t xml:space="preserve">Dit gemiddelde is berekend over de groep </w:t>
      </w:r>
      <w:r w:rsidR="001C64A1">
        <w:rPr>
          <w:rFonts w:cstheme="minorHAnsi"/>
          <w:color w:val="2C307E"/>
        </w:rPr>
        <w:t>EV-rijders</w:t>
      </w:r>
      <w:r w:rsidRPr="002D79F9">
        <w:rPr>
          <w:rFonts w:cstheme="minorHAnsi"/>
          <w:color w:val="2C307E"/>
        </w:rPr>
        <w:t xml:space="preserve"> die aangeven te betalen op het werk </w:t>
      </w:r>
      <w:r w:rsidR="00A64143">
        <w:rPr>
          <w:rFonts w:cstheme="minorHAnsi"/>
          <w:color w:val="2C307E"/>
        </w:rPr>
        <w:t>é</w:t>
      </w:r>
      <w:r w:rsidRPr="002D79F9">
        <w:rPr>
          <w:rFonts w:cstheme="minorHAnsi"/>
          <w:color w:val="2C307E"/>
        </w:rPr>
        <w:t xml:space="preserve">n de laadprijs op het werk te weten. </w:t>
      </w:r>
      <w:r w:rsidR="00644A3F" w:rsidRPr="002D79F9">
        <w:rPr>
          <w:rFonts w:cstheme="minorHAnsi"/>
          <w:color w:val="2C307E"/>
        </w:rPr>
        <w:t>De prijzen variëren tussen €0,08 en €0,80 per kWh.</w:t>
      </w:r>
    </w:p>
    <w:p w14:paraId="1E799BE1" w14:textId="41C84378" w:rsidR="00F0621F" w:rsidRPr="002D79F9" w:rsidRDefault="003F31A6" w:rsidP="001368B1">
      <w:pPr>
        <w:spacing w:after="0" w:line="276" w:lineRule="auto"/>
        <w:jc w:val="both"/>
        <w:rPr>
          <w:rFonts w:cstheme="minorHAnsi"/>
          <w:color w:val="2C307E"/>
        </w:rPr>
      </w:pPr>
      <w:r w:rsidRPr="002D79F9">
        <w:rPr>
          <w:rFonts w:cstheme="minorHAnsi"/>
          <w:color w:val="2C307E"/>
        </w:rPr>
        <w:t xml:space="preserve">De laadprijs </w:t>
      </w:r>
      <w:r w:rsidR="00712417" w:rsidRPr="002D79F9">
        <w:rPr>
          <w:rFonts w:cstheme="minorHAnsi"/>
          <w:color w:val="2C307E"/>
        </w:rPr>
        <w:t xml:space="preserve">is </w:t>
      </w:r>
      <w:r w:rsidR="00806BF1" w:rsidRPr="002D79F9">
        <w:rPr>
          <w:rFonts w:cstheme="minorHAnsi"/>
          <w:color w:val="2C307E"/>
        </w:rPr>
        <w:t>2</w:t>
      </w:r>
      <w:r w:rsidR="002D79F9" w:rsidRPr="002D79F9">
        <w:rPr>
          <w:rFonts w:cstheme="minorHAnsi"/>
          <w:color w:val="2C307E"/>
        </w:rPr>
        <w:t>,2</w:t>
      </w:r>
      <w:r w:rsidR="00806BF1" w:rsidRPr="002D79F9">
        <w:rPr>
          <w:rFonts w:cstheme="minorHAnsi"/>
          <w:color w:val="2C307E"/>
        </w:rPr>
        <w:t xml:space="preserve"> cent hoger dan vorig jaar (36,6 cent/kWh) en </w:t>
      </w:r>
      <w:r w:rsidR="002D79F9" w:rsidRPr="002D79F9">
        <w:rPr>
          <w:rFonts w:cstheme="minorHAnsi"/>
          <w:color w:val="2C307E"/>
        </w:rPr>
        <w:t>1,4</w:t>
      </w:r>
      <w:r w:rsidR="00712417" w:rsidRPr="002D79F9">
        <w:rPr>
          <w:rFonts w:cstheme="minorHAnsi"/>
          <w:color w:val="2C307E"/>
        </w:rPr>
        <w:t xml:space="preserve"> cent </w:t>
      </w:r>
      <w:r w:rsidRPr="002D79F9">
        <w:rPr>
          <w:rFonts w:cstheme="minorHAnsi"/>
          <w:color w:val="2C307E"/>
        </w:rPr>
        <w:t>lager</w:t>
      </w:r>
      <w:r w:rsidR="00712417" w:rsidRPr="002D79F9">
        <w:rPr>
          <w:rFonts w:cstheme="minorHAnsi"/>
          <w:color w:val="2C307E"/>
        </w:rPr>
        <w:t xml:space="preserve"> dan </w:t>
      </w:r>
      <w:r w:rsidR="00C176BD" w:rsidRPr="002D79F9">
        <w:rPr>
          <w:rFonts w:cstheme="minorHAnsi"/>
          <w:color w:val="2C307E"/>
        </w:rPr>
        <w:t>2023</w:t>
      </w:r>
      <w:r w:rsidR="00712417" w:rsidRPr="002D79F9">
        <w:rPr>
          <w:rFonts w:cstheme="minorHAnsi"/>
          <w:color w:val="2C307E"/>
        </w:rPr>
        <w:t xml:space="preserve"> (40,2 cent in 2023).</w:t>
      </w:r>
      <w:r w:rsidR="003E6BD8" w:rsidRPr="002D79F9">
        <w:rPr>
          <w:rFonts w:cstheme="minorHAnsi"/>
          <w:color w:val="2C307E"/>
        </w:rPr>
        <w:t xml:space="preserve"> </w:t>
      </w:r>
    </w:p>
    <w:p w14:paraId="1A5023C4" w14:textId="69A30103" w:rsidR="00712417" w:rsidRPr="00057017" w:rsidRDefault="00644A3F" w:rsidP="00712417">
      <w:pPr>
        <w:spacing w:after="0" w:line="240" w:lineRule="auto"/>
        <w:jc w:val="both"/>
        <w:rPr>
          <w:rFonts w:cstheme="minorHAnsi"/>
          <w:color w:val="2C307E"/>
          <w:highlight w:val="yellow"/>
        </w:rPr>
      </w:pPr>
      <w:r w:rsidRPr="00E00CB2">
        <w:rPr>
          <w:color w:val="2C307E"/>
        </w:rPr>
        <w:t xml:space="preserve">Tellen we ook alle ‘gratis’ laders mee, </w:t>
      </w:r>
      <w:r w:rsidR="00392018">
        <w:rPr>
          <w:color w:val="2C307E"/>
        </w:rPr>
        <w:t xml:space="preserve">dan </w:t>
      </w:r>
      <w:r w:rsidRPr="00E00CB2">
        <w:rPr>
          <w:color w:val="2C307E"/>
        </w:rPr>
        <w:t xml:space="preserve">is de gemiddelde prijs voor laden op het wek </w:t>
      </w:r>
      <w:r>
        <w:rPr>
          <w:color w:val="2C307E"/>
        </w:rPr>
        <w:t>14,8</w:t>
      </w:r>
      <w:r w:rsidRPr="00E00CB2">
        <w:rPr>
          <w:color w:val="2C307E"/>
        </w:rPr>
        <w:t xml:space="preserve"> ct per kWh.</w:t>
      </w:r>
    </w:p>
    <w:p w14:paraId="76499CC9" w14:textId="77777777" w:rsidR="00E25D90" w:rsidRDefault="00E25D90" w:rsidP="00B826F0">
      <w:pPr>
        <w:jc w:val="both"/>
        <w:rPr>
          <w:rFonts w:cstheme="minorHAnsi"/>
          <w:color w:val="2C307E"/>
        </w:rPr>
      </w:pPr>
      <w:r>
        <w:rPr>
          <w:rFonts w:cstheme="minorHAnsi"/>
          <w:color w:val="2C307E"/>
        </w:rPr>
        <w:br w:type="page"/>
      </w:r>
    </w:p>
    <w:p w14:paraId="0354ABAB" w14:textId="07DF2DD7" w:rsidR="007375DD" w:rsidRPr="003F06F8" w:rsidRDefault="00964DC3" w:rsidP="00964DC3">
      <w:pPr>
        <w:pStyle w:val="Kop2"/>
        <w:jc w:val="both"/>
      </w:pPr>
      <w:bookmarkStart w:id="93" w:name="_Toc209710058"/>
      <w:r>
        <w:lastRenderedPageBreak/>
        <w:t>3.</w:t>
      </w:r>
      <w:r w:rsidR="00EC003F">
        <w:t>5</w:t>
      </w:r>
      <w:r>
        <w:t xml:space="preserve"> </w:t>
      </w:r>
      <w:r w:rsidR="007375DD">
        <w:t>Slim laden</w:t>
      </w:r>
      <w:bookmarkEnd w:id="93"/>
    </w:p>
    <w:p w14:paraId="624A8268" w14:textId="42390B29" w:rsidR="007375DD" w:rsidRDefault="007375DD" w:rsidP="00390A98">
      <w:pPr>
        <w:pStyle w:val="ROstandaard"/>
        <w:jc w:val="both"/>
        <w:rPr>
          <w:rFonts w:asciiTheme="minorHAnsi" w:hAnsiTheme="minorHAnsi"/>
          <w:sz w:val="22"/>
          <w:szCs w:val="22"/>
          <w:lang w:val="nl-NL"/>
        </w:rPr>
      </w:pPr>
      <w:r w:rsidRPr="00E67370">
        <w:rPr>
          <w:rFonts w:asciiTheme="minorHAnsi" w:hAnsiTheme="minorHAnsi"/>
          <w:sz w:val="22"/>
          <w:szCs w:val="22"/>
          <w:lang w:val="nl-NL"/>
        </w:rPr>
        <w:t xml:space="preserve">Slim laden betekent het geautomatiseerd aansturen van een laadsessie door de laadsessie aan te passen in de tijd (moment van laden), vermogen (laadsnelheid) en/of stroomrichting (opladen of ontladen). </w:t>
      </w:r>
      <w:r w:rsidR="00390A98">
        <w:rPr>
          <w:rFonts w:asciiTheme="minorHAnsi" w:hAnsiTheme="minorHAnsi"/>
          <w:sz w:val="22"/>
          <w:szCs w:val="22"/>
          <w:lang w:val="nl-NL"/>
        </w:rPr>
        <w:t xml:space="preserve">In dit onderzoek onderscheiden we verschillende soorten slim laden. </w:t>
      </w:r>
    </w:p>
    <w:p w14:paraId="61F9A276" w14:textId="77777777" w:rsidR="00390A98" w:rsidRPr="00E67370" w:rsidRDefault="00390A98" w:rsidP="00390A98">
      <w:pPr>
        <w:pStyle w:val="ROstandaard"/>
        <w:jc w:val="both"/>
        <w:rPr>
          <w:rFonts w:asciiTheme="minorHAnsi" w:hAnsiTheme="minorHAnsi"/>
          <w:sz w:val="22"/>
          <w:szCs w:val="22"/>
          <w:lang w:val="nl-NL"/>
        </w:rPr>
      </w:pPr>
    </w:p>
    <w:p w14:paraId="75C065E2" w14:textId="10776BC3" w:rsidR="00390A98" w:rsidRPr="003F06F8" w:rsidRDefault="00390A98" w:rsidP="00390A98">
      <w:pPr>
        <w:spacing w:after="0" w:line="276" w:lineRule="auto"/>
        <w:jc w:val="both"/>
        <w:rPr>
          <w:rFonts w:cstheme="minorHAnsi"/>
          <w:color w:val="2C307E"/>
        </w:rPr>
      </w:pPr>
      <w:bookmarkStart w:id="94" w:name="_Toc176537581"/>
      <w:r w:rsidRPr="003F06F8">
        <w:rPr>
          <w:rFonts w:cstheme="minorHAnsi"/>
          <w:b/>
          <w:bCs/>
          <w:color w:val="2C307E"/>
        </w:rPr>
        <w:t>Laden op duurzame opwek (zon en wind)</w:t>
      </w:r>
      <w:r w:rsidRPr="003F06F8">
        <w:rPr>
          <w:rFonts w:cstheme="minorHAnsi"/>
          <w:b/>
          <w:bCs/>
          <w:color w:val="2C307E"/>
        </w:rPr>
        <w:br/>
      </w:r>
      <w:r w:rsidR="00D24E2E" w:rsidRPr="006D7187">
        <w:rPr>
          <w:rFonts w:cstheme="minorHAnsi"/>
          <w:color w:val="2C307E"/>
        </w:rPr>
        <w:t>Als het zonnig is, of hard waait, wordt veel duurzame elektriciteit opgewekt in zonne- en windparken en door zonnepanelen bij mensen thuis. De laadsessie wordt hierop afgestemd zodat er zoveel mogelijk op duurzame elektriciteit wordt geladen.</w:t>
      </w:r>
    </w:p>
    <w:p w14:paraId="711194FF" w14:textId="77777777" w:rsidR="00390A98" w:rsidRPr="003F06F8" w:rsidRDefault="00390A98" w:rsidP="00390A98">
      <w:pPr>
        <w:spacing w:after="0" w:line="276" w:lineRule="auto"/>
        <w:jc w:val="both"/>
        <w:rPr>
          <w:rFonts w:cstheme="minorHAnsi"/>
          <w:b/>
          <w:bCs/>
          <w:color w:val="2C307E"/>
        </w:rPr>
      </w:pPr>
    </w:p>
    <w:p w14:paraId="4A8DEB41" w14:textId="7F94424D" w:rsidR="00390A98" w:rsidRPr="008B406B" w:rsidRDefault="00390A98" w:rsidP="00390A98">
      <w:pPr>
        <w:spacing w:after="0" w:line="276" w:lineRule="auto"/>
        <w:jc w:val="both"/>
        <w:rPr>
          <w:b/>
          <w:color w:val="2C307E"/>
        </w:rPr>
      </w:pPr>
      <w:r w:rsidRPr="003F06F8">
        <w:rPr>
          <w:b/>
          <w:color w:val="2C307E"/>
        </w:rPr>
        <w:t>Laden op basis van dynamische stroomtarieven</w:t>
      </w:r>
      <w:r w:rsidRPr="003F06F8">
        <w:br/>
      </w:r>
      <w:r w:rsidR="00D24E2E" w:rsidRPr="006D7187">
        <w:rPr>
          <w:color w:val="2C307E"/>
        </w:rPr>
        <w:t>Dynamische stroomtarieven wisselen elk uur, op basis van de vraag- en het aanbod van elektriciteit</w:t>
      </w:r>
      <w:r w:rsidR="00D24E2E">
        <w:rPr>
          <w:color w:val="2C307E"/>
        </w:rPr>
        <w:t>.</w:t>
      </w:r>
      <w:r w:rsidR="00D24E2E" w:rsidRPr="006D7187">
        <w:rPr>
          <w:rFonts w:ascii="Arial" w:hAnsi="Arial" w:cs="Arial"/>
        </w:rPr>
        <w:t xml:space="preserve"> </w:t>
      </w:r>
      <w:r w:rsidR="00D24E2E" w:rsidRPr="006D7187">
        <w:rPr>
          <w:color w:val="2C307E"/>
        </w:rPr>
        <w:t>Op momenten dat er veel aanbod van energie is, zijn de prijzen lager. De laadsessie wordt hierop afgestemd: er wordt grotendeels geladen bij lage tarieven en minder/niet geladen bij hoge tarieven.</w:t>
      </w:r>
      <w:r w:rsidRPr="003F06F8">
        <w:br/>
      </w:r>
      <w:r w:rsidRPr="003F06F8">
        <w:br/>
      </w:r>
      <w:r w:rsidRPr="003F06F8">
        <w:rPr>
          <w:rFonts w:cstheme="minorHAnsi"/>
          <w:b/>
          <w:bCs/>
          <w:color w:val="2C307E"/>
        </w:rPr>
        <w:t xml:space="preserve">Laden op basis van netcapaciteit </w:t>
      </w:r>
      <w:r w:rsidRPr="003F06F8">
        <w:rPr>
          <w:rFonts w:cstheme="minorHAnsi"/>
          <w:b/>
          <w:bCs/>
          <w:color w:val="2C307E"/>
        </w:rPr>
        <w:br/>
      </w:r>
      <w:r w:rsidR="00D24E2E" w:rsidRPr="006D7187">
        <w:rPr>
          <w:rFonts w:cstheme="minorHAnsi"/>
          <w:color w:val="2C307E"/>
        </w:rPr>
        <w:t>De laadsnelheid wordt bepaald op basis van de capaciteit van het netwerk. Je krijgt minder laadsnelheid op momenten dat het druk is op het stroomnet. Als de capaciteit op het net in orde is, wordt het normale laadvermogen gehanteerd.</w:t>
      </w:r>
    </w:p>
    <w:p w14:paraId="4186F6C1" w14:textId="77777777" w:rsidR="00390A98" w:rsidRPr="003F06F8" w:rsidRDefault="00390A98" w:rsidP="00390A98">
      <w:pPr>
        <w:spacing w:after="0" w:line="276" w:lineRule="auto"/>
        <w:jc w:val="both"/>
        <w:rPr>
          <w:rFonts w:cstheme="minorHAnsi"/>
          <w:b/>
          <w:bCs/>
          <w:color w:val="2C307E"/>
        </w:rPr>
      </w:pPr>
    </w:p>
    <w:p w14:paraId="3E752A23" w14:textId="4B83B411" w:rsidR="006D6D85" w:rsidRDefault="00390A98" w:rsidP="00D24E2E">
      <w:pPr>
        <w:spacing w:after="0" w:line="276" w:lineRule="auto"/>
        <w:jc w:val="both"/>
      </w:pPr>
      <w:r w:rsidRPr="003F06F8">
        <w:rPr>
          <w:rFonts w:cstheme="minorHAnsi"/>
          <w:b/>
          <w:bCs/>
          <w:color w:val="2C307E"/>
        </w:rPr>
        <w:t xml:space="preserve">Laden en ontladen: bidirectioneel laden </w:t>
      </w:r>
      <w:r w:rsidRPr="003F06F8">
        <w:rPr>
          <w:rFonts w:cstheme="minorHAnsi"/>
          <w:b/>
          <w:bCs/>
          <w:color w:val="2C307E"/>
        </w:rPr>
        <w:br/>
      </w:r>
      <w:r w:rsidR="00D24E2E" w:rsidRPr="006D7187">
        <w:rPr>
          <w:rFonts w:cstheme="minorHAnsi"/>
          <w:color w:val="2C307E"/>
        </w:rPr>
        <w:t>Door nieuwe techniek is het mogelijk om</w:t>
      </w:r>
      <w:r w:rsidR="00D24E2E">
        <w:rPr>
          <w:rFonts w:cstheme="minorHAnsi"/>
          <w:color w:val="2C307E"/>
        </w:rPr>
        <w:t xml:space="preserve"> de opgeslagen</w:t>
      </w:r>
      <w:r w:rsidR="00D24E2E" w:rsidRPr="006D7187">
        <w:rPr>
          <w:rFonts w:cstheme="minorHAnsi"/>
          <w:color w:val="2C307E"/>
        </w:rPr>
        <w:t xml:space="preserve"> elektriciteit in </w:t>
      </w:r>
      <w:r w:rsidR="00D24E2E">
        <w:rPr>
          <w:rFonts w:cstheme="minorHAnsi"/>
          <w:color w:val="2C307E"/>
        </w:rPr>
        <w:t>EV’s</w:t>
      </w:r>
      <w:r w:rsidR="00D24E2E" w:rsidRPr="006D7187">
        <w:rPr>
          <w:rFonts w:cstheme="minorHAnsi"/>
          <w:color w:val="2C307E"/>
        </w:rPr>
        <w:t xml:space="preserve"> op een ander moment te gebruiken. Op deze manier wordt stroom uit de </w:t>
      </w:r>
      <w:r w:rsidR="00D24E2E">
        <w:rPr>
          <w:rFonts w:cstheme="minorHAnsi"/>
          <w:color w:val="2C307E"/>
        </w:rPr>
        <w:t>EV</w:t>
      </w:r>
      <w:r w:rsidR="00D24E2E" w:rsidRPr="006D7187">
        <w:rPr>
          <w:rFonts w:cstheme="minorHAnsi"/>
          <w:color w:val="2C307E"/>
        </w:rPr>
        <w:t xml:space="preserve">-batterij gebruikt voor thuis of om terug te verkopen aan het stroomnet. Zo kan slim gebruik gemaakt worden van momenten van lagere of hogere stroomtarieven. Het kan huishoudens ook meer zelfvoorzienend maken in hun </w:t>
      </w:r>
      <w:r w:rsidR="00D24E2E" w:rsidRPr="006D7187">
        <w:rPr>
          <w:rFonts w:cstheme="minorHAnsi"/>
          <w:color w:val="2C307E"/>
        </w:rPr>
        <w:t>stroomgebruik. Dit wordt 'bidirectioneel laden’ genoemd. </w:t>
      </w:r>
    </w:p>
    <w:p w14:paraId="2C4084F2" w14:textId="77777777" w:rsidR="00D24E2E" w:rsidRDefault="00D24E2E" w:rsidP="007375DD">
      <w:pPr>
        <w:pStyle w:val="Kop2"/>
        <w:jc w:val="both"/>
      </w:pPr>
    </w:p>
    <w:p w14:paraId="4F0DECCC" w14:textId="742AE282" w:rsidR="007375DD" w:rsidRDefault="006D6D85" w:rsidP="007375DD">
      <w:pPr>
        <w:pStyle w:val="Kop2"/>
        <w:jc w:val="both"/>
      </w:pPr>
      <w:bookmarkStart w:id="95" w:name="_Toc209702006"/>
      <w:bookmarkStart w:id="96" w:name="_Toc209702099"/>
      <w:bookmarkStart w:id="97" w:name="_Toc209702584"/>
      <w:bookmarkStart w:id="98" w:name="_Toc209710059"/>
      <w:r>
        <w:t>Kennis en gebruik van slim laden</w:t>
      </w:r>
      <w:bookmarkEnd w:id="95"/>
      <w:bookmarkEnd w:id="96"/>
      <w:bookmarkEnd w:id="97"/>
      <w:bookmarkEnd w:id="98"/>
    </w:p>
    <w:p w14:paraId="4A0EA765" w14:textId="0AE4B99C" w:rsidR="00390A98" w:rsidRPr="00390A98" w:rsidRDefault="00390A98" w:rsidP="007375DD">
      <w:pPr>
        <w:pStyle w:val="Geenafstand"/>
        <w:spacing w:line="276" w:lineRule="auto"/>
        <w:jc w:val="both"/>
        <w:rPr>
          <w:b/>
          <w:bCs/>
          <w:color w:val="2C307E"/>
        </w:rPr>
      </w:pPr>
      <w:bookmarkStart w:id="99" w:name="_Toc176537582"/>
      <w:bookmarkEnd w:id="94"/>
      <w:r w:rsidRPr="00390A98">
        <w:rPr>
          <w:b/>
          <w:bCs/>
          <w:color w:val="2C307E"/>
        </w:rPr>
        <w:t>De bekendheid van slim laden neemt toe. [N=3.201]</w:t>
      </w:r>
    </w:p>
    <w:p w14:paraId="7FD9EBE5" w14:textId="0D14A521" w:rsidR="007375DD" w:rsidRPr="003F06F8" w:rsidRDefault="007375DD" w:rsidP="007375DD">
      <w:pPr>
        <w:pStyle w:val="Geenafstand"/>
        <w:spacing w:line="276" w:lineRule="auto"/>
        <w:jc w:val="both"/>
        <w:rPr>
          <w:color w:val="2C307E"/>
        </w:rPr>
      </w:pPr>
      <w:r w:rsidRPr="003F06F8">
        <w:rPr>
          <w:color w:val="2C307E"/>
        </w:rPr>
        <w:t xml:space="preserve">In vergelijking met </w:t>
      </w:r>
      <w:r w:rsidRPr="00390A98">
        <w:rPr>
          <w:color w:val="2C307E"/>
        </w:rPr>
        <w:t>vorige ja</w:t>
      </w:r>
      <w:r w:rsidRPr="003F06F8">
        <w:rPr>
          <w:color w:val="2C307E"/>
        </w:rPr>
        <w:t xml:space="preserve">ren </w:t>
      </w:r>
      <w:bookmarkEnd w:id="99"/>
      <w:r w:rsidRPr="003F06F8">
        <w:rPr>
          <w:color w:val="2C307E"/>
        </w:rPr>
        <w:t xml:space="preserve">is een duidelijke </w:t>
      </w:r>
      <w:r w:rsidR="00390A98">
        <w:rPr>
          <w:color w:val="2C307E"/>
        </w:rPr>
        <w:t>stijgende lijn</w:t>
      </w:r>
      <w:r w:rsidRPr="003F06F8">
        <w:rPr>
          <w:color w:val="2C307E"/>
        </w:rPr>
        <w:t xml:space="preserve"> te zien</w:t>
      </w:r>
      <w:r w:rsidR="00390A98">
        <w:rPr>
          <w:color w:val="2C307E"/>
        </w:rPr>
        <w:t xml:space="preserve"> </w:t>
      </w:r>
      <w:r w:rsidR="00390A98" w:rsidRPr="00390A98">
        <w:rPr>
          <w:color w:val="2C307E"/>
        </w:rPr>
        <w:t>in de kennis over slim laden</w:t>
      </w:r>
      <w:r w:rsidRPr="00390A98">
        <w:rPr>
          <w:color w:val="2C307E"/>
        </w:rPr>
        <w:t xml:space="preserve">. </w:t>
      </w:r>
      <w:r w:rsidR="00390A98">
        <w:rPr>
          <w:color w:val="2C307E"/>
        </w:rPr>
        <w:t>Steeds meer EV-rijders zijn bekend met</w:t>
      </w:r>
      <w:r w:rsidRPr="00390A98">
        <w:rPr>
          <w:color w:val="2C307E"/>
        </w:rPr>
        <w:t xml:space="preserve"> laden op basis van</w:t>
      </w:r>
      <w:r w:rsidRPr="003F06F8">
        <w:rPr>
          <w:color w:val="2C307E"/>
        </w:rPr>
        <w:t xml:space="preserve"> dynamische stroomtarieven Een stijging is </w:t>
      </w:r>
      <w:r w:rsidR="00390A98">
        <w:rPr>
          <w:color w:val="2C307E"/>
        </w:rPr>
        <w:t xml:space="preserve">ook </w:t>
      </w:r>
      <w:r w:rsidRPr="003F06F8">
        <w:rPr>
          <w:color w:val="2C307E"/>
        </w:rPr>
        <w:t>te zien bij laden op basis van netcapaciteit en bidirectionee</w:t>
      </w:r>
      <w:r>
        <w:rPr>
          <w:color w:val="2C307E"/>
        </w:rPr>
        <w:t>l</w:t>
      </w:r>
      <w:r w:rsidR="00390A98">
        <w:rPr>
          <w:color w:val="2C307E"/>
        </w:rPr>
        <w:t xml:space="preserve"> laden. Laden op basis van duurzame opwek is iets minder bekend geworden. Een mogelijke verklaring hiervoor is </w:t>
      </w:r>
      <w:r w:rsidR="00C9043C">
        <w:rPr>
          <w:color w:val="2C307E"/>
        </w:rPr>
        <w:t xml:space="preserve">dat </w:t>
      </w:r>
      <w:r w:rsidR="00390A98">
        <w:rPr>
          <w:color w:val="2C307E"/>
        </w:rPr>
        <w:t>dit vaker onbewust wordt toegepast.</w:t>
      </w:r>
      <w:r w:rsidRPr="003F06F8">
        <w:rPr>
          <w:color w:val="2C307E"/>
        </w:rPr>
        <w:t xml:space="preserve"> </w:t>
      </w:r>
      <w:r w:rsidRPr="0A656045">
        <w:rPr>
          <w:color w:val="2C307E"/>
        </w:rPr>
        <w:t>Laden op basis van dynamische stroomtarieven is nauw gerelateerd aan de opwek van duurzame energie</w:t>
      </w:r>
      <w:r w:rsidR="0076024B">
        <w:rPr>
          <w:color w:val="2C307E"/>
        </w:rPr>
        <w:t>. U</w:t>
      </w:r>
      <w:r w:rsidR="00390A98">
        <w:rPr>
          <w:color w:val="2C307E"/>
        </w:rPr>
        <w:t>it het vorige hoofdstuk blijkt dat een groot deel van de EV-rijders zonnepanelen heeft en deze gebruikt om de elektrische auto mee op te laden</w:t>
      </w:r>
      <w:r w:rsidR="0076024B">
        <w:rPr>
          <w:color w:val="2C307E"/>
        </w:rPr>
        <w:t xml:space="preserve">: duurzame opwek dus. </w:t>
      </w:r>
    </w:p>
    <w:p w14:paraId="663BBC28" w14:textId="33D318D1" w:rsidR="007375DD" w:rsidRPr="003F06F8" w:rsidRDefault="00390A98" w:rsidP="007375DD">
      <w:pPr>
        <w:pStyle w:val="Geenafstand"/>
        <w:spacing w:line="276" w:lineRule="auto"/>
        <w:jc w:val="both"/>
        <w:rPr>
          <w:rFonts w:cstheme="minorHAnsi"/>
          <w:b/>
          <w:bCs/>
          <w:color w:val="2C307E"/>
        </w:rPr>
      </w:pPr>
      <w:r w:rsidRPr="003F06F8">
        <w:rPr>
          <w:noProof/>
        </w:rPr>
        <w:drawing>
          <wp:inline distT="0" distB="0" distL="0" distR="0" wp14:anchorId="67D9F2A1" wp14:editId="45196C38">
            <wp:extent cx="2655570" cy="3019425"/>
            <wp:effectExtent l="0" t="0" r="0" b="0"/>
            <wp:docPr id="1819345064" name="Chart 1">
              <a:extLst xmlns:a="http://schemas.openxmlformats.org/drawingml/2006/main">
                <a:ext uri="{FF2B5EF4-FFF2-40B4-BE49-F238E27FC236}">
                  <a16:creationId xmlns:a16="http://schemas.microsoft.com/office/drawing/2014/main" id="{E4A986B3-EA4C-E931-7754-3511C92A4B0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4"/>
              </a:graphicData>
            </a:graphic>
          </wp:inline>
        </w:drawing>
      </w:r>
    </w:p>
    <w:p w14:paraId="1061DD9F" w14:textId="216DF62B" w:rsidR="007375DD" w:rsidRPr="003F06F8" w:rsidRDefault="007375DD" w:rsidP="007375DD">
      <w:pPr>
        <w:pStyle w:val="Geenafstand"/>
        <w:spacing w:line="276" w:lineRule="auto"/>
        <w:jc w:val="both"/>
        <w:rPr>
          <w:b/>
          <w:bCs/>
          <w:color w:val="2C307E"/>
        </w:rPr>
      </w:pPr>
      <w:r w:rsidRPr="003F06F8">
        <w:rPr>
          <w:b/>
          <w:bCs/>
          <w:color w:val="2C307E"/>
        </w:rPr>
        <w:t>De elektrische rijder van het eerste uur is meer bekend met slim laden. [N=3.201]</w:t>
      </w:r>
    </w:p>
    <w:p w14:paraId="157FDA35" w14:textId="379195BF" w:rsidR="007375DD" w:rsidRDefault="00EE4C6B" w:rsidP="007375DD">
      <w:pPr>
        <w:pStyle w:val="Geenafstand"/>
        <w:spacing w:line="276" w:lineRule="auto"/>
        <w:jc w:val="both"/>
        <w:rPr>
          <w:color w:val="2C307E"/>
        </w:rPr>
      </w:pPr>
      <w:r>
        <w:rPr>
          <w:color w:val="2C307E"/>
        </w:rPr>
        <w:t xml:space="preserve">Hoe langer men </w:t>
      </w:r>
      <w:r w:rsidR="007375DD" w:rsidRPr="6D508896">
        <w:rPr>
          <w:color w:val="2C307E"/>
        </w:rPr>
        <w:t>elektrisch rijdt,</w:t>
      </w:r>
      <w:r>
        <w:rPr>
          <w:color w:val="2C307E"/>
        </w:rPr>
        <w:t xml:space="preserve"> hoe meer kennis over slim laden men heeft. </w:t>
      </w:r>
      <w:r w:rsidR="007375DD" w:rsidRPr="6D508896">
        <w:rPr>
          <w:color w:val="2C307E"/>
        </w:rPr>
        <w:t xml:space="preserve"> </w:t>
      </w:r>
      <w:r>
        <w:rPr>
          <w:color w:val="2C307E"/>
        </w:rPr>
        <w:t xml:space="preserve">Dit is het sterkst te zien bij laden op duurzame opwek en bidirectioneel laden.  </w:t>
      </w:r>
    </w:p>
    <w:p w14:paraId="1A90B6B1" w14:textId="77777777" w:rsidR="00EE4C6B" w:rsidRPr="003F06F8" w:rsidRDefault="00EE4C6B" w:rsidP="007375DD">
      <w:pPr>
        <w:pStyle w:val="Geenafstand"/>
        <w:spacing w:line="276" w:lineRule="auto"/>
        <w:jc w:val="both"/>
        <w:rPr>
          <w:color w:val="2C307E"/>
        </w:rPr>
      </w:pPr>
    </w:p>
    <w:p w14:paraId="64E2D4A1" w14:textId="4FEA3C3F" w:rsidR="007375DD" w:rsidRPr="003F06F8" w:rsidRDefault="007375DD" w:rsidP="007375DD">
      <w:pPr>
        <w:pStyle w:val="Geenafstand"/>
        <w:spacing w:line="276" w:lineRule="auto"/>
        <w:jc w:val="both"/>
        <w:rPr>
          <w:color w:val="2C307E"/>
        </w:rPr>
      </w:pPr>
      <w:r w:rsidRPr="17601067">
        <w:rPr>
          <w:color w:val="2C307E"/>
        </w:rPr>
        <w:lastRenderedPageBreak/>
        <w:t xml:space="preserve">Ten opzichte van 2024 </w:t>
      </w:r>
      <w:r w:rsidR="00EE4C6B">
        <w:rPr>
          <w:color w:val="2C307E"/>
        </w:rPr>
        <w:t>zijn</w:t>
      </w:r>
      <w:r w:rsidRPr="17601067">
        <w:rPr>
          <w:color w:val="2C307E"/>
        </w:rPr>
        <w:t xml:space="preserve"> zowel laden op basis van dynamische stroomtarieven als laden op basis van netcapaciteit </w:t>
      </w:r>
      <w:r w:rsidR="00EE4C6B">
        <w:rPr>
          <w:color w:val="2C307E"/>
        </w:rPr>
        <w:t>bekender geworden</w:t>
      </w:r>
      <w:r w:rsidRPr="17601067">
        <w:rPr>
          <w:color w:val="2C307E"/>
        </w:rPr>
        <w:t xml:space="preserve">. </w:t>
      </w:r>
      <w:r w:rsidR="00EE4C6B">
        <w:rPr>
          <w:color w:val="2C307E"/>
        </w:rPr>
        <w:t xml:space="preserve">Een mogelijke verklaring is </w:t>
      </w:r>
      <w:r w:rsidRPr="17601067">
        <w:rPr>
          <w:color w:val="2C307E"/>
        </w:rPr>
        <w:t>de toenemende populariteit van dynamische energiecontracten</w:t>
      </w:r>
      <w:r w:rsidR="00EE4C6B">
        <w:rPr>
          <w:rStyle w:val="Voetnootmarkering"/>
          <w:color w:val="2C307E"/>
        </w:rPr>
        <w:footnoteReference w:id="10"/>
      </w:r>
      <w:r w:rsidRPr="17601067">
        <w:rPr>
          <w:color w:val="2C307E"/>
        </w:rPr>
        <w:t>, de groeiende problematiek rondom netcongestie en de berichtgeving hierover.</w:t>
      </w:r>
    </w:p>
    <w:p w14:paraId="6D041939" w14:textId="77777777" w:rsidR="007375DD" w:rsidRPr="003F06F8" w:rsidRDefault="007375DD" w:rsidP="007375DD">
      <w:pPr>
        <w:pStyle w:val="Geenafstand"/>
        <w:spacing w:line="276" w:lineRule="auto"/>
        <w:jc w:val="both"/>
        <w:rPr>
          <w:b/>
          <w:bCs/>
          <w:color w:val="2C307E"/>
        </w:rPr>
      </w:pPr>
    </w:p>
    <w:p w14:paraId="6A25BFA6" w14:textId="77777777" w:rsidR="007375DD" w:rsidRPr="003F06F8" w:rsidRDefault="007375DD" w:rsidP="007375DD">
      <w:pPr>
        <w:pStyle w:val="Geenafstand"/>
        <w:spacing w:line="276" w:lineRule="auto"/>
        <w:jc w:val="both"/>
        <w:rPr>
          <w:b/>
          <w:bCs/>
          <w:color w:val="2C307E"/>
        </w:rPr>
      </w:pPr>
      <w:r w:rsidRPr="003F06F8">
        <w:rPr>
          <w:noProof/>
        </w:rPr>
        <w:drawing>
          <wp:inline distT="0" distB="0" distL="0" distR="0" wp14:anchorId="76A94273" wp14:editId="40C4DD7D">
            <wp:extent cx="3009900" cy="5158596"/>
            <wp:effectExtent l="0" t="0" r="0" b="0"/>
            <wp:docPr id="2126277613" name="Chart 1">
              <a:extLst xmlns:a="http://schemas.openxmlformats.org/drawingml/2006/main">
                <a:ext uri="{FF2B5EF4-FFF2-40B4-BE49-F238E27FC236}">
                  <a16:creationId xmlns:a16="http://schemas.microsoft.com/office/drawing/2014/main" id="{257D8F05-C37E-F4DE-A777-685894BDE89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5"/>
              </a:graphicData>
            </a:graphic>
          </wp:inline>
        </w:drawing>
      </w:r>
    </w:p>
    <w:p w14:paraId="18B678B3" w14:textId="24D80B23" w:rsidR="007375DD" w:rsidRPr="006D6D85" w:rsidRDefault="007375DD" w:rsidP="006D6D85">
      <w:pPr>
        <w:pStyle w:val="ROstandaard"/>
        <w:rPr>
          <w:rFonts w:asciiTheme="majorHAnsi" w:eastAsiaTheme="majorEastAsia" w:hAnsiTheme="majorHAnsi" w:cstheme="majorBidi"/>
          <w:color w:val="2F5496" w:themeColor="accent1" w:themeShade="BF"/>
          <w:sz w:val="26"/>
          <w:szCs w:val="26"/>
          <w:lang w:val="nl-NL"/>
        </w:rPr>
      </w:pPr>
      <w:bookmarkStart w:id="100" w:name="_Toc176537583"/>
      <w:r w:rsidRPr="006D6D85">
        <w:rPr>
          <w:rFonts w:asciiTheme="majorHAnsi" w:eastAsiaTheme="majorEastAsia" w:hAnsiTheme="majorHAnsi" w:cstheme="majorBidi"/>
          <w:color w:val="2F5496" w:themeColor="accent1" w:themeShade="BF"/>
          <w:sz w:val="26"/>
          <w:szCs w:val="26"/>
          <w:lang w:val="nl-NL"/>
        </w:rPr>
        <w:t>Welke vorm van slim laden gebruik je?</w:t>
      </w:r>
      <w:bookmarkEnd w:id="100"/>
    </w:p>
    <w:p w14:paraId="4713E5E6" w14:textId="101776DC" w:rsidR="001A46C8" w:rsidRDefault="001A46C8" w:rsidP="001A46C8">
      <w:pPr>
        <w:pStyle w:val="Geenafstand"/>
        <w:spacing w:line="276" w:lineRule="auto"/>
        <w:jc w:val="both"/>
        <w:rPr>
          <w:color w:val="2C307E"/>
        </w:rPr>
      </w:pPr>
      <w:r w:rsidRPr="0072254C">
        <w:rPr>
          <w:b/>
          <w:bCs/>
          <w:color w:val="2C307E"/>
        </w:rPr>
        <w:t>Er wordt meer slim geladen</w:t>
      </w:r>
      <w:r>
        <w:rPr>
          <w:b/>
          <w:bCs/>
          <w:color w:val="2C307E"/>
        </w:rPr>
        <w:t xml:space="preserve"> vergeleken met het </w:t>
      </w:r>
      <w:r w:rsidR="0076024B">
        <w:rPr>
          <w:b/>
          <w:bCs/>
          <w:color w:val="2C307E"/>
        </w:rPr>
        <w:t>L</w:t>
      </w:r>
      <w:r>
        <w:rPr>
          <w:b/>
          <w:bCs/>
          <w:color w:val="2C307E"/>
        </w:rPr>
        <w:t>aadonderzoek 2024.</w:t>
      </w:r>
    </w:p>
    <w:p w14:paraId="0670DBDC" w14:textId="77777777" w:rsidR="009010C0" w:rsidRDefault="001A46C8" w:rsidP="009010C0">
      <w:pPr>
        <w:pStyle w:val="Geenafstand"/>
        <w:spacing w:line="276" w:lineRule="auto"/>
        <w:jc w:val="both"/>
        <w:rPr>
          <w:color w:val="2C307E"/>
        </w:rPr>
      </w:pPr>
      <w:r>
        <w:rPr>
          <w:color w:val="2C307E"/>
        </w:rPr>
        <w:t>H</w:t>
      </w:r>
      <w:r w:rsidRPr="006D7187">
        <w:rPr>
          <w:color w:val="2C307E"/>
        </w:rPr>
        <w:t xml:space="preserve">et gebruik van laden op basis van dynamische energietarieven is zelfs verdubbeld. </w:t>
      </w:r>
      <w:r>
        <w:rPr>
          <w:color w:val="2C307E"/>
        </w:rPr>
        <w:t>Dit komt overeen met de stijging van het aantal afgesloten dynamische energiecontracten in Nederland</w:t>
      </w:r>
      <w:r>
        <w:rPr>
          <w:rStyle w:val="Voetnootmarkering"/>
          <w:color w:val="2C307E"/>
        </w:rPr>
        <w:footnoteReference w:id="11"/>
      </w:r>
      <w:r w:rsidRPr="17601067">
        <w:rPr>
          <w:color w:val="2C307E"/>
        </w:rPr>
        <w:t>.</w:t>
      </w:r>
    </w:p>
    <w:p w14:paraId="5DE04926" w14:textId="32AF3022" w:rsidR="001A46C8" w:rsidRPr="009010C0" w:rsidRDefault="0076024B" w:rsidP="009010C0">
      <w:pPr>
        <w:pStyle w:val="Geenafstand"/>
        <w:spacing w:line="276" w:lineRule="auto"/>
        <w:jc w:val="both"/>
        <w:rPr>
          <w:color w:val="2C307E"/>
        </w:rPr>
      </w:pPr>
      <w:r>
        <w:rPr>
          <w:b/>
          <w:bCs/>
          <w:color w:val="2C307E"/>
        </w:rPr>
        <w:t>Slim laden wordt het meest toegepast op het privé laadpunt thuis.</w:t>
      </w:r>
    </w:p>
    <w:p w14:paraId="7507B352" w14:textId="6C2EAAF2" w:rsidR="001A46C8" w:rsidRDefault="001A46C8" w:rsidP="001A46C8">
      <w:pPr>
        <w:jc w:val="both"/>
        <w:rPr>
          <w:color w:val="2C307E"/>
        </w:rPr>
      </w:pPr>
      <w:r>
        <w:rPr>
          <w:color w:val="2C307E"/>
        </w:rPr>
        <w:t xml:space="preserve">De volgende grafiek toont de toepassing van slim laden per locatie, afgezet tegen het totaal aantal respondenten per laadlocatie. </w:t>
      </w:r>
      <w:r w:rsidRPr="005D0813">
        <w:rPr>
          <w:color w:val="2C307E"/>
        </w:rPr>
        <w:t xml:space="preserve">Thuis slim laden voert duidelijk de boventoon, waarbij duurzame opwek en dynamische tarieven het meest populair </w:t>
      </w:r>
      <w:r w:rsidR="00C858F5">
        <w:rPr>
          <w:color w:val="2C307E"/>
        </w:rPr>
        <w:t>zijn</w:t>
      </w:r>
      <w:r w:rsidRPr="005D0813">
        <w:rPr>
          <w:color w:val="2C307E"/>
        </w:rPr>
        <w:t>, net als in 2024.</w:t>
      </w:r>
      <w:r>
        <w:rPr>
          <w:color w:val="2C307E"/>
        </w:rPr>
        <w:t xml:space="preserve"> </w:t>
      </w:r>
      <w:r w:rsidRPr="005D0813">
        <w:rPr>
          <w:color w:val="2C307E"/>
        </w:rPr>
        <w:t>Op het werk en in de openbare ruimte liggen de percentages lager, maar beide locaties laten groei zien</w:t>
      </w:r>
      <w:r>
        <w:rPr>
          <w:color w:val="2C307E"/>
        </w:rPr>
        <w:t xml:space="preserve"> ten opzichte van 2024</w:t>
      </w:r>
      <w:r w:rsidRPr="005D0813">
        <w:rPr>
          <w:color w:val="2C307E"/>
        </w:rPr>
        <w:t>. Vooral laden op basis van netcapaciteit en dynamische tarieven nemen sterk toe, in lijn met de toenemende aandacht voor netcongestie en prijsprikkels.</w:t>
      </w:r>
      <w:r>
        <w:rPr>
          <w:color w:val="2C307E"/>
        </w:rPr>
        <w:t xml:space="preserve"> Aannemelijk is dat op openbare laadpunten en werklaadpunten meer slim wordt geladen dan aangegeven, maar dat dit vaak op geautomatiseerde wijze plaatsvindt zonder dat de EV-rijder daar weet van heeft. </w:t>
      </w:r>
    </w:p>
    <w:p w14:paraId="00D372D9" w14:textId="156879FB" w:rsidR="001A46C8" w:rsidRDefault="001A46C8" w:rsidP="001A46C8">
      <w:pPr>
        <w:jc w:val="both"/>
        <w:rPr>
          <w:color w:val="2C307E"/>
        </w:rPr>
      </w:pPr>
      <w:r>
        <w:rPr>
          <w:color w:val="2C307E"/>
        </w:rPr>
        <w:t xml:space="preserve">Voor bidirectioneel laden kunnen we in dit onderzoek geen duidelijke conclusies trekken. Van de </w:t>
      </w:r>
      <w:r w:rsidR="00C858F5">
        <w:rPr>
          <w:color w:val="2C307E"/>
        </w:rPr>
        <w:t>EV-rijders</w:t>
      </w:r>
      <w:r>
        <w:rPr>
          <w:color w:val="2C307E"/>
        </w:rPr>
        <w:t xml:space="preserve"> die aangaven gebruik te maken van bidirectioneel laden, bleek niet in alle gevallen de opgege</w:t>
      </w:r>
      <w:r w:rsidR="00C858F5">
        <w:rPr>
          <w:color w:val="2C307E"/>
        </w:rPr>
        <w:t>v</w:t>
      </w:r>
      <w:r>
        <w:rPr>
          <w:color w:val="2C307E"/>
        </w:rPr>
        <w:t xml:space="preserve">en EV in staat om deze technologie toe te passen. Als we deze groep uitsluiten, blijft er een te kleine groep over om betrouwbare uitspraken over te doen. </w:t>
      </w:r>
      <w:r w:rsidR="002E6038">
        <w:rPr>
          <w:noProof/>
        </w:rPr>
        <w:drawing>
          <wp:inline distT="0" distB="0" distL="0" distR="0" wp14:anchorId="7A63A7F8" wp14:editId="39579C1A">
            <wp:extent cx="2655570" cy="3343275"/>
            <wp:effectExtent l="0" t="0" r="0" b="0"/>
            <wp:docPr id="399878810" name="Chart 1">
              <a:extLst xmlns:a="http://schemas.openxmlformats.org/drawingml/2006/main">
                <a:ext uri="{FF2B5EF4-FFF2-40B4-BE49-F238E27FC236}">
                  <a16:creationId xmlns:a16="http://schemas.microsoft.com/office/drawing/2014/main" id="{D8954934-A7DC-3037-5B2D-47D601ED1CF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6"/>
              </a:graphicData>
            </a:graphic>
          </wp:inline>
        </w:drawing>
      </w:r>
    </w:p>
    <w:p w14:paraId="4F50F609" w14:textId="3409B6C5" w:rsidR="001A46C8" w:rsidRPr="006D7187" w:rsidRDefault="001A46C8" w:rsidP="001A46C8">
      <w:pPr>
        <w:pStyle w:val="Kop2"/>
      </w:pPr>
      <w:bookmarkStart w:id="101" w:name="_Toc209710060"/>
      <w:r w:rsidRPr="006D7187">
        <w:lastRenderedPageBreak/>
        <w:t>Slim laden aan het thuislaadpunt</w:t>
      </w:r>
      <w:bookmarkEnd w:id="101"/>
    </w:p>
    <w:p w14:paraId="1F8AC166" w14:textId="26A641B7" w:rsidR="001A46C8" w:rsidRDefault="001A46C8" w:rsidP="001A46C8">
      <w:pPr>
        <w:pStyle w:val="Geenafstand"/>
        <w:spacing w:line="276" w:lineRule="auto"/>
        <w:jc w:val="both"/>
        <w:rPr>
          <w:b/>
          <w:bCs/>
          <w:color w:val="2C307E"/>
        </w:rPr>
      </w:pPr>
      <w:r w:rsidRPr="006D7187">
        <w:rPr>
          <w:b/>
          <w:bCs/>
          <w:color w:val="2C307E"/>
        </w:rPr>
        <w:t>4</w:t>
      </w:r>
      <w:r>
        <w:rPr>
          <w:b/>
          <w:bCs/>
          <w:color w:val="2C307E"/>
        </w:rPr>
        <w:t>1</w:t>
      </w:r>
      <w:r w:rsidRPr="006D7187">
        <w:rPr>
          <w:b/>
          <w:bCs/>
          <w:color w:val="2C307E"/>
        </w:rPr>
        <w:t xml:space="preserve">% van de </w:t>
      </w:r>
      <w:r w:rsidR="00CA0C86">
        <w:rPr>
          <w:b/>
          <w:bCs/>
          <w:color w:val="2C307E"/>
        </w:rPr>
        <w:t>thuisladers</w:t>
      </w:r>
      <w:r w:rsidRPr="006D7187">
        <w:rPr>
          <w:b/>
          <w:bCs/>
          <w:color w:val="2C307E"/>
        </w:rPr>
        <w:t xml:space="preserve"> laadt thuis slim op basis van dynamische stroomtarieven, en nog eens </w:t>
      </w:r>
      <w:r>
        <w:rPr>
          <w:b/>
          <w:bCs/>
          <w:color w:val="2C307E"/>
        </w:rPr>
        <w:t>32</w:t>
      </w:r>
      <w:r w:rsidRPr="006D7187">
        <w:rPr>
          <w:b/>
          <w:bCs/>
          <w:color w:val="2C307E"/>
        </w:rPr>
        <w:t xml:space="preserve">% geeft aan dit in de toekomst te willen gebruiken. </w:t>
      </w:r>
      <w:r>
        <w:rPr>
          <w:b/>
          <w:bCs/>
          <w:color w:val="2C307E"/>
        </w:rPr>
        <w:t>[N=2.597]</w:t>
      </w:r>
    </w:p>
    <w:p w14:paraId="1D23EEB2" w14:textId="5AD2C2E8" w:rsidR="0029189A" w:rsidRDefault="001A46C8" w:rsidP="00EE6879">
      <w:pPr>
        <w:pStyle w:val="Geenafstand"/>
        <w:spacing w:line="276" w:lineRule="auto"/>
        <w:jc w:val="both"/>
        <w:rPr>
          <w:color w:val="2C307E"/>
        </w:rPr>
      </w:pPr>
      <w:r w:rsidRPr="006D7187">
        <w:rPr>
          <w:color w:val="2C307E"/>
        </w:rPr>
        <w:t xml:space="preserve">Dit </w:t>
      </w:r>
      <w:r>
        <w:rPr>
          <w:color w:val="2C307E"/>
        </w:rPr>
        <w:t>is</w:t>
      </w:r>
      <w:r w:rsidRPr="006D7187">
        <w:rPr>
          <w:color w:val="2C307E"/>
        </w:rPr>
        <w:t xml:space="preserve"> een </w:t>
      </w:r>
      <w:r>
        <w:rPr>
          <w:color w:val="2C307E"/>
        </w:rPr>
        <w:t>duidelijke</w:t>
      </w:r>
      <w:r w:rsidRPr="006D7187">
        <w:rPr>
          <w:color w:val="2C307E"/>
        </w:rPr>
        <w:t xml:space="preserve"> toename van </w:t>
      </w:r>
      <w:r>
        <w:rPr>
          <w:color w:val="2C307E"/>
        </w:rPr>
        <w:t>19</w:t>
      </w:r>
      <w:r w:rsidRPr="006D7187">
        <w:rPr>
          <w:color w:val="2C307E"/>
        </w:rPr>
        <w:t xml:space="preserve"> procentpunt ten opzichte van</w:t>
      </w:r>
      <w:r>
        <w:rPr>
          <w:color w:val="2C307E"/>
        </w:rPr>
        <w:t xml:space="preserve"> vorig jaar</w:t>
      </w:r>
      <w:r w:rsidRPr="006D7187">
        <w:rPr>
          <w:color w:val="2C307E"/>
        </w:rPr>
        <w:t xml:space="preserve">. </w:t>
      </w:r>
      <w:r w:rsidR="0052070D">
        <w:rPr>
          <w:color w:val="2C307E"/>
        </w:rPr>
        <w:t>Om dit in perspectief te plaatsen</w:t>
      </w:r>
      <w:r w:rsidR="0029189A">
        <w:rPr>
          <w:color w:val="2C307E"/>
        </w:rPr>
        <w:t>: in heel Nederland heeft slechts 6% van de huishoudens een dynamisch stroomcontract</w:t>
      </w:r>
      <w:r w:rsidR="0029189A" w:rsidRPr="009B2031">
        <w:rPr>
          <w:rStyle w:val="Voetnootmarkering"/>
          <w:b/>
          <w:bCs/>
          <w:color w:val="2C307E"/>
        </w:rPr>
        <w:footnoteReference w:id="12"/>
      </w:r>
      <w:r w:rsidR="0029189A">
        <w:rPr>
          <w:color w:val="2C307E"/>
        </w:rPr>
        <w:t xml:space="preserve">. De </w:t>
      </w:r>
      <w:r w:rsidR="007F3E82">
        <w:rPr>
          <w:color w:val="2C307E"/>
        </w:rPr>
        <w:t>thuislader</w:t>
      </w:r>
      <w:r w:rsidR="0029189A">
        <w:rPr>
          <w:color w:val="2C307E"/>
        </w:rPr>
        <w:t xml:space="preserve"> loopt dus erg voor op de gemiddelde Nederlander wat betreft dynamische contracten.</w:t>
      </w:r>
    </w:p>
    <w:p w14:paraId="21B92F1C" w14:textId="7EC0737C" w:rsidR="001A46C8" w:rsidRDefault="003E3214" w:rsidP="001A46C8">
      <w:pPr>
        <w:pStyle w:val="Geenafstand"/>
        <w:spacing w:line="276" w:lineRule="auto"/>
        <w:jc w:val="both"/>
        <w:rPr>
          <w:color w:val="2C307E"/>
        </w:rPr>
      </w:pPr>
      <w:r>
        <w:rPr>
          <w:noProof/>
        </w:rPr>
        <w:drawing>
          <wp:inline distT="0" distB="0" distL="0" distR="0" wp14:anchorId="381B5F66" wp14:editId="090097B9">
            <wp:extent cx="2655570" cy="5669280"/>
            <wp:effectExtent l="0" t="0" r="0" b="0"/>
            <wp:docPr id="763936744" name="Chart 1">
              <a:extLst xmlns:a="http://schemas.openxmlformats.org/drawingml/2006/main">
                <a:ext uri="{FF2B5EF4-FFF2-40B4-BE49-F238E27FC236}">
                  <a16:creationId xmlns:a16="http://schemas.microsoft.com/office/drawing/2014/main" id="{8F13EA30-D410-8132-A78A-81FB9A7E3E3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7"/>
              </a:graphicData>
            </a:graphic>
          </wp:inline>
        </w:drawing>
      </w:r>
    </w:p>
    <w:p w14:paraId="25E58D26" w14:textId="6A437BC5" w:rsidR="00B67992" w:rsidRDefault="00B67992" w:rsidP="00B67992">
      <w:pPr>
        <w:pStyle w:val="Geenafstand"/>
        <w:spacing w:line="276" w:lineRule="auto"/>
        <w:jc w:val="both"/>
        <w:rPr>
          <w:color w:val="2C307E"/>
        </w:rPr>
      </w:pPr>
      <w:r w:rsidRPr="006D7187">
        <w:rPr>
          <w:color w:val="2C307E"/>
        </w:rPr>
        <w:t xml:space="preserve">Ook </w:t>
      </w:r>
      <w:r>
        <w:rPr>
          <w:color w:val="2C307E"/>
        </w:rPr>
        <w:t xml:space="preserve">het gebruik van en de wens om te </w:t>
      </w:r>
      <w:r w:rsidRPr="006D7187">
        <w:rPr>
          <w:color w:val="2C307E"/>
        </w:rPr>
        <w:t>laden op basis van netcapaciteit neemt toe</w:t>
      </w:r>
      <w:r>
        <w:rPr>
          <w:color w:val="2C307E"/>
        </w:rPr>
        <w:t xml:space="preserve"> ten opzichte van 2024. Laden op duurzame opwek is minder gebruikt dan afgelopen jaar. Bidirectioneel laden is, net zoals in 2024, de meest gewilde vorm van slim laden. 50% van de thuisladers geeft aan deze optie graag te willen gebruiken (maar gebruikt deze nu nog niet).</w:t>
      </w:r>
    </w:p>
    <w:p w14:paraId="7EA302C0" w14:textId="77777777" w:rsidR="00B67992" w:rsidRDefault="00B67992" w:rsidP="00B67992">
      <w:pPr>
        <w:pStyle w:val="Geenafstand"/>
        <w:spacing w:line="276" w:lineRule="auto"/>
        <w:jc w:val="both"/>
        <w:rPr>
          <w:color w:val="2C307E"/>
        </w:rPr>
      </w:pPr>
    </w:p>
    <w:p w14:paraId="5851084E" w14:textId="35A2A364" w:rsidR="001A46C8" w:rsidRPr="00AD177E" w:rsidRDefault="001A46C8" w:rsidP="001A46C8">
      <w:pPr>
        <w:pStyle w:val="Geenafstand"/>
        <w:spacing w:line="276" w:lineRule="auto"/>
        <w:jc w:val="both"/>
        <w:rPr>
          <w:color w:val="2C307E"/>
        </w:rPr>
      </w:pPr>
      <w:r w:rsidRPr="006D7187">
        <w:rPr>
          <w:b/>
          <w:bCs/>
          <w:color w:val="2C307E"/>
        </w:rPr>
        <w:t>Ervaringen met slim laden thuis</w:t>
      </w:r>
      <w:r w:rsidR="00F45A36">
        <w:rPr>
          <w:rStyle w:val="Voetnootmarkering"/>
          <w:b/>
          <w:bCs/>
          <w:color w:val="2C307E"/>
        </w:rPr>
        <w:footnoteReference w:id="13"/>
      </w:r>
    </w:p>
    <w:p w14:paraId="37B88EF3" w14:textId="43319272" w:rsidR="001A46C8" w:rsidRPr="006D7187" w:rsidRDefault="00CA0C86" w:rsidP="001A46C8">
      <w:pPr>
        <w:pStyle w:val="Geenafstand"/>
        <w:spacing w:line="276" w:lineRule="auto"/>
        <w:jc w:val="both"/>
        <w:rPr>
          <w:color w:val="2C307E"/>
        </w:rPr>
      </w:pPr>
      <w:r>
        <w:rPr>
          <w:color w:val="2C307E"/>
        </w:rPr>
        <w:t>Thuis l</w:t>
      </w:r>
      <w:r w:rsidR="001A46C8" w:rsidRPr="006D7187">
        <w:rPr>
          <w:color w:val="2C307E"/>
        </w:rPr>
        <w:t xml:space="preserve">aden op basis van dynamisch tarieven en duurzame opwek worden (zeer) positief ervaren. </w:t>
      </w:r>
      <w:r w:rsidR="001A46C8">
        <w:rPr>
          <w:color w:val="2C307E"/>
        </w:rPr>
        <w:t>87</w:t>
      </w:r>
      <w:r w:rsidR="001A46C8" w:rsidRPr="006D7187">
        <w:rPr>
          <w:color w:val="2C307E"/>
        </w:rPr>
        <w:t xml:space="preserve">% is </w:t>
      </w:r>
      <w:r w:rsidR="00C40151">
        <w:rPr>
          <w:color w:val="2C307E"/>
        </w:rPr>
        <w:t xml:space="preserve">(zeer) </w:t>
      </w:r>
      <w:r w:rsidR="001A46C8" w:rsidRPr="006D7187">
        <w:rPr>
          <w:color w:val="2C307E"/>
        </w:rPr>
        <w:t>positief over dynamische stroomtarieven thuis</w:t>
      </w:r>
      <w:r w:rsidR="00C40151">
        <w:rPr>
          <w:color w:val="2C307E"/>
        </w:rPr>
        <w:t xml:space="preserve"> en 75% is (zeer) positief over het laden </w:t>
      </w:r>
      <w:r w:rsidR="001A46C8" w:rsidRPr="006D7187">
        <w:rPr>
          <w:color w:val="2C307E"/>
        </w:rPr>
        <w:t>op basis van netcapaciteit</w:t>
      </w:r>
      <w:r w:rsidR="00C40151">
        <w:rPr>
          <w:color w:val="2C307E"/>
        </w:rPr>
        <w:t xml:space="preserve">. </w:t>
      </w:r>
      <w:r w:rsidR="001A46C8" w:rsidRPr="006D7187">
        <w:rPr>
          <w:color w:val="2C307E"/>
        </w:rPr>
        <w:t xml:space="preserve">Gemiddeld genomen is 80% positief over het thuis </w:t>
      </w:r>
      <w:r w:rsidR="00C40151">
        <w:rPr>
          <w:color w:val="2C307E"/>
        </w:rPr>
        <w:t xml:space="preserve">slim </w:t>
      </w:r>
      <w:r w:rsidR="001A46C8" w:rsidRPr="006D7187">
        <w:rPr>
          <w:color w:val="2C307E"/>
        </w:rPr>
        <w:t>opladen van de EV</w:t>
      </w:r>
      <w:r w:rsidR="001A46C8">
        <w:rPr>
          <w:color w:val="2C307E"/>
        </w:rPr>
        <w:t>.</w:t>
      </w:r>
    </w:p>
    <w:p w14:paraId="66689E10" w14:textId="3C58F999" w:rsidR="00BC027B" w:rsidRPr="00B67992" w:rsidRDefault="001A46C8" w:rsidP="00B67992">
      <w:pPr>
        <w:jc w:val="both"/>
        <w:rPr>
          <w:b/>
          <w:bCs/>
          <w:color w:val="2C307E"/>
        </w:rPr>
      </w:pPr>
      <w:r w:rsidRPr="006D7187">
        <w:rPr>
          <w:noProof/>
        </w:rPr>
        <w:drawing>
          <wp:inline distT="0" distB="0" distL="0" distR="0" wp14:anchorId="3E6281D2" wp14:editId="16DDAD47">
            <wp:extent cx="2655570" cy="4400550"/>
            <wp:effectExtent l="0" t="0" r="0" b="0"/>
            <wp:docPr id="1807910586" name="Chart 1">
              <a:extLst xmlns:a="http://schemas.openxmlformats.org/drawingml/2006/main">
                <a:ext uri="{FF2B5EF4-FFF2-40B4-BE49-F238E27FC236}">
                  <a16:creationId xmlns:a16="http://schemas.microsoft.com/office/drawing/2014/main" id="{B4E4556F-AC83-0B31-D735-8047CD1D834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8"/>
              </a:graphicData>
            </a:graphic>
          </wp:inline>
        </w:drawing>
      </w:r>
      <w:r w:rsidR="00BC027B">
        <w:rPr>
          <w:b/>
          <w:color w:val="2C307E"/>
        </w:rPr>
        <w:br w:type="page"/>
      </w:r>
    </w:p>
    <w:p w14:paraId="49345B32" w14:textId="37F55236" w:rsidR="00EB34AF" w:rsidRPr="00E20BE1" w:rsidRDefault="009010C0" w:rsidP="009010C0">
      <w:pPr>
        <w:spacing w:after="0" w:line="276" w:lineRule="auto"/>
        <w:jc w:val="both"/>
        <w:rPr>
          <w:b/>
          <w:color w:val="2C307E"/>
        </w:rPr>
      </w:pPr>
      <w:r>
        <w:rPr>
          <w:b/>
          <w:color w:val="2C307E"/>
        </w:rPr>
        <w:lastRenderedPageBreak/>
        <w:t>De ruime meerderheid</w:t>
      </w:r>
      <w:r w:rsidRPr="00E20BE1" w:rsidDel="00F6628D">
        <w:rPr>
          <w:b/>
          <w:color w:val="2C307E"/>
        </w:rPr>
        <w:t xml:space="preserve"> </w:t>
      </w:r>
      <w:r w:rsidRPr="00E20BE1">
        <w:rPr>
          <w:b/>
          <w:color w:val="2C307E"/>
        </w:rPr>
        <w:t xml:space="preserve">van de </w:t>
      </w:r>
      <w:r>
        <w:rPr>
          <w:b/>
          <w:color w:val="2C307E"/>
        </w:rPr>
        <w:t>EV-rijders</w:t>
      </w:r>
      <w:r w:rsidRPr="00E20BE1">
        <w:rPr>
          <w:b/>
          <w:color w:val="2C307E"/>
        </w:rPr>
        <w:t xml:space="preserve"> die thuis kunnen laden </w:t>
      </w:r>
      <w:r w:rsidRPr="00E20BE1">
        <w:rPr>
          <w:b/>
          <w:bCs/>
          <w:color w:val="2C307E"/>
        </w:rPr>
        <w:t>heeft</w:t>
      </w:r>
      <w:r w:rsidRPr="00E20BE1">
        <w:rPr>
          <w:b/>
          <w:color w:val="2C307E"/>
        </w:rPr>
        <w:t xml:space="preserve"> een</w:t>
      </w:r>
      <w:r w:rsidRPr="00E20BE1">
        <w:rPr>
          <w:b/>
          <w:bCs/>
          <w:color w:val="2C307E"/>
        </w:rPr>
        <w:t>,</w:t>
      </w:r>
      <w:r w:rsidRPr="00E20BE1">
        <w:rPr>
          <w:b/>
          <w:color w:val="2C307E"/>
        </w:rPr>
        <w:t xml:space="preserve"> </w:t>
      </w:r>
      <w:r w:rsidRPr="00E20BE1">
        <w:rPr>
          <w:b/>
          <w:bCs/>
          <w:color w:val="2C307E"/>
        </w:rPr>
        <w:t xml:space="preserve">in meer of mindere mate, </w:t>
      </w:r>
      <w:r w:rsidRPr="00E20BE1">
        <w:rPr>
          <w:b/>
          <w:color w:val="2C307E"/>
        </w:rPr>
        <w:t>slimme laadpaal. [N=1.268]</w:t>
      </w:r>
    </w:p>
    <w:p w14:paraId="61A8B6A1" w14:textId="6936A8CE" w:rsidR="009010C0" w:rsidRDefault="009010C0" w:rsidP="00BC027B">
      <w:pPr>
        <w:jc w:val="both"/>
        <w:rPr>
          <w:rFonts w:cstheme="minorHAnsi"/>
          <w:color w:val="2C307E"/>
        </w:rPr>
      </w:pPr>
      <w:r w:rsidRPr="00E20BE1">
        <w:rPr>
          <w:color w:val="2C307E"/>
        </w:rPr>
        <w:t xml:space="preserve">Slim laden thuis gebeurt onder andere door middel van </w:t>
      </w:r>
      <w:r w:rsidRPr="002B358E">
        <w:rPr>
          <w:i/>
          <w:iCs/>
          <w:color w:val="2C307E"/>
        </w:rPr>
        <w:t>local load balancing</w:t>
      </w:r>
      <w:r w:rsidRPr="00E20BE1">
        <w:rPr>
          <w:color w:val="2C307E"/>
        </w:rPr>
        <w:t xml:space="preserve"> (een techniek die zorgt dat er langzamer geladen wordt als elders in huis meer stroom wordt gevraagd), uitgesteld laden en een slim energiemanagementsysteem. Die laatste regelt bijvoorbeeld dat de auto direct geladen wordt door de eigen zonnepanelen of slim gebruik maakt van dynamische stroomtarieven. </w:t>
      </w:r>
      <w:r w:rsidRPr="006B7861">
        <w:rPr>
          <w:rFonts w:cstheme="minorHAnsi"/>
          <w:color w:val="2C307E"/>
        </w:rPr>
        <w:t xml:space="preserve">Er is een sterke toename </w:t>
      </w:r>
      <w:r w:rsidR="000B3B58">
        <w:rPr>
          <w:rFonts w:cstheme="minorHAnsi"/>
          <w:color w:val="2C307E"/>
        </w:rPr>
        <w:t>van functionaliteiten die slim laden mogelijk maken</w:t>
      </w:r>
      <w:r w:rsidRPr="006B7861">
        <w:rPr>
          <w:rFonts w:cstheme="minorHAnsi"/>
          <w:color w:val="2C307E"/>
        </w:rPr>
        <w:t xml:space="preserve"> </w:t>
      </w:r>
      <w:r w:rsidR="000B3B58">
        <w:rPr>
          <w:rFonts w:cstheme="minorHAnsi"/>
          <w:color w:val="2C307E"/>
        </w:rPr>
        <w:t>op</w:t>
      </w:r>
      <w:r w:rsidRPr="006B7861">
        <w:rPr>
          <w:rFonts w:cstheme="minorHAnsi"/>
          <w:color w:val="2C307E"/>
        </w:rPr>
        <w:t xml:space="preserve"> de </w:t>
      </w:r>
      <w:r w:rsidR="000B3B58">
        <w:rPr>
          <w:rFonts w:cstheme="minorHAnsi"/>
          <w:color w:val="2C307E"/>
        </w:rPr>
        <w:t>thuis</w:t>
      </w:r>
      <w:r w:rsidRPr="006B7861">
        <w:rPr>
          <w:rFonts w:cstheme="minorHAnsi"/>
          <w:color w:val="2C307E"/>
        </w:rPr>
        <w:t>laadpaal</w:t>
      </w:r>
      <w:r w:rsidR="000B3B58">
        <w:rPr>
          <w:rFonts w:cstheme="minorHAnsi"/>
          <w:color w:val="2C307E"/>
        </w:rPr>
        <w:t xml:space="preserve"> ten opzichte van de eerdere laadond</w:t>
      </w:r>
      <w:r w:rsidR="00CE3890">
        <w:rPr>
          <w:rFonts w:cstheme="minorHAnsi"/>
          <w:color w:val="2C307E"/>
        </w:rPr>
        <w:t>erzoeken</w:t>
      </w:r>
      <w:r w:rsidRPr="006B7861">
        <w:rPr>
          <w:rFonts w:cstheme="minorHAnsi"/>
          <w:color w:val="2C307E"/>
        </w:rPr>
        <w:t xml:space="preserve">. </w:t>
      </w:r>
      <w:r w:rsidR="005D4BB2">
        <w:rPr>
          <w:rFonts w:cstheme="minorHAnsi"/>
          <w:color w:val="2C307E"/>
        </w:rPr>
        <w:t>I</w:t>
      </w:r>
      <w:r w:rsidRPr="006B7861">
        <w:rPr>
          <w:rFonts w:cstheme="minorHAnsi"/>
          <w:color w:val="2C307E"/>
        </w:rPr>
        <w:t>nternet/W</w:t>
      </w:r>
      <w:r w:rsidR="00605D68">
        <w:rPr>
          <w:rFonts w:cstheme="minorHAnsi"/>
          <w:color w:val="2C307E"/>
        </w:rPr>
        <w:t>i-</w:t>
      </w:r>
      <w:r w:rsidRPr="006B7861">
        <w:rPr>
          <w:rFonts w:cstheme="minorHAnsi"/>
          <w:color w:val="2C307E"/>
        </w:rPr>
        <w:t>F</w:t>
      </w:r>
      <w:r w:rsidR="000B3B58">
        <w:rPr>
          <w:rFonts w:cstheme="minorHAnsi"/>
          <w:color w:val="2C307E"/>
        </w:rPr>
        <w:t>i</w:t>
      </w:r>
      <w:r w:rsidRPr="006B7861">
        <w:rPr>
          <w:rFonts w:cstheme="minorHAnsi"/>
          <w:color w:val="2C307E"/>
        </w:rPr>
        <w:t xml:space="preserve">-functie (63%), slim laden functies (61%) </w:t>
      </w:r>
      <w:r w:rsidR="000B3B58">
        <w:rPr>
          <w:rFonts w:cstheme="minorHAnsi"/>
          <w:color w:val="2C307E"/>
        </w:rPr>
        <w:t>en</w:t>
      </w:r>
      <w:r w:rsidRPr="006B7861">
        <w:rPr>
          <w:rFonts w:cstheme="minorHAnsi"/>
          <w:color w:val="2C307E"/>
        </w:rPr>
        <w:t xml:space="preserve"> een </w:t>
      </w:r>
      <w:r w:rsidRPr="00DD6631">
        <w:rPr>
          <w:rFonts w:cstheme="minorHAnsi"/>
          <w:i/>
          <w:iCs/>
          <w:color w:val="2C307E"/>
        </w:rPr>
        <w:t>Home Energy Management System</w:t>
      </w:r>
      <w:r w:rsidRPr="006B7861">
        <w:rPr>
          <w:rFonts w:cstheme="minorHAnsi"/>
          <w:color w:val="2C307E"/>
        </w:rPr>
        <w:t xml:space="preserve"> (37%). </w:t>
      </w:r>
    </w:p>
    <w:p w14:paraId="6C4719E4" w14:textId="77777777" w:rsidR="009010C0" w:rsidRDefault="009010C0" w:rsidP="009010C0">
      <w:pPr>
        <w:jc w:val="both"/>
        <w:rPr>
          <w:b/>
          <w:bCs/>
          <w:color w:val="2C307E"/>
        </w:rPr>
      </w:pPr>
      <w:r>
        <w:rPr>
          <w:noProof/>
        </w:rPr>
        <w:drawing>
          <wp:inline distT="0" distB="0" distL="0" distR="0" wp14:anchorId="5203EC2A" wp14:editId="12F2BF61">
            <wp:extent cx="2655570" cy="4933666"/>
            <wp:effectExtent l="0" t="0" r="0" b="0"/>
            <wp:docPr id="63250590" name="Grafiek 1">
              <a:extLst xmlns:a="http://schemas.openxmlformats.org/drawingml/2006/main">
                <a:ext uri="{FF2B5EF4-FFF2-40B4-BE49-F238E27FC236}">
                  <a16:creationId xmlns:a16="http://schemas.microsoft.com/office/drawing/2014/main" id="{A48D9AE7-4623-1FE7-049C-E59531E4C8C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9"/>
              </a:graphicData>
            </a:graphic>
          </wp:inline>
        </w:drawing>
      </w:r>
    </w:p>
    <w:p w14:paraId="6AA757BE" w14:textId="77777777" w:rsidR="007F3E82" w:rsidRDefault="001A46C8" w:rsidP="00EB34AF">
      <w:pPr>
        <w:spacing w:after="0" w:line="276" w:lineRule="auto"/>
        <w:jc w:val="both"/>
        <w:rPr>
          <w:b/>
          <w:bCs/>
          <w:color w:val="2C307E"/>
        </w:rPr>
      </w:pPr>
      <w:r w:rsidRPr="006D7187">
        <w:rPr>
          <w:b/>
          <w:bCs/>
          <w:color w:val="2C307E"/>
        </w:rPr>
        <w:t xml:space="preserve">49% van de </w:t>
      </w:r>
      <w:r w:rsidR="007F3E82">
        <w:rPr>
          <w:b/>
          <w:bCs/>
          <w:color w:val="2C307E"/>
        </w:rPr>
        <w:t>thuisladers</w:t>
      </w:r>
      <w:r w:rsidRPr="006D7187">
        <w:rPr>
          <w:b/>
          <w:bCs/>
          <w:color w:val="2C307E"/>
        </w:rPr>
        <w:t xml:space="preserve"> </w:t>
      </w:r>
      <w:r w:rsidR="00C40151">
        <w:rPr>
          <w:b/>
          <w:bCs/>
          <w:color w:val="2C307E"/>
        </w:rPr>
        <w:t xml:space="preserve">laadt </w:t>
      </w:r>
      <w:r w:rsidR="00EF2590">
        <w:rPr>
          <w:b/>
          <w:bCs/>
          <w:color w:val="2C307E"/>
        </w:rPr>
        <w:t xml:space="preserve">weleens handmatig </w:t>
      </w:r>
      <w:r w:rsidR="00C40151">
        <w:rPr>
          <w:b/>
          <w:bCs/>
          <w:color w:val="2C307E"/>
        </w:rPr>
        <w:t>slim</w:t>
      </w:r>
      <w:r w:rsidR="00EF2590">
        <w:rPr>
          <w:b/>
          <w:bCs/>
          <w:color w:val="2C307E"/>
        </w:rPr>
        <w:t>, dus niet automatisch</w:t>
      </w:r>
      <w:r w:rsidR="00C40151">
        <w:rPr>
          <w:b/>
          <w:bCs/>
          <w:color w:val="2C307E"/>
        </w:rPr>
        <w:t>.</w:t>
      </w:r>
      <w:r w:rsidRPr="006D7187">
        <w:rPr>
          <w:b/>
          <w:bCs/>
          <w:color w:val="2C307E"/>
        </w:rPr>
        <w:t xml:space="preserve"> </w:t>
      </w:r>
      <w:r w:rsidR="002B358E">
        <w:rPr>
          <w:b/>
          <w:bCs/>
          <w:color w:val="2C307E"/>
        </w:rPr>
        <w:t>[N=1.587]</w:t>
      </w:r>
    </w:p>
    <w:p w14:paraId="25B81028" w14:textId="49DF2B32" w:rsidR="00EF2590" w:rsidRDefault="00EF2590" w:rsidP="00EB34AF">
      <w:pPr>
        <w:spacing w:after="0" w:line="276" w:lineRule="auto"/>
        <w:jc w:val="both"/>
        <w:rPr>
          <w:color w:val="2C307E"/>
        </w:rPr>
      </w:pPr>
      <w:r w:rsidRPr="00EB34AF">
        <w:rPr>
          <w:color w:val="2C307E"/>
        </w:rPr>
        <w:t xml:space="preserve">Niet alle thuisladers hebben het slim opladen van de auto geautomatiseerd. 49% geeft aan dat zij </w:t>
      </w:r>
      <w:r w:rsidR="00B26083" w:rsidRPr="00EB34AF">
        <w:rPr>
          <w:color w:val="2C307E"/>
        </w:rPr>
        <w:t xml:space="preserve">weleens </w:t>
      </w:r>
      <w:r w:rsidRPr="00EB34AF">
        <w:rPr>
          <w:color w:val="2C307E"/>
        </w:rPr>
        <w:t xml:space="preserve">zelf </w:t>
      </w:r>
      <w:r w:rsidR="001953C0" w:rsidRPr="00EB34AF">
        <w:rPr>
          <w:color w:val="2C307E"/>
        </w:rPr>
        <w:t>het slimme laden bepalen</w:t>
      </w:r>
      <w:r w:rsidRPr="00EB34AF">
        <w:rPr>
          <w:color w:val="2C307E"/>
        </w:rPr>
        <w:t xml:space="preserve">, door de laadstekker </w:t>
      </w:r>
      <w:r w:rsidR="00AA0D97">
        <w:rPr>
          <w:color w:val="2C307E"/>
        </w:rPr>
        <w:t xml:space="preserve">op een bewust moment handmatig </w:t>
      </w:r>
      <w:r w:rsidRPr="00EB34AF">
        <w:rPr>
          <w:color w:val="2C307E"/>
        </w:rPr>
        <w:t xml:space="preserve">aan te koppelen. </w:t>
      </w:r>
      <w:r w:rsidR="00DD6631" w:rsidRPr="00EB34AF">
        <w:rPr>
          <w:color w:val="2C307E"/>
        </w:rPr>
        <w:t>Dit is bijvoorbeeld</w:t>
      </w:r>
      <w:r w:rsidR="001A46C8" w:rsidRPr="00EB34AF">
        <w:rPr>
          <w:color w:val="2C307E"/>
        </w:rPr>
        <w:t xml:space="preserve"> de bewuste keuze om tijdens de daluren, of juist op momenten van veel duurzame opwek, </w:t>
      </w:r>
      <w:r w:rsidR="00AA0D97">
        <w:rPr>
          <w:color w:val="2C307E"/>
        </w:rPr>
        <w:t>te laden</w:t>
      </w:r>
      <w:r w:rsidR="001A46C8" w:rsidRPr="00EB34AF">
        <w:rPr>
          <w:color w:val="2C307E"/>
        </w:rPr>
        <w:t xml:space="preserve">. </w:t>
      </w:r>
      <w:r w:rsidRPr="00EB34AF">
        <w:rPr>
          <w:color w:val="2C307E"/>
        </w:rPr>
        <w:t xml:space="preserve">In veel gevallen kiest de thuislader ervoor om deels handmatig slim laden toe te passen en deels automatisch. 26% van de thuisladers past alleen handmatig slim laden toe. </w:t>
      </w:r>
      <w:r w:rsidR="00C40151">
        <w:rPr>
          <w:color w:val="2C307E"/>
        </w:rPr>
        <w:t>Slim laden is gedefinieerd als automatisch en op afstand</w:t>
      </w:r>
      <w:r w:rsidR="00C40151">
        <w:rPr>
          <w:rStyle w:val="Voetnootmarkering"/>
          <w:color w:val="2C307E"/>
        </w:rPr>
        <w:footnoteReference w:id="14"/>
      </w:r>
      <w:r w:rsidR="00C40151">
        <w:rPr>
          <w:color w:val="2C307E"/>
        </w:rPr>
        <w:t xml:space="preserve">, wat betekent dat deze vorm van </w:t>
      </w:r>
      <w:r w:rsidR="002B358E">
        <w:rPr>
          <w:color w:val="2C307E"/>
        </w:rPr>
        <w:t>thuis slim laden officieel niet telt. Het is echter wel een manier van bewust laden en sturen op duurzame energie en/of lagere stroomprijzen.</w:t>
      </w:r>
      <w:r w:rsidR="00B056E9">
        <w:rPr>
          <w:color w:val="2C307E"/>
        </w:rPr>
        <w:t xml:space="preserve"> </w:t>
      </w:r>
      <w:r w:rsidR="00B056E9" w:rsidRPr="006D7187">
        <w:rPr>
          <w:color w:val="2C307E"/>
        </w:rPr>
        <w:t xml:space="preserve">35% van de </w:t>
      </w:r>
      <w:r w:rsidR="00B056E9">
        <w:rPr>
          <w:color w:val="2C307E"/>
        </w:rPr>
        <w:t>thuisladers</w:t>
      </w:r>
      <w:r w:rsidR="00B056E9" w:rsidRPr="006D7187">
        <w:rPr>
          <w:color w:val="2C307E"/>
        </w:rPr>
        <w:t xml:space="preserve"> gebruikt instellingen aan de laadpaal om slim op te laden</w:t>
      </w:r>
      <w:r w:rsidR="00B056E9">
        <w:rPr>
          <w:color w:val="2C307E"/>
        </w:rPr>
        <w:t xml:space="preserve">, en 28% gebruikt de auto om slim laden te regelen. Een app van een derde partij wordt het minst vaak gebruikt om slim laden thuis toe te passen. </w:t>
      </w:r>
    </w:p>
    <w:p w14:paraId="0E6858A8" w14:textId="33F83DF6" w:rsidR="001A46C8" w:rsidRDefault="00B26083" w:rsidP="001A46C8">
      <w:pPr>
        <w:jc w:val="both"/>
        <w:rPr>
          <w:color w:val="2C307E"/>
        </w:rPr>
      </w:pPr>
      <w:r w:rsidRPr="006D7187">
        <w:rPr>
          <w:noProof/>
        </w:rPr>
        <w:drawing>
          <wp:inline distT="0" distB="0" distL="0" distR="0" wp14:anchorId="160E89AC" wp14:editId="7AD6630B">
            <wp:extent cx="2655570" cy="1689811"/>
            <wp:effectExtent l="0" t="0" r="0" b="0"/>
            <wp:docPr id="242518181" name="Chart 1">
              <a:extLst xmlns:a="http://schemas.openxmlformats.org/drawingml/2006/main">
                <a:ext uri="{FF2B5EF4-FFF2-40B4-BE49-F238E27FC236}">
                  <a16:creationId xmlns:a16="http://schemas.microsoft.com/office/drawing/2014/main" id="{C7DA78D3-CB9D-7283-A5CB-C05BFAC5FF2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0"/>
              </a:graphicData>
            </a:graphic>
          </wp:inline>
        </w:drawing>
      </w:r>
      <w:r w:rsidR="002B358E" w:rsidRPr="00F25B0B">
        <w:rPr>
          <w:color w:val="2C307E"/>
        </w:rPr>
        <w:t xml:space="preserve">Van de </w:t>
      </w:r>
      <w:r w:rsidR="007F3E82">
        <w:rPr>
          <w:color w:val="2C307E"/>
        </w:rPr>
        <w:t>thuisladers</w:t>
      </w:r>
      <w:r w:rsidR="002B358E" w:rsidRPr="00F25B0B">
        <w:rPr>
          <w:color w:val="2C307E"/>
        </w:rPr>
        <w:t xml:space="preserve"> die hun auto bewust </w:t>
      </w:r>
      <w:r w:rsidR="002B358E">
        <w:rPr>
          <w:color w:val="2C307E"/>
        </w:rPr>
        <w:t xml:space="preserve">handmatig </w:t>
      </w:r>
      <w:r w:rsidR="002B358E" w:rsidRPr="00F25B0B">
        <w:rPr>
          <w:color w:val="2C307E"/>
        </w:rPr>
        <w:t xml:space="preserve">aansluiten </w:t>
      </w:r>
      <w:r w:rsidR="002B358E">
        <w:rPr>
          <w:color w:val="2C307E"/>
        </w:rPr>
        <w:t>aan</w:t>
      </w:r>
      <w:r w:rsidR="002B358E" w:rsidRPr="00F25B0B">
        <w:rPr>
          <w:color w:val="2C307E"/>
        </w:rPr>
        <w:t xml:space="preserve"> de laadpaal, </w:t>
      </w:r>
      <w:r w:rsidR="002B358E">
        <w:rPr>
          <w:color w:val="2C307E"/>
        </w:rPr>
        <w:t xml:space="preserve">beschikt 46% over een laadpaal met slimme functionaliteit zoals </w:t>
      </w:r>
      <w:r w:rsidR="002B358E">
        <w:rPr>
          <w:i/>
          <w:iCs/>
          <w:color w:val="2C307E"/>
        </w:rPr>
        <w:t>local load balancing</w:t>
      </w:r>
      <w:r w:rsidR="002B358E">
        <w:rPr>
          <w:color w:val="2C307E"/>
        </w:rPr>
        <w:t xml:space="preserve"> en 25% beschikt over een paal </w:t>
      </w:r>
      <w:r w:rsidR="00915AC0">
        <w:rPr>
          <w:color w:val="2C307E"/>
        </w:rPr>
        <w:t xml:space="preserve">die </w:t>
      </w:r>
      <w:r w:rsidR="002B358E">
        <w:rPr>
          <w:color w:val="2C307E"/>
        </w:rPr>
        <w:t xml:space="preserve">aangesloten kan worden aan een </w:t>
      </w:r>
      <w:r w:rsidR="002B358E" w:rsidRPr="008B6E9C">
        <w:rPr>
          <w:i/>
          <w:iCs/>
          <w:color w:val="2C307E"/>
        </w:rPr>
        <w:t>Home Energy Management System (HEMS)</w:t>
      </w:r>
      <w:r w:rsidR="002B358E">
        <w:rPr>
          <w:color w:val="2C307E"/>
        </w:rPr>
        <w:t xml:space="preserve"> of andere applicatie. Deze groep </w:t>
      </w:r>
      <w:r>
        <w:rPr>
          <w:color w:val="2C307E"/>
        </w:rPr>
        <w:t xml:space="preserve">EV-rijders benut de functionaliteiten </w:t>
      </w:r>
      <w:r w:rsidR="00E327C7">
        <w:rPr>
          <w:color w:val="2C307E"/>
        </w:rPr>
        <w:t xml:space="preserve">die slim laden </w:t>
      </w:r>
      <w:r w:rsidR="00B056E9">
        <w:rPr>
          <w:color w:val="2C307E"/>
        </w:rPr>
        <w:t>automatisch mogelijk maken d</w:t>
      </w:r>
      <w:r>
        <w:rPr>
          <w:color w:val="2C307E"/>
        </w:rPr>
        <w:t>us niet.</w:t>
      </w:r>
      <w:r w:rsidR="00EB34AF">
        <w:rPr>
          <w:color w:val="2C307E"/>
        </w:rPr>
        <w:t xml:space="preserve"> </w:t>
      </w:r>
    </w:p>
    <w:p w14:paraId="020A1F15" w14:textId="7490F0C8" w:rsidR="00753663" w:rsidRPr="0008531A" w:rsidRDefault="00753663" w:rsidP="007F3E82">
      <w:pPr>
        <w:spacing w:after="0" w:line="276" w:lineRule="auto"/>
        <w:jc w:val="both"/>
        <w:rPr>
          <w:b/>
          <w:bCs/>
          <w:color w:val="2C307E"/>
        </w:rPr>
      </w:pPr>
      <w:r>
        <w:rPr>
          <w:b/>
          <w:bCs/>
          <w:color w:val="2C307E"/>
        </w:rPr>
        <w:lastRenderedPageBreak/>
        <w:t>Bij</w:t>
      </w:r>
      <w:r w:rsidRPr="17601067">
        <w:rPr>
          <w:b/>
          <w:bCs/>
          <w:color w:val="2C307E"/>
        </w:rPr>
        <w:t xml:space="preserve"> </w:t>
      </w:r>
      <w:r>
        <w:rPr>
          <w:b/>
          <w:bCs/>
          <w:color w:val="2C307E"/>
        </w:rPr>
        <w:t>63</w:t>
      </w:r>
      <w:r w:rsidRPr="17601067">
        <w:rPr>
          <w:b/>
          <w:bCs/>
          <w:color w:val="2C307E"/>
        </w:rPr>
        <w:t xml:space="preserve">% van de EV-rijders </w:t>
      </w:r>
      <w:r>
        <w:rPr>
          <w:b/>
          <w:bCs/>
          <w:color w:val="2C307E"/>
        </w:rPr>
        <w:t>zijn minstens vier van de vijf thuislaadsessies slim</w:t>
      </w:r>
      <w:r w:rsidRPr="17601067">
        <w:rPr>
          <w:b/>
          <w:bCs/>
          <w:color w:val="2C307E"/>
        </w:rPr>
        <w:t xml:space="preserve">. </w:t>
      </w:r>
      <w:r>
        <w:rPr>
          <w:b/>
          <w:bCs/>
          <w:color w:val="2C307E"/>
        </w:rPr>
        <w:t>[N=1.553]</w:t>
      </w:r>
    </w:p>
    <w:p w14:paraId="01080959" w14:textId="59570F11" w:rsidR="001A46C8" w:rsidRPr="007F3E82" w:rsidRDefault="001A46C8" w:rsidP="007F3E82">
      <w:pPr>
        <w:spacing w:after="0" w:line="276" w:lineRule="auto"/>
        <w:jc w:val="both"/>
        <w:rPr>
          <w:color w:val="2C307E"/>
        </w:rPr>
      </w:pPr>
      <w:r w:rsidRPr="007F3E82">
        <w:rPr>
          <w:color w:val="2C307E"/>
        </w:rPr>
        <w:t xml:space="preserve">De onderstaande figuur toont het percentage slimme thuislaadsessies, op de horizontale as, en het percentage EV-rijders die dit toepassen op de verticale as. </w:t>
      </w:r>
    </w:p>
    <w:p w14:paraId="43532ABF" w14:textId="77777777" w:rsidR="001A46C8" w:rsidRPr="006D7187" w:rsidRDefault="001A46C8" w:rsidP="001A46C8">
      <w:pPr>
        <w:rPr>
          <w:color w:val="2C307E"/>
        </w:rPr>
      </w:pPr>
      <w:r w:rsidRPr="006D7187">
        <w:rPr>
          <w:noProof/>
        </w:rPr>
        <w:drawing>
          <wp:inline distT="0" distB="0" distL="0" distR="0" wp14:anchorId="3170FEA1" wp14:editId="081CCA33">
            <wp:extent cx="2655570" cy="2784144"/>
            <wp:effectExtent l="0" t="0" r="0" b="0"/>
            <wp:docPr id="1806130970" name="Chart 1">
              <a:extLst xmlns:a="http://schemas.openxmlformats.org/drawingml/2006/main">
                <a:ext uri="{FF2B5EF4-FFF2-40B4-BE49-F238E27FC236}">
                  <a16:creationId xmlns:a16="http://schemas.microsoft.com/office/drawing/2014/main" id="{EE9E67A7-7A4C-01C2-454C-CE7B032BD59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1"/>
              </a:graphicData>
            </a:graphic>
          </wp:inline>
        </w:drawing>
      </w:r>
      <w:r w:rsidRPr="006D7187">
        <w:rPr>
          <w:color w:val="2C307E"/>
        </w:rPr>
        <w:t xml:space="preserve"> </w:t>
      </w:r>
    </w:p>
    <w:p w14:paraId="689BBF28" w14:textId="6893569F" w:rsidR="001A46C8" w:rsidRPr="005C3DBB" w:rsidRDefault="001A46C8" w:rsidP="005C3DBB">
      <w:pPr>
        <w:spacing w:after="0" w:line="276" w:lineRule="auto"/>
        <w:jc w:val="both"/>
        <w:rPr>
          <w:b/>
          <w:bCs/>
          <w:color w:val="2C307E"/>
        </w:rPr>
      </w:pPr>
      <w:r>
        <w:rPr>
          <w:b/>
          <w:bCs/>
          <w:color w:val="2C307E"/>
        </w:rPr>
        <w:t>80</w:t>
      </w:r>
      <w:r w:rsidRPr="006D7187">
        <w:rPr>
          <w:b/>
          <w:bCs/>
          <w:color w:val="2C307E"/>
        </w:rPr>
        <w:t xml:space="preserve">% van de </w:t>
      </w:r>
      <w:r w:rsidR="00CA0C86">
        <w:rPr>
          <w:b/>
          <w:bCs/>
          <w:color w:val="2C307E"/>
        </w:rPr>
        <w:t>thuisladers</w:t>
      </w:r>
      <w:r w:rsidRPr="006D7187">
        <w:rPr>
          <w:b/>
          <w:bCs/>
          <w:color w:val="2C307E"/>
        </w:rPr>
        <w:t xml:space="preserve"> </w:t>
      </w:r>
      <w:r>
        <w:rPr>
          <w:b/>
          <w:bCs/>
          <w:color w:val="2C307E"/>
        </w:rPr>
        <w:t xml:space="preserve">met zonnepanelen </w:t>
      </w:r>
      <w:r w:rsidRPr="006D7187">
        <w:rPr>
          <w:b/>
          <w:bCs/>
          <w:color w:val="2C307E"/>
        </w:rPr>
        <w:t xml:space="preserve">laadt </w:t>
      </w:r>
      <w:r>
        <w:rPr>
          <w:b/>
          <w:bCs/>
          <w:color w:val="2C307E"/>
        </w:rPr>
        <w:t xml:space="preserve">vaak/altijd </w:t>
      </w:r>
      <w:r w:rsidRPr="006D7187">
        <w:rPr>
          <w:b/>
          <w:bCs/>
          <w:color w:val="2C307E"/>
        </w:rPr>
        <w:t>bewust op tijdens de uren dat zij zonnestroom opwekken. [N=1.442]</w:t>
      </w:r>
      <w:r>
        <w:rPr>
          <w:b/>
          <w:bCs/>
          <w:color w:val="2C307E"/>
        </w:rPr>
        <w:br/>
      </w:r>
      <w:r w:rsidR="00CA0C86" w:rsidRPr="005C3DBB">
        <w:rPr>
          <w:color w:val="2C307E"/>
        </w:rPr>
        <w:t>90% van de thuisladers heeft zonnepanelen</w:t>
      </w:r>
      <w:r w:rsidRPr="005C3DBB">
        <w:rPr>
          <w:color w:val="2C307E"/>
        </w:rPr>
        <w:t>.</w:t>
      </w:r>
      <w:r w:rsidRPr="005C3DBB">
        <w:rPr>
          <w:b/>
          <w:bCs/>
          <w:color w:val="2C307E"/>
        </w:rPr>
        <w:t xml:space="preserve"> </w:t>
      </w:r>
    </w:p>
    <w:p w14:paraId="103A2369" w14:textId="31D0E2CF" w:rsidR="001A46C8" w:rsidRDefault="001A46C8" w:rsidP="00BC027B">
      <w:pPr>
        <w:jc w:val="both"/>
        <w:rPr>
          <w:b/>
          <w:bCs/>
          <w:color w:val="2C307E"/>
        </w:rPr>
      </w:pPr>
      <w:r w:rsidRPr="00802BC0">
        <w:rPr>
          <w:noProof/>
          <w:color w:val="2C307E"/>
        </w:rPr>
        <w:drawing>
          <wp:inline distT="0" distB="0" distL="0" distR="0" wp14:anchorId="34492388" wp14:editId="6B3F70CF">
            <wp:extent cx="2655570" cy="1948070"/>
            <wp:effectExtent l="0" t="0" r="0" b="0"/>
            <wp:docPr id="1590694775" name="Chart 1">
              <a:extLst xmlns:a="http://schemas.openxmlformats.org/drawingml/2006/main">
                <a:ext uri="{FF2B5EF4-FFF2-40B4-BE49-F238E27FC236}">
                  <a16:creationId xmlns:a16="http://schemas.microsoft.com/office/drawing/2014/main" id="{6739F91C-9ABB-D4E7-4139-691E41C2132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2"/>
              </a:graphicData>
            </a:graphic>
          </wp:inline>
        </w:drawing>
      </w:r>
    </w:p>
    <w:p w14:paraId="6D4A5971" w14:textId="77777777" w:rsidR="005C3DBB" w:rsidRDefault="005C3DBB" w:rsidP="00753663">
      <w:pPr>
        <w:pStyle w:val="Kop2"/>
      </w:pPr>
    </w:p>
    <w:p w14:paraId="02C0A4E6" w14:textId="77777777" w:rsidR="005C3DBB" w:rsidRDefault="005C3DBB" w:rsidP="00753663">
      <w:pPr>
        <w:pStyle w:val="Kop2"/>
      </w:pPr>
    </w:p>
    <w:p w14:paraId="3B336E15" w14:textId="77777777" w:rsidR="005C3DBB" w:rsidRPr="005C3DBB" w:rsidRDefault="005C3DBB" w:rsidP="005C3DBB"/>
    <w:p w14:paraId="745EABA9" w14:textId="77777777" w:rsidR="008A3646" w:rsidRDefault="008A3646" w:rsidP="00753663">
      <w:pPr>
        <w:pStyle w:val="Kop2"/>
      </w:pPr>
    </w:p>
    <w:p w14:paraId="7CA42046" w14:textId="77777777" w:rsidR="008A3646" w:rsidRPr="008A3646" w:rsidRDefault="008A3646" w:rsidP="008A3646"/>
    <w:p w14:paraId="79FA7E62" w14:textId="6CA14AD4" w:rsidR="00753663" w:rsidRPr="00802BC0" w:rsidRDefault="00753663" w:rsidP="00753663">
      <w:pPr>
        <w:pStyle w:val="Kop2"/>
      </w:pPr>
      <w:bookmarkStart w:id="102" w:name="_Toc209710061"/>
      <w:r w:rsidRPr="00802BC0">
        <w:t xml:space="preserve">Slim laden aan </w:t>
      </w:r>
      <w:r w:rsidR="001B5A78">
        <w:t>de</w:t>
      </w:r>
      <w:r w:rsidRPr="00802BC0">
        <w:t xml:space="preserve"> openbare laadp</w:t>
      </w:r>
      <w:r w:rsidR="001B5A78">
        <w:t>aal</w:t>
      </w:r>
      <w:bookmarkEnd w:id="102"/>
    </w:p>
    <w:p w14:paraId="3EC92C8D" w14:textId="04E31F66" w:rsidR="005C3DBB" w:rsidRDefault="00753663" w:rsidP="00753663">
      <w:pPr>
        <w:pStyle w:val="Geenafstand"/>
        <w:spacing w:line="276" w:lineRule="auto"/>
        <w:jc w:val="both"/>
        <w:rPr>
          <w:b/>
          <w:bCs/>
          <w:color w:val="2C307E"/>
        </w:rPr>
      </w:pPr>
      <w:r w:rsidRPr="006D7187">
        <w:rPr>
          <w:b/>
          <w:bCs/>
          <w:color w:val="2C307E"/>
        </w:rPr>
        <w:t xml:space="preserve">Laden op basis van dynamische stroomtarieven </w:t>
      </w:r>
      <w:r>
        <w:rPr>
          <w:b/>
          <w:bCs/>
          <w:color w:val="2C307E"/>
        </w:rPr>
        <w:t xml:space="preserve">is </w:t>
      </w:r>
      <w:r w:rsidRPr="006D7187">
        <w:rPr>
          <w:b/>
          <w:bCs/>
          <w:color w:val="2C307E"/>
        </w:rPr>
        <w:t xml:space="preserve">gewild aan </w:t>
      </w:r>
      <w:r w:rsidR="00C754CF">
        <w:rPr>
          <w:b/>
          <w:bCs/>
          <w:color w:val="2C307E"/>
        </w:rPr>
        <w:t xml:space="preserve">de </w:t>
      </w:r>
      <w:r w:rsidRPr="006D7187">
        <w:rPr>
          <w:b/>
          <w:bCs/>
          <w:color w:val="2C307E"/>
        </w:rPr>
        <w:t>openbare laadpaal</w:t>
      </w:r>
      <w:r>
        <w:rPr>
          <w:b/>
          <w:bCs/>
          <w:color w:val="2C307E"/>
        </w:rPr>
        <w:t>. [N=1.990]</w:t>
      </w:r>
    </w:p>
    <w:p w14:paraId="054526C4" w14:textId="33D50706" w:rsidR="00753663" w:rsidRPr="005C3DBB" w:rsidRDefault="00753663" w:rsidP="00753663">
      <w:pPr>
        <w:pStyle w:val="Geenafstand"/>
        <w:spacing w:line="276" w:lineRule="auto"/>
        <w:jc w:val="both"/>
        <w:rPr>
          <w:color w:val="2C307E"/>
        </w:rPr>
      </w:pPr>
      <w:r w:rsidRPr="005C3DBB">
        <w:rPr>
          <w:color w:val="2C307E"/>
        </w:rPr>
        <w:t xml:space="preserve">In 2024 gebruikte </w:t>
      </w:r>
      <w:r w:rsidR="004E7690" w:rsidRPr="005C3DBB">
        <w:rPr>
          <w:color w:val="2C307E"/>
        </w:rPr>
        <w:t>3</w:t>
      </w:r>
      <w:r w:rsidRPr="005C3DBB">
        <w:rPr>
          <w:color w:val="2C307E"/>
        </w:rPr>
        <w:t>% van de EV-rijders d</w:t>
      </w:r>
      <w:r w:rsidR="00CA0C86" w:rsidRPr="005C3DBB">
        <w:rPr>
          <w:color w:val="2C307E"/>
        </w:rPr>
        <w:t>ynamische stroomtarieven</w:t>
      </w:r>
      <w:r w:rsidR="00B07BB7" w:rsidRPr="005C3DBB">
        <w:rPr>
          <w:color w:val="2C307E"/>
        </w:rPr>
        <w:t xml:space="preserve"> bij de openbare laadpaal</w:t>
      </w:r>
      <w:r w:rsidRPr="005C3DBB">
        <w:rPr>
          <w:color w:val="2C307E"/>
        </w:rPr>
        <w:t>, en nu is dat 6%. Nog eens 25% zou dit graag willen gebruiken. Het gebruik van laden op basis van netcapaciteit is gelijk gebleven</w:t>
      </w:r>
      <w:r w:rsidR="00B07BB7" w:rsidRPr="005C3DBB">
        <w:rPr>
          <w:color w:val="2C307E"/>
        </w:rPr>
        <w:t xml:space="preserve"> ten opzichte van 2024</w:t>
      </w:r>
      <w:r w:rsidRPr="005C3DBB">
        <w:rPr>
          <w:color w:val="2C307E"/>
        </w:rPr>
        <w:t xml:space="preserve">. Laden op duurzame opwek is iets afgenomen ten opzichte van </w:t>
      </w:r>
      <w:r w:rsidR="00B07BB7" w:rsidRPr="005C3DBB">
        <w:rPr>
          <w:color w:val="2C307E"/>
        </w:rPr>
        <w:t>2024</w:t>
      </w:r>
      <w:r w:rsidRPr="005C3DBB">
        <w:rPr>
          <w:color w:val="2C307E"/>
        </w:rPr>
        <w:t>. Bidirectioneel laden</w:t>
      </w:r>
      <w:r w:rsidR="00F96998" w:rsidRPr="005C3DBB">
        <w:rPr>
          <w:color w:val="2C307E"/>
        </w:rPr>
        <w:t xml:space="preserve"> aan de openbare laadpaal</w:t>
      </w:r>
      <w:r w:rsidRPr="005C3DBB">
        <w:rPr>
          <w:color w:val="2C307E"/>
        </w:rPr>
        <w:t xml:space="preserve"> blijft achter in gewenst gebruik, en in daadwerkelijk gebruik.</w:t>
      </w:r>
      <w:r w:rsidR="00F96998" w:rsidRPr="005C3DBB">
        <w:rPr>
          <w:color w:val="2C307E"/>
        </w:rPr>
        <w:t xml:space="preserve"> EV-rijders die op dit moment nog geen vorm van slim laden toepassen, zijn vooral geïnteresseerd in het laden met dynamische stroomtarieven en op basis van netcapaciteit aan de openbare laadpaal.</w:t>
      </w:r>
    </w:p>
    <w:p w14:paraId="48ECDF41" w14:textId="42A366EE" w:rsidR="00753663" w:rsidRDefault="008B315F" w:rsidP="00753663">
      <w:pPr>
        <w:pStyle w:val="Geenafstand"/>
        <w:spacing w:line="276" w:lineRule="auto"/>
        <w:jc w:val="both"/>
        <w:rPr>
          <w:color w:val="2C307E"/>
        </w:rPr>
      </w:pPr>
      <w:r>
        <w:rPr>
          <w:noProof/>
        </w:rPr>
        <w:drawing>
          <wp:inline distT="0" distB="0" distL="0" distR="0" wp14:anchorId="11B08A5C" wp14:editId="55D02F05">
            <wp:extent cx="2655570" cy="4967021"/>
            <wp:effectExtent l="0" t="0" r="0" b="0"/>
            <wp:docPr id="96046540" name="Chart 1">
              <a:extLst xmlns:a="http://schemas.openxmlformats.org/drawingml/2006/main">
                <a:ext uri="{FF2B5EF4-FFF2-40B4-BE49-F238E27FC236}">
                  <a16:creationId xmlns:a16="http://schemas.microsoft.com/office/drawing/2014/main" id="{C68B8380-03C7-460B-983F-225AD7DC4EE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3"/>
              </a:graphicData>
            </a:graphic>
          </wp:inline>
        </w:drawing>
      </w:r>
    </w:p>
    <w:p w14:paraId="18FCC03E" w14:textId="34F26B02" w:rsidR="005C3DBB" w:rsidRPr="005C3DBB" w:rsidRDefault="00EC5C51" w:rsidP="00753663">
      <w:pPr>
        <w:jc w:val="both"/>
        <w:rPr>
          <w:b/>
          <w:bCs/>
          <w:color w:val="2C307E"/>
        </w:rPr>
      </w:pPr>
      <w:r>
        <w:rPr>
          <w:b/>
          <w:bCs/>
          <w:color w:val="2C307E"/>
        </w:rPr>
        <w:lastRenderedPageBreak/>
        <w:t xml:space="preserve">Het merendeel van de EV-rijders is positief over het slim </w:t>
      </w:r>
      <w:r w:rsidR="00753663">
        <w:rPr>
          <w:b/>
          <w:bCs/>
          <w:color w:val="2C307E"/>
        </w:rPr>
        <w:t>laden aan de openbare laadpaal.</w:t>
      </w:r>
      <w:r w:rsidR="00753663" w:rsidRPr="005C3DBB">
        <w:rPr>
          <w:b/>
          <w:bCs/>
          <w:color w:val="2C307E"/>
        </w:rPr>
        <w:br/>
      </w:r>
      <w:r w:rsidRPr="005C3DBB">
        <w:rPr>
          <w:color w:val="2C307E"/>
        </w:rPr>
        <w:t>53% is (zeer) positief over laden op basis van dynamische stroomtarieven</w:t>
      </w:r>
      <w:r w:rsidR="005C3DBB" w:rsidRPr="005C3DBB">
        <w:rPr>
          <w:color w:val="2C307E"/>
        </w:rPr>
        <w:t xml:space="preserve"> aan de  openbare laadpaal</w:t>
      </w:r>
      <w:r w:rsidRPr="005C3DBB">
        <w:rPr>
          <w:color w:val="2C307E"/>
        </w:rPr>
        <w:t xml:space="preserve">, en 54% is (zeer) positief over laden op basis van netcapaciteit. Laden op basis van netcapaciteit kent de meest positieve ontwikkeling: in 2024 </w:t>
      </w:r>
      <w:r w:rsidR="005C3DBB" w:rsidRPr="005C3DBB">
        <w:rPr>
          <w:color w:val="2C307E"/>
        </w:rPr>
        <w:t>beoordeelde</w:t>
      </w:r>
      <w:r w:rsidRPr="005C3DBB">
        <w:rPr>
          <w:color w:val="2C307E"/>
        </w:rPr>
        <w:t xml:space="preserve"> 36% van de EV-rijders deze manier van slim laden nog </w:t>
      </w:r>
      <w:r w:rsidR="005C3DBB" w:rsidRPr="005C3DBB">
        <w:rPr>
          <w:color w:val="2C307E"/>
        </w:rPr>
        <w:t xml:space="preserve">als </w:t>
      </w:r>
      <w:r w:rsidRPr="005C3DBB">
        <w:rPr>
          <w:color w:val="2C307E"/>
        </w:rPr>
        <w:t xml:space="preserve">negatief; in 2025 is dat gedaald naar slechts 17%. </w:t>
      </w:r>
      <w:r w:rsidR="00753663" w:rsidRPr="005C3DBB">
        <w:rPr>
          <w:color w:val="2C307E"/>
        </w:rPr>
        <w:t xml:space="preserve">Gemiddeld genomen beoordeelt 33% van de EV-rijders </w:t>
      </w:r>
      <w:r w:rsidRPr="005C3DBB">
        <w:rPr>
          <w:color w:val="2C307E"/>
        </w:rPr>
        <w:t>slim laden aan de openbare laadpaal als</w:t>
      </w:r>
      <w:r w:rsidR="00753663" w:rsidRPr="005C3DBB">
        <w:rPr>
          <w:color w:val="2C307E"/>
        </w:rPr>
        <w:t xml:space="preserve"> neutraal</w:t>
      </w:r>
      <w:r w:rsidR="00313B92">
        <w:rPr>
          <w:rStyle w:val="Voetnootmarkering"/>
          <w:color w:val="2C307E"/>
        </w:rPr>
        <w:footnoteReference w:id="15"/>
      </w:r>
      <w:r w:rsidR="005C3DBB" w:rsidRPr="005C3DBB">
        <w:rPr>
          <w:rStyle w:val="Voetnootmarkering"/>
        </w:rPr>
        <w:t>,</w:t>
      </w:r>
      <w:r w:rsidR="00F96998">
        <w:rPr>
          <w:rStyle w:val="Voetnootmarkering"/>
          <w:color w:val="2C307E"/>
        </w:rPr>
        <w:footnoteReference w:id="16"/>
      </w:r>
      <w:r w:rsidR="005C3DBB">
        <w:rPr>
          <w:color w:val="2C307E"/>
        </w:rPr>
        <w:t>.</w:t>
      </w:r>
    </w:p>
    <w:p w14:paraId="36EDC2BE" w14:textId="2AE7C852" w:rsidR="00753663" w:rsidRPr="00802BC0" w:rsidRDefault="005C3DBB" w:rsidP="00753663">
      <w:pPr>
        <w:jc w:val="both"/>
        <w:rPr>
          <w:color w:val="2C307E"/>
        </w:rPr>
      </w:pPr>
      <w:r w:rsidRPr="00802BC0">
        <w:rPr>
          <w:noProof/>
          <w:color w:val="2C307E"/>
        </w:rPr>
        <w:drawing>
          <wp:inline distT="0" distB="0" distL="0" distR="0" wp14:anchorId="0DCB0CF9" wp14:editId="58DF0837">
            <wp:extent cx="2655570" cy="2560320"/>
            <wp:effectExtent l="0" t="0" r="11430" b="11430"/>
            <wp:docPr id="635763988" name="Chart 1">
              <a:extLst xmlns:a="http://schemas.openxmlformats.org/drawingml/2006/main">
                <a:ext uri="{FF2B5EF4-FFF2-40B4-BE49-F238E27FC236}">
                  <a16:creationId xmlns:a16="http://schemas.microsoft.com/office/drawing/2014/main" id="{E9817ADA-3BE9-6324-4024-7CC1730627E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4"/>
              </a:graphicData>
            </a:graphic>
          </wp:inline>
        </w:drawing>
      </w:r>
    </w:p>
    <w:p w14:paraId="6CB60B95" w14:textId="77777777" w:rsidR="008A3646" w:rsidRPr="00194672" w:rsidRDefault="008A3646" w:rsidP="008A3646">
      <w:pPr>
        <w:jc w:val="both"/>
        <w:rPr>
          <w:b/>
          <w:bCs/>
          <w:color w:val="2C307E"/>
        </w:rPr>
      </w:pPr>
      <w:r>
        <w:rPr>
          <w:b/>
          <w:bCs/>
          <w:color w:val="2C307E"/>
        </w:rPr>
        <w:t>De angst om niet voldoende volgeladen te zijn is het belangrijkste knelpunt bij toepassen slim laden aan de openbare laadpaal.</w:t>
      </w:r>
      <w:r w:rsidRPr="006D7187">
        <w:rPr>
          <w:b/>
          <w:bCs/>
          <w:color w:val="2C307E"/>
        </w:rPr>
        <w:t xml:space="preserve"> [N=921]</w:t>
      </w:r>
      <w:r w:rsidRPr="006D7187">
        <w:br/>
      </w:r>
      <w:r w:rsidRPr="006D7187">
        <w:rPr>
          <w:color w:val="2C307E"/>
        </w:rPr>
        <w:t>EV-rijders die bekend zijn met slim laden en opladen bij een openbare laadpaal, zijn gevraagd of zij knelpunten voorzien. Laad</w:t>
      </w:r>
      <w:r>
        <w:rPr>
          <w:color w:val="2C307E"/>
        </w:rPr>
        <w:t>(on)</w:t>
      </w:r>
      <w:r w:rsidRPr="006D7187">
        <w:rPr>
          <w:color w:val="2C307E"/>
        </w:rPr>
        <w:t xml:space="preserve">zekerheid (60%) en het gebrek aan controle (52%) </w:t>
      </w:r>
      <w:r>
        <w:rPr>
          <w:color w:val="2C307E"/>
        </w:rPr>
        <w:t xml:space="preserve">zijn de </w:t>
      </w:r>
      <w:r w:rsidRPr="006D7187">
        <w:rPr>
          <w:color w:val="2C307E"/>
        </w:rPr>
        <w:t>meest</w:t>
      </w:r>
      <w:r>
        <w:rPr>
          <w:color w:val="2C307E"/>
        </w:rPr>
        <w:t xml:space="preserve"> belangrijke aspecten</w:t>
      </w:r>
      <w:r w:rsidRPr="006D7187">
        <w:rPr>
          <w:color w:val="2C307E"/>
        </w:rPr>
        <w:t>. De financiële onzekerheid</w:t>
      </w:r>
      <w:r>
        <w:rPr>
          <w:color w:val="2C307E"/>
        </w:rPr>
        <w:t xml:space="preserve"> (11%)</w:t>
      </w:r>
      <w:r w:rsidRPr="006D7187">
        <w:rPr>
          <w:color w:val="2C307E"/>
        </w:rPr>
        <w:t xml:space="preserve"> op jaarbasis is afgenomen ten opzichte van voorgaande jaren, wat in lijn is met de </w:t>
      </w:r>
      <w:r>
        <w:rPr>
          <w:color w:val="2C307E"/>
        </w:rPr>
        <w:t xml:space="preserve">afnemende trend de afgelopen drie jaar voor minder inzichtelijke laadtarieven. </w:t>
      </w:r>
    </w:p>
    <w:p w14:paraId="46D6EC7B" w14:textId="7E5DE4D6" w:rsidR="008A3646" w:rsidRDefault="008A3646" w:rsidP="005C3DBB">
      <w:pPr>
        <w:pStyle w:val="Geenafstand"/>
        <w:spacing w:line="276" w:lineRule="auto"/>
        <w:jc w:val="both"/>
        <w:rPr>
          <w:b/>
          <w:bCs/>
          <w:color w:val="2C307E"/>
        </w:rPr>
      </w:pPr>
      <w:r>
        <w:rPr>
          <w:noProof/>
        </w:rPr>
        <w:drawing>
          <wp:inline distT="0" distB="0" distL="0" distR="0" wp14:anchorId="7320F2AE" wp14:editId="1DFC86CF">
            <wp:extent cx="2703195" cy="3252084"/>
            <wp:effectExtent l="0" t="0" r="0" b="0"/>
            <wp:docPr id="1614988161" name="Chart 1">
              <a:extLst xmlns:a="http://schemas.openxmlformats.org/drawingml/2006/main">
                <a:ext uri="{FF2B5EF4-FFF2-40B4-BE49-F238E27FC236}">
                  <a16:creationId xmlns:a16="http://schemas.microsoft.com/office/drawing/2014/main" id="{2D690547-C1FD-1708-F765-1924EC3EDB9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5"/>
              </a:graphicData>
            </a:graphic>
          </wp:inline>
        </w:drawing>
      </w:r>
    </w:p>
    <w:p w14:paraId="118A7825" w14:textId="08D66CFE" w:rsidR="00753663" w:rsidRPr="00802BC0" w:rsidRDefault="00753663" w:rsidP="005C3DBB">
      <w:pPr>
        <w:pStyle w:val="Geenafstand"/>
        <w:spacing w:line="276" w:lineRule="auto"/>
        <w:jc w:val="both"/>
        <w:rPr>
          <w:b/>
          <w:bCs/>
          <w:color w:val="2C307E"/>
        </w:rPr>
      </w:pPr>
      <w:r w:rsidRPr="00802BC0">
        <w:rPr>
          <w:b/>
          <w:bCs/>
          <w:color w:val="2C307E"/>
        </w:rPr>
        <w:t>Meer dan de helft van de EV-rijders (56%) is bereid meer te betalen om te laden op minder optimale momenten. [N=934]</w:t>
      </w:r>
    </w:p>
    <w:p w14:paraId="082FD3B3" w14:textId="1842CDAE" w:rsidR="00753663" w:rsidRDefault="00753663" w:rsidP="005C3DBB">
      <w:pPr>
        <w:pStyle w:val="Geenafstand"/>
        <w:spacing w:line="276" w:lineRule="auto"/>
        <w:jc w:val="both"/>
        <w:rPr>
          <w:color w:val="2C307E"/>
        </w:rPr>
      </w:pPr>
      <w:r w:rsidRPr="005C3DBB">
        <w:rPr>
          <w:color w:val="2C307E"/>
        </w:rPr>
        <w:t>Ook geeft bijna de helft van de EV-rijders (49%) aan het verlagen van de laadsnelheid tijdens momenten van schaarste op het elektriciteitsnet te accepteren</w:t>
      </w:r>
      <w:r w:rsidR="00193FAA" w:rsidRPr="005C3DBB">
        <w:rPr>
          <w:color w:val="2C307E"/>
        </w:rPr>
        <w:t>, dit is een daling van 12 procentpunt ten opzichte van vorig jaar</w:t>
      </w:r>
      <w:r w:rsidRPr="005C3DBB">
        <w:rPr>
          <w:color w:val="2C307E"/>
        </w:rPr>
        <w:t>. Daarnaast is 57% het eens met de stelling dat</w:t>
      </w:r>
      <w:r w:rsidRPr="005C3DBB">
        <w:rPr>
          <w:b/>
          <w:bCs/>
          <w:color w:val="2C307E"/>
        </w:rPr>
        <w:t xml:space="preserve"> </w:t>
      </w:r>
      <w:r w:rsidRPr="005C3DBB">
        <w:rPr>
          <w:color w:val="2C307E"/>
        </w:rPr>
        <w:t>er meer betaald zou moeten worden wanneer energie schaars is</w:t>
      </w:r>
      <w:r w:rsidR="006446F5" w:rsidRPr="005C3DBB">
        <w:rPr>
          <w:color w:val="2C307E"/>
        </w:rPr>
        <w:t xml:space="preserve">, dat is </w:t>
      </w:r>
      <w:r w:rsidRPr="005C3DBB">
        <w:rPr>
          <w:color w:val="2C307E"/>
        </w:rPr>
        <w:t xml:space="preserve">een stijging van 6 procentpunt ten opzichte van 2024. </w:t>
      </w:r>
    </w:p>
    <w:p w14:paraId="7E9D866B" w14:textId="031FE553" w:rsidR="008A3646" w:rsidRPr="005C3DBB" w:rsidRDefault="008A3646" w:rsidP="005C3DBB">
      <w:pPr>
        <w:pStyle w:val="Geenafstand"/>
        <w:spacing w:line="276" w:lineRule="auto"/>
        <w:jc w:val="both"/>
        <w:rPr>
          <w:color w:val="2C307E"/>
        </w:rPr>
      </w:pPr>
      <w:r w:rsidRPr="00802BC0">
        <w:rPr>
          <w:noProof/>
          <w:color w:val="2C307E"/>
        </w:rPr>
        <w:drawing>
          <wp:inline distT="0" distB="0" distL="0" distR="0" wp14:anchorId="79AD5214" wp14:editId="47099AFA">
            <wp:extent cx="2909570" cy="2218414"/>
            <wp:effectExtent l="0" t="0" r="0" b="0"/>
            <wp:docPr id="1876125478" name="Chart 1">
              <a:extLst xmlns:a="http://schemas.openxmlformats.org/drawingml/2006/main">
                <a:ext uri="{FF2B5EF4-FFF2-40B4-BE49-F238E27FC236}">
                  <a16:creationId xmlns:a16="http://schemas.microsoft.com/office/drawing/2014/main" id="{A33CE96B-C648-CDE0-8F9E-04BDBE42CB2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6"/>
              </a:graphicData>
            </a:graphic>
          </wp:inline>
        </w:drawing>
      </w:r>
    </w:p>
    <w:p w14:paraId="2DD9381B" w14:textId="10C63FA3" w:rsidR="00316974" w:rsidRDefault="00753663" w:rsidP="00316974">
      <w:pPr>
        <w:pStyle w:val="Geenafstand"/>
        <w:spacing w:line="276" w:lineRule="auto"/>
        <w:jc w:val="both"/>
        <w:rPr>
          <w:rStyle w:val="Verwijzingopmerking"/>
        </w:rPr>
      </w:pPr>
      <w:r w:rsidRPr="005C3DBB">
        <w:rPr>
          <w:color w:val="2C307E"/>
        </w:rPr>
        <w:lastRenderedPageBreak/>
        <w:t xml:space="preserve">Zakelijke EV-rijders </w:t>
      </w:r>
      <w:r w:rsidR="00193FAA" w:rsidRPr="005C3DBB">
        <w:rPr>
          <w:color w:val="2C307E"/>
        </w:rPr>
        <w:t xml:space="preserve">vinden </w:t>
      </w:r>
      <w:r w:rsidRPr="005C3DBB">
        <w:rPr>
          <w:color w:val="2C307E"/>
        </w:rPr>
        <w:t xml:space="preserve">het over het algemeen </w:t>
      </w:r>
      <w:r w:rsidR="00193FAA" w:rsidRPr="005C3DBB">
        <w:rPr>
          <w:color w:val="2C307E"/>
        </w:rPr>
        <w:t>minder acceptabel</w:t>
      </w:r>
      <w:r w:rsidRPr="005C3DBB">
        <w:rPr>
          <w:color w:val="2C307E"/>
        </w:rPr>
        <w:t xml:space="preserve"> dat er minder snel geladen wordt op momenten van schaarste, bij gelijkblijvende tarieven, ten opzichte van de privé EV-rijder. Voor de andere twee stellingen </w:t>
      </w:r>
      <w:r w:rsidR="00193FAA" w:rsidRPr="005C3DBB">
        <w:rPr>
          <w:color w:val="2C307E"/>
        </w:rPr>
        <w:t>zijn</w:t>
      </w:r>
      <w:r w:rsidRPr="005C3DBB">
        <w:rPr>
          <w:color w:val="2C307E"/>
        </w:rPr>
        <w:t xml:space="preserve"> de meningen van </w:t>
      </w:r>
      <w:r w:rsidR="00861BE3">
        <w:rPr>
          <w:color w:val="2C307E"/>
        </w:rPr>
        <w:t>privé en zakelijke EV-rijders</w:t>
      </w:r>
      <w:r w:rsidR="00193FAA" w:rsidRPr="005C3DBB">
        <w:rPr>
          <w:color w:val="2C307E"/>
        </w:rPr>
        <w:t xml:space="preserve"> ongeveer gelijk</w:t>
      </w:r>
      <w:r w:rsidRPr="005C3DBB">
        <w:rPr>
          <w:color w:val="2C307E"/>
        </w:rPr>
        <w:t>.</w:t>
      </w:r>
      <w:r w:rsidRPr="005C3DBB">
        <w:rPr>
          <w:noProof/>
          <w:color w:val="2C307E"/>
        </w:rPr>
        <w:t xml:space="preserve"> </w:t>
      </w:r>
    </w:p>
    <w:p w14:paraId="014A3D3D" w14:textId="0408AF50" w:rsidR="00316974" w:rsidRDefault="00316974" w:rsidP="00316974">
      <w:pPr>
        <w:pStyle w:val="Geenafstand"/>
        <w:spacing w:line="276" w:lineRule="auto"/>
        <w:jc w:val="both"/>
        <w:rPr>
          <w:rStyle w:val="Verwijzingopmerking"/>
        </w:rPr>
      </w:pPr>
    </w:p>
    <w:p w14:paraId="181C0BB1" w14:textId="4E4A3172" w:rsidR="00753663" w:rsidRPr="00802BC0" w:rsidRDefault="00316974" w:rsidP="00316974">
      <w:pPr>
        <w:pStyle w:val="Geenafstand"/>
        <w:spacing w:line="276" w:lineRule="auto"/>
        <w:jc w:val="both"/>
        <w:rPr>
          <w:b/>
          <w:bCs/>
          <w:color w:val="2C307E"/>
        </w:rPr>
      </w:pPr>
      <w:r>
        <w:rPr>
          <w:b/>
          <w:bCs/>
          <w:color w:val="2C307E"/>
        </w:rPr>
        <w:t>De</w:t>
      </w:r>
      <w:r w:rsidR="00193FAA">
        <w:rPr>
          <w:b/>
          <w:bCs/>
          <w:color w:val="2C307E"/>
        </w:rPr>
        <w:t xml:space="preserve"> EV-rijder vindt s</w:t>
      </w:r>
      <w:r w:rsidR="00753663" w:rsidRPr="00802BC0">
        <w:rPr>
          <w:b/>
          <w:bCs/>
          <w:color w:val="2C307E"/>
        </w:rPr>
        <w:t xml:space="preserve">turen op basis van prijs </w:t>
      </w:r>
      <w:r w:rsidR="00193FAA">
        <w:rPr>
          <w:b/>
          <w:bCs/>
          <w:color w:val="2C307E"/>
        </w:rPr>
        <w:t>interessanter</w:t>
      </w:r>
      <w:r w:rsidR="00753663" w:rsidRPr="00802BC0">
        <w:rPr>
          <w:b/>
          <w:bCs/>
          <w:color w:val="2C307E"/>
        </w:rPr>
        <w:t xml:space="preserve"> </w:t>
      </w:r>
      <w:r w:rsidR="00193FAA">
        <w:rPr>
          <w:b/>
          <w:bCs/>
          <w:color w:val="2C307E"/>
        </w:rPr>
        <w:t>dan</w:t>
      </w:r>
      <w:r w:rsidR="00753663" w:rsidRPr="00802BC0">
        <w:rPr>
          <w:b/>
          <w:bCs/>
          <w:color w:val="2C307E"/>
        </w:rPr>
        <w:t xml:space="preserve"> sturen op basis van </w:t>
      </w:r>
      <w:r w:rsidR="00193FAA">
        <w:rPr>
          <w:b/>
          <w:bCs/>
          <w:color w:val="2C307E"/>
        </w:rPr>
        <w:t>net</w:t>
      </w:r>
      <w:r w:rsidR="00753663" w:rsidRPr="00802BC0">
        <w:rPr>
          <w:b/>
          <w:bCs/>
          <w:color w:val="2C307E"/>
        </w:rPr>
        <w:t xml:space="preserve">capaciteit. </w:t>
      </w:r>
      <w:r w:rsidR="00193FAA">
        <w:rPr>
          <w:b/>
          <w:bCs/>
          <w:color w:val="2C307E"/>
        </w:rPr>
        <w:t>[N=931]</w:t>
      </w:r>
    </w:p>
    <w:p w14:paraId="06F93BD1" w14:textId="0CE3BBAE" w:rsidR="00753663" w:rsidRPr="00283AF0" w:rsidRDefault="00753663" w:rsidP="00283AF0">
      <w:pPr>
        <w:pStyle w:val="Geenafstand"/>
        <w:spacing w:line="276" w:lineRule="auto"/>
        <w:jc w:val="both"/>
        <w:rPr>
          <w:color w:val="2C307E"/>
        </w:rPr>
      </w:pPr>
      <w:r w:rsidRPr="00283AF0">
        <w:rPr>
          <w:color w:val="2C307E"/>
        </w:rPr>
        <w:t>62% is positief over variabele tarieven bij gelijkblijvende laadsnelheid op momenten van drukte op het net</w:t>
      </w:r>
      <w:r w:rsidR="00193FAA" w:rsidRPr="00283AF0">
        <w:rPr>
          <w:color w:val="2C307E"/>
        </w:rPr>
        <w:t>.</w:t>
      </w:r>
      <w:r w:rsidRPr="00283AF0">
        <w:rPr>
          <w:color w:val="2C307E"/>
        </w:rPr>
        <w:t xml:space="preserve"> Hiertegenover staat dat maar 30% positief is over een variabele laadsnelheid bij gelijkblijvende tarieven. De EV-rijder </w:t>
      </w:r>
      <w:r w:rsidR="00193FAA" w:rsidRPr="00283AF0">
        <w:rPr>
          <w:color w:val="2C307E"/>
        </w:rPr>
        <w:t xml:space="preserve">heeft dus liever een wisselende prijs dan een wisselende laadsnelheid. </w:t>
      </w:r>
    </w:p>
    <w:p w14:paraId="2278723B" w14:textId="77777777" w:rsidR="00753663" w:rsidRPr="00802BC0" w:rsidRDefault="00753663" w:rsidP="00753663">
      <w:pPr>
        <w:jc w:val="both"/>
        <w:rPr>
          <w:color w:val="2C307E"/>
        </w:rPr>
      </w:pPr>
      <w:r w:rsidRPr="00802BC0">
        <w:rPr>
          <w:noProof/>
          <w:color w:val="2C307E"/>
        </w:rPr>
        <w:drawing>
          <wp:inline distT="0" distB="0" distL="0" distR="0" wp14:anchorId="38C78669" wp14:editId="2685449B">
            <wp:extent cx="2679590" cy="2154555"/>
            <wp:effectExtent l="0" t="0" r="6985" b="17145"/>
            <wp:docPr id="516547607" name="Chart 1">
              <a:extLst xmlns:a="http://schemas.openxmlformats.org/drawingml/2006/main">
                <a:ext uri="{FF2B5EF4-FFF2-40B4-BE49-F238E27FC236}">
                  <a16:creationId xmlns:a16="http://schemas.microsoft.com/office/drawing/2014/main" id="{9C7D696F-3AF8-CEFC-97F1-3F88B547147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7"/>
              </a:graphicData>
            </a:graphic>
          </wp:inline>
        </w:drawing>
      </w:r>
    </w:p>
    <w:p w14:paraId="63A87917" w14:textId="3647DF7B" w:rsidR="00753663" w:rsidRPr="009B1971" w:rsidRDefault="009B1971" w:rsidP="006F757C">
      <w:pPr>
        <w:pStyle w:val="Geenafstand"/>
        <w:spacing w:line="276" w:lineRule="auto"/>
        <w:jc w:val="both"/>
        <w:rPr>
          <w:b/>
          <w:bCs/>
          <w:color w:val="2C307E"/>
        </w:rPr>
      </w:pPr>
      <w:r w:rsidRPr="009B1971">
        <w:rPr>
          <w:b/>
          <w:bCs/>
          <w:color w:val="2C307E"/>
        </w:rPr>
        <w:t>De angst om bij vertrek niet voldoende opgeladen te zijn is voor de EV-rijder de belangrijkste factor om niet te willen slim laden aan de openbare laadpaal. [N</w:t>
      </w:r>
      <w:r w:rsidR="00753663" w:rsidRPr="009B1971">
        <w:rPr>
          <w:b/>
          <w:bCs/>
          <w:color w:val="2C307E"/>
        </w:rPr>
        <w:t xml:space="preserve">=927] </w:t>
      </w:r>
    </w:p>
    <w:p w14:paraId="513A405F" w14:textId="2A5821A8" w:rsidR="00753663" w:rsidRPr="006F757C" w:rsidRDefault="009B1971" w:rsidP="006F757C">
      <w:pPr>
        <w:pStyle w:val="Geenafstand"/>
        <w:spacing w:line="276" w:lineRule="auto"/>
        <w:jc w:val="both"/>
        <w:rPr>
          <w:color w:val="2C307E"/>
        </w:rPr>
      </w:pPr>
      <w:r w:rsidRPr="006F757C">
        <w:rPr>
          <w:color w:val="2C307E"/>
        </w:rPr>
        <w:t xml:space="preserve">68% is het (helemaal) eens met dit argument. 51% wil zelf de controle houden over de laadsessie. </w:t>
      </w:r>
      <w:r w:rsidR="00753663" w:rsidRPr="006F757C">
        <w:rPr>
          <w:color w:val="2C307E"/>
        </w:rPr>
        <w:t>Minder vaak worden een langere laadtijd (45%) en het ervaren van gedoe (26%) genoemd</w:t>
      </w:r>
      <w:r w:rsidRPr="006F757C">
        <w:rPr>
          <w:color w:val="2C307E"/>
        </w:rPr>
        <w:t xml:space="preserve"> als argumenten</w:t>
      </w:r>
      <w:r w:rsidR="00753663" w:rsidRPr="006F757C">
        <w:rPr>
          <w:color w:val="2C307E"/>
        </w:rPr>
        <w:t xml:space="preserve">. Deze resultaten zijn vergelijkbaar met voorgaande jaren. Zakelijke rijders ervaren meer laadonzekerheid dan privé-rijders (76% tegenover 63%) en vinden </w:t>
      </w:r>
      <w:r w:rsidRPr="006F757C">
        <w:rPr>
          <w:color w:val="2C307E"/>
        </w:rPr>
        <w:t>een langere laadtijd vervelender</w:t>
      </w:r>
      <w:r w:rsidR="00753663" w:rsidRPr="006F757C">
        <w:rPr>
          <w:color w:val="2C307E"/>
        </w:rPr>
        <w:t xml:space="preserve"> (48% tegenover 42%). Voor de overige argumenten zijn er geen significante verschillen</w:t>
      </w:r>
      <w:r w:rsidRPr="006F757C">
        <w:rPr>
          <w:color w:val="2C307E"/>
        </w:rPr>
        <w:t xml:space="preserve"> tussen deze groepen</w:t>
      </w:r>
      <w:r w:rsidR="00753663" w:rsidRPr="006F757C">
        <w:rPr>
          <w:color w:val="2C307E"/>
        </w:rPr>
        <w:t>.</w:t>
      </w:r>
    </w:p>
    <w:p w14:paraId="42C46543" w14:textId="77777777" w:rsidR="00753663" w:rsidRPr="00802BC0" w:rsidRDefault="00753663" w:rsidP="00753663">
      <w:pPr>
        <w:jc w:val="both"/>
        <w:rPr>
          <w:color w:val="2C307E"/>
        </w:rPr>
      </w:pPr>
      <w:r w:rsidRPr="00802BC0">
        <w:rPr>
          <w:noProof/>
          <w:color w:val="2C307E"/>
        </w:rPr>
        <w:drawing>
          <wp:inline distT="0" distB="0" distL="0" distR="0" wp14:anchorId="0BB1159B" wp14:editId="2CED93EC">
            <wp:extent cx="2857500" cy="3084830"/>
            <wp:effectExtent l="0" t="0" r="0" b="0"/>
            <wp:docPr id="613973537" name="Chart 1">
              <a:extLst xmlns:a="http://schemas.openxmlformats.org/drawingml/2006/main">
                <a:ext uri="{FF2B5EF4-FFF2-40B4-BE49-F238E27FC236}">
                  <a16:creationId xmlns:a16="http://schemas.microsoft.com/office/drawing/2014/main" id="{05500E5D-2FBD-5EF5-DA13-CE5C1C360B6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8"/>
              </a:graphicData>
            </a:graphic>
          </wp:inline>
        </w:drawing>
      </w:r>
    </w:p>
    <w:p w14:paraId="01B545DE" w14:textId="77777777" w:rsidR="00B413F0" w:rsidRDefault="00753663" w:rsidP="006F757C">
      <w:pPr>
        <w:pStyle w:val="Geenafstand"/>
        <w:spacing w:line="276" w:lineRule="auto"/>
        <w:jc w:val="both"/>
        <w:rPr>
          <w:b/>
          <w:bCs/>
          <w:color w:val="2C307E"/>
        </w:rPr>
      </w:pPr>
      <w:r w:rsidRPr="00802BC0">
        <w:rPr>
          <w:b/>
          <w:bCs/>
          <w:color w:val="2C307E"/>
        </w:rPr>
        <w:t xml:space="preserve">De EV-rijder vindt financiële voordelen het belangrijkste argument om </w:t>
      </w:r>
      <w:r>
        <w:rPr>
          <w:b/>
          <w:bCs/>
          <w:color w:val="2C307E"/>
        </w:rPr>
        <w:t xml:space="preserve">wel </w:t>
      </w:r>
      <w:r w:rsidRPr="00802BC0">
        <w:rPr>
          <w:b/>
          <w:bCs/>
          <w:color w:val="2C307E"/>
        </w:rPr>
        <w:t>slim te laden aan de openbare laadpaal. [N=924]</w:t>
      </w:r>
    </w:p>
    <w:p w14:paraId="31B90ADA" w14:textId="1E940FBB" w:rsidR="009B1971" w:rsidRPr="00802BC0" w:rsidRDefault="00753663" w:rsidP="0041381D">
      <w:pPr>
        <w:pStyle w:val="Geenafstand"/>
        <w:spacing w:line="276" w:lineRule="auto"/>
        <w:jc w:val="both"/>
        <w:rPr>
          <w:color w:val="2C307E"/>
        </w:rPr>
      </w:pPr>
      <w:r w:rsidRPr="006F757C">
        <w:rPr>
          <w:color w:val="2C307E"/>
        </w:rPr>
        <w:t xml:space="preserve">EV-rijders vinden het behalen van een financieel voordeel het belangrijkst (79%), gevolgd door het optimaal benutten van duurzame energie (73%). </w:t>
      </w:r>
      <w:r w:rsidR="009B1971" w:rsidRPr="006F757C">
        <w:rPr>
          <w:color w:val="2C307E"/>
        </w:rPr>
        <w:t>De laagste score, maar nog steeds gezien als belangrijk argument, krijgt het</w:t>
      </w:r>
      <w:r w:rsidRPr="006F757C">
        <w:rPr>
          <w:color w:val="2C307E"/>
        </w:rPr>
        <w:t xml:space="preserve"> bijdragen aan een stabiel elektriciteitsnet (70%).</w:t>
      </w:r>
      <w:r w:rsidR="0041381D">
        <w:rPr>
          <w:color w:val="2C307E"/>
        </w:rPr>
        <w:t xml:space="preserve"> </w:t>
      </w:r>
      <w:r w:rsidR="009B1971">
        <w:rPr>
          <w:color w:val="2C307E"/>
        </w:rPr>
        <w:t xml:space="preserve">Privé EV-rijders vinden financiële voordelen belangrijker dan zakelijke rijders (82% tegenover 72%). Voor de overige argumenten zijn er geen significante verschillen tussen deze groepen. </w:t>
      </w:r>
    </w:p>
    <w:p w14:paraId="7BF993B5" w14:textId="77777777" w:rsidR="00753663" w:rsidRPr="00802BC0" w:rsidRDefault="00753663" w:rsidP="00753663">
      <w:pPr>
        <w:jc w:val="both"/>
        <w:rPr>
          <w:color w:val="2C307E"/>
        </w:rPr>
      </w:pPr>
      <w:r w:rsidRPr="00802BC0">
        <w:rPr>
          <w:noProof/>
          <w:color w:val="2C307E"/>
        </w:rPr>
        <w:drawing>
          <wp:inline distT="0" distB="0" distL="0" distR="0" wp14:anchorId="64072EA3" wp14:editId="4E7F10FC">
            <wp:extent cx="2655570" cy="2830664"/>
            <wp:effectExtent l="0" t="0" r="0" b="8255"/>
            <wp:docPr id="1536865253" name="Chart 1">
              <a:extLst xmlns:a="http://schemas.openxmlformats.org/drawingml/2006/main">
                <a:ext uri="{FF2B5EF4-FFF2-40B4-BE49-F238E27FC236}">
                  <a16:creationId xmlns:a16="http://schemas.microsoft.com/office/drawing/2014/main" id="{F15AF9EE-346E-6A7B-08B1-65FF449AFC8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9"/>
              </a:graphicData>
            </a:graphic>
          </wp:inline>
        </w:drawing>
      </w:r>
    </w:p>
    <w:p w14:paraId="7849ED27" w14:textId="3DB17E9F" w:rsidR="0075360A" w:rsidRDefault="00A42CD9" w:rsidP="00A42CD9">
      <w:pPr>
        <w:pStyle w:val="Geenafstand"/>
        <w:spacing w:line="276" w:lineRule="auto"/>
        <w:jc w:val="both"/>
        <w:rPr>
          <w:b/>
          <w:bCs/>
          <w:color w:val="2C307E"/>
        </w:rPr>
      </w:pPr>
      <w:r w:rsidRPr="00802BC0">
        <w:rPr>
          <w:b/>
          <w:bCs/>
          <w:color w:val="2C307E"/>
        </w:rPr>
        <w:lastRenderedPageBreak/>
        <w:t>EV-rijders hechten meer waarde aan laadzekerheid.</w:t>
      </w:r>
      <w:r>
        <w:rPr>
          <w:b/>
          <w:bCs/>
          <w:color w:val="2C307E"/>
        </w:rPr>
        <w:t xml:space="preserve"> [N=925]</w:t>
      </w:r>
    </w:p>
    <w:p w14:paraId="471BF26B" w14:textId="5CD55597" w:rsidR="00A42CD9" w:rsidRPr="0075360A" w:rsidRDefault="00A42CD9" w:rsidP="00A42CD9">
      <w:pPr>
        <w:pStyle w:val="Geenafstand"/>
        <w:spacing w:line="276" w:lineRule="auto"/>
        <w:jc w:val="both"/>
        <w:rPr>
          <w:color w:val="2C307E"/>
        </w:rPr>
      </w:pPr>
      <w:r w:rsidRPr="00FE625E">
        <w:rPr>
          <w:color w:val="2C307E"/>
        </w:rPr>
        <w:t>In</w:t>
      </w:r>
      <w:r>
        <w:rPr>
          <w:color w:val="2C307E"/>
        </w:rPr>
        <w:t xml:space="preserve"> 2023 gaf 72%</w:t>
      </w:r>
      <w:r w:rsidRPr="00FE625E">
        <w:rPr>
          <w:color w:val="2C307E"/>
        </w:rPr>
        <w:t xml:space="preserve"> van de EV-rijders aan alleen voor slim laden te kiezen bij zekerheid over het minimale laadvolume</w:t>
      </w:r>
      <w:r>
        <w:rPr>
          <w:color w:val="2C307E"/>
        </w:rPr>
        <w:t xml:space="preserve">, in </w:t>
      </w:r>
      <w:r w:rsidRPr="00FE625E">
        <w:rPr>
          <w:color w:val="2C307E"/>
        </w:rPr>
        <w:t xml:space="preserve">2024 </w:t>
      </w:r>
      <w:r>
        <w:rPr>
          <w:color w:val="2C307E"/>
        </w:rPr>
        <w:t>was dat afgenomen naar</w:t>
      </w:r>
      <w:r w:rsidRPr="00FE625E">
        <w:rPr>
          <w:color w:val="2C307E"/>
        </w:rPr>
        <w:t xml:space="preserve"> 43%. In 2025 is dit percentage </w:t>
      </w:r>
      <w:r>
        <w:rPr>
          <w:color w:val="2C307E"/>
        </w:rPr>
        <w:t xml:space="preserve">weer </w:t>
      </w:r>
      <w:r w:rsidRPr="00FE625E">
        <w:rPr>
          <w:color w:val="2C307E"/>
        </w:rPr>
        <w:t xml:space="preserve">gestegen naar 72%. EV-rijders </w:t>
      </w:r>
      <w:r>
        <w:rPr>
          <w:color w:val="2C307E"/>
        </w:rPr>
        <w:t>hebben</w:t>
      </w:r>
      <w:r w:rsidRPr="00FE625E">
        <w:rPr>
          <w:color w:val="2C307E"/>
        </w:rPr>
        <w:t xml:space="preserve"> behoefte aan laadzekerheid. De zakelijke EV-rijders zijn het over het algemeen meer </w:t>
      </w:r>
      <w:r w:rsidRPr="0075360A">
        <w:rPr>
          <w:color w:val="2C307E"/>
        </w:rPr>
        <w:t>(helemaal) eens met dit argument (75%) ten opzichte van privé EV-rijders (71%).</w:t>
      </w:r>
    </w:p>
    <w:p w14:paraId="47EA557B" w14:textId="4CB31BB4" w:rsidR="00A42CD9" w:rsidRPr="0075360A" w:rsidRDefault="00A42CD9" w:rsidP="00A42CD9">
      <w:pPr>
        <w:pStyle w:val="Geenafstand"/>
        <w:spacing w:line="276" w:lineRule="auto"/>
        <w:jc w:val="both"/>
        <w:rPr>
          <w:color w:val="2C307E"/>
        </w:rPr>
      </w:pPr>
      <w:r w:rsidRPr="0075360A">
        <w:rPr>
          <w:color w:val="2C307E"/>
        </w:rPr>
        <w:t>Meer dan de helft van de EV-rijders vindt het belangrijk om te weten dat hun voertuig slim wordt geladen. [N=925]</w:t>
      </w:r>
    </w:p>
    <w:p w14:paraId="03DE2A80" w14:textId="3FA7C675" w:rsidR="00304305" w:rsidRPr="0075360A" w:rsidRDefault="00A42CD9" w:rsidP="0075360A">
      <w:pPr>
        <w:pStyle w:val="Geenafstand"/>
        <w:spacing w:line="276" w:lineRule="auto"/>
        <w:jc w:val="both"/>
        <w:rPr>
          <w:color w:val="2C307E"/>
        </w:rPr>
      </w:pPr>
      <w:r w:rsidRPr="0075360A">
        <w:rPr>
          <w:color w:val="2C307E"/>
        </w:rPr>
        <w:t xml:space="preserve">55% geeft aan deze informatie te willen ontvangen, dat is ongeveer gelijk aan de resultaten van 2024. </w:t>
      </w:r>
    </w:p>
    <w:p w14:paraId="4570F757" w14:textId="47C9BC7D" w:rsidR="0075360A" w:rsidRDefault="0075360A" w:rsidP="0075360A">
      <w:pPr>
        <w:pStyle w:val="Geenafstand"/>
        <w:spacing w:line="276" w:lineRule="auto"/>
        <w:jc w:val="both"/>
        <w:rPr>
          <w:b/>
          <w:bCs/>
          <w:color w:val="2C307E"/>
        </w:rPr>
      </w:pPr>
    </w:p>
    <w:p w14:paraId="63B8EBF2" w14:textId="2ECE562B" w:rsidR="00304305" w:rsidRDefault="00304305" w:rsidP="0075360A">
      <w:pPr>
        <w:pStyle w:val="Geenafstand"/>
        <w:spacing w:line="276" w:lineRule="auto"/>
        <w:jc w:val="both"/>
        <w:rPr>
          <w:b/>
          <w:bCs/>
          <w:color w:val="2C307E"/>
        </w:rPr>
      </w:pPr>
      <w:r w:rsidRPr="00802BC0">
        <w:rPr>
          <w:b/>
          <w:bCs/>
          <w:color w:val="2C307E"/>
        </w:rPr>
        <w:t xml:space="preserve">77% van EV-rijders wil de mogelijkheid hebben om slim laden uit te zetten. </w:t>
      </w:r>
      <w:r>
        <w:rPr>
          <w:b/>
          <w:bCs/>
          <w:color w:val="2C307E"/>
        </w:rPr>
        <w:t>[N=925]</w:t>
      </w:r>
    </w:p>
    <w:p w14:paraId="48409362" w14:textId="7E474AA0" w:rsidR="00304305" w:rsidRPr="0075360A" w:rsidRDefault="00304305" w:rsidP="00304305">
      <w:pPr>
        <w:pStyle w:val="Geenafstand"/>
        <w:spacing w:line="276" w:lineRule="auto"/>
        <w:jc w:val="both"/>
        <w:rPr>
          <w:color w:val="2C307E"/>
        </w:rPr>
      </w:pPr>
      <w:r w:rsidRPr="0075360A">
        <w:rPr>
          <w:color w:val="2C307E"/>
        </w:rPr>
        <w:t>Dat is een stijging van 7 procentpunt ten opzichte van 2024.</w:t>
      </w:r>
    </w:p>
    <w:p w14:paraId="7D8F8C40" w14:textId="2DD479E9" w:rsidR="00A42CD9" w:rsidRDefault="0075360A" w:rsidP="00753663">
      <w:pPr>
        <w:jc w:val="both"/>
        <w:rPr>
          <w:b/>
          <w:bCs/>
          <w:color w:val="2C307E"/>
        </w:rPr>
      </w:pPr>
      <w:r>
        <w:rPr>
          <w:noProof/>
        </w:rPr>
        <w:drawing>
          <wp:anchor distT="0" distB="0" distL="114300" distR="114300" simplePos="0" relativeHeight="251658265" behindDoc="0" locked="0" layoutInCell="1" allowOverlap="1" wp14:anchorId="162FD973" wp14:editId="0F1B9B42">
            <wp:simplePos x="0" y="0"/>
            <wp:positionH relativeFrom="margin">
              <wp:posOffset>-113030</wp:posOffset>
            </wp:positionH>
            <wp:positionV relativeFrom="paragraph">
              <wp:posOffset>320040</wp:posOffset>
            </wp:positionV>
            <wp:extent cx="5827395" cy="3930650"/>
            <wp:effectExtent l="0" t="0" r="1905" b="12700"/>
            <wp:wrapSquare wrapText="bothSides"/>
            <wp:docPr id="1275692874" name="Chart 1">
              <a:extLst xmlns:a="http://schemas.openxmlformats.org/drawingml/2006/main">
                <a:ext uri="{FF2B5EF4-FFF2-40B4-BE49-F238E27FC236}">
                  <a16:creationId xmlns:a16="http://schemas.microsoft.com/office/drawing/2014/main" id="{1E8FAC5F-7259-420C-9A60-FF9B5E95C3D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0"/>
              </a:graphicData>
            </a:graphic>
            <wp14:sizeRelH relativeFrom="page">
              <wp14:pctWidth>0</wp14:pctWidth>
            </wp14:sizeRelH>
            <wp14:sizeRelV relativeFrom="page">
              <wp14:pctHeight>0</wp14:pctHeight>
            </wp14:sizeRelV>
          </wp:anchor>
        </w:drawing>
      </w:r>
    </w:p>
    <w:p w14:paraId="5018E2F6" w14:textId="0BD65AEA" w:rsidR="00A42CD9" w:rsidRDefault="00A42CD9" w:rsidP="00753663">
      <w:pPr>
        <w:jc w:val="both"/>
        <w:rPr>
          <w:b/>
          <w:bCs/>
          <w:color w:val="2C307E"/>
        </w:rPr>
      </w:pPr>
    </w:p>
    <w:p w14:paraId="30A46E9B" w14:textId="3E850CC2" w:rsidR="00753663" w:rsidRPr="00802BC0" w:rsidRDefault="00753663" w:rsidP="00753663">
      <w:pPr>
        <w:jc w:val="both"/>
        <w:rPr>
          <w:color w:val="2C307E"/>
        </w:rPr>
      </w:pPr>
      <w:r w:rsidRPr="00802BC0">
        <w:rPr>
          <w:b/>
          <w:bCs/>
          <w:color w:val="2C307E"/>
        </w:rPr>
        <w:t xml:space="preserve">62% wil alleen zelf bepalen of er slim wordt geladen aan de openbare laadpaal. [N=1.851] </w:t>
      </w:r>
      <w:r w:rsidRPr="00802BC0">
        <w:rPr>
          <w:color w:val="2C307E"/>
        </w:rPr>
        <w:br/>
        <w:t xml:space="preserve">22% geeft aan dat een netbeheerder, laadpaalbeheerder of autofabrikant voor hun slim mag laden. </w:t>
      </w:r>
      <w:r w:rsidR="00FE625E">
        <w:rPr>
          <w:color w:val="2C307E"/>
        </w:rPr>
        <w:t>Dat is iets meer dan in</w:t>
      </w:r>
      <w:r w:rsidRPr="00802BC0">
        <w:rPr>
          <w:color w:val="2C307E"/>
        </w:rPr>
        <w:t xml:space="preserve"> 2024.</w:t>
      </w:r>
    </w:p>
    <w:p w14:paraId="2F3400DC" w14:textId="3A64AA43" w:rsidR="00753663" w:rsidRDefault="00753663" w:rsidP="00753663">
      <w:pPr>
        <w:jc w:val="both"/>
        <w:rPr>
          <w:rFonts w:asciiTheme="majorHAnsi" w:eastAsiaTheme="majorEastAsia" w:hAnsiTheme="majorHAnsi" w:cstheme="majorBidi"/>
          <w:color w:val="2F5496" w:themeColor="accent1" w:themeShade="BF"/>
          <w:sz w:val="26"/>
          <w:szCs w:val="26"/>
        </w:rPr>
      </w:pPr>
      <w:r w:rsidRPr="00802BC0">
        <w:rPr>
          <w:noProof/>
          <w:color w:val="2C307E"/>
        </w:rPr>
        <w:drawing>
          <wp:inline distT="0" distB="0" distL="0" distR="0" wp14:anchorId="28C8533E" wp14:editId="55695B23">
            <wp:extent cx="2606675" cy="3116911"/>
            <wp:effectExtent l="0" t="0" r="0" b="0"/>
            <wp:docPr id="908565147" name="Chart 1">
              <a:extLst xmlns:a="http://schemas.openxmlformats.org/drawingml/2006/main">
                <a:ext uri="{FF2B5EF4-FFF2-40B4-BE49-F238E27FC236}">
                  <a16:creationId xmlns:a16="http://schemas.microsoft.com/office/drawing/2014/main" id="{62656F3E-AA81-1C61-C5E7-38FA600A23E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1"/>
              </a:graphicData>
            </a:graphic>
          </wp:inline>
        </w:drawing>
      </w:r>
    </w:p>
    <w:p w14:paraId="4568072C" w14:textId="77777777" w:rsidR="00F96998" w:rsidRDefault="00F96998">
      <w:pPr>
        <w:rPr>
          <w:rFonts w:asciiTheme="majorHAnsi" w:eastAsiaTheme="majorEastAsia" w:hAnsiTheme="majorHAnsi" w:cstheme="majorBidi"/>
          <w:color w:val="2F5496" w:themeColor="accent1" w:themeShade="BF"/>
          <w:sz w:val="26"/>
          <w:szCs w:val="26"/>
        </w:rPr>
      </w:pPr>
      <w:r>
        <w:br w:type="page"/>
      </w:r>
    </w:p>
    <w:p w14:paraId="0E5AF105" w14:textId="77777777" w:rsidR="00A90E06" w:rsidRPr="00A90E06" w:rsidRDefault="00A90E06" w:rsidP="00A90E06">
      <w:pPr>
        <w:pStyle w:val="Kop2"/>
      </w:pPr>
      <w:bookmarkStart w:id="103" w:name="_Toc209702009"/>
      <w:bookmarkStart w:id="104" w:name="_Toc209702102"/>
      <w:bookmarkStart w:id="105" w:name="_Toc209702587"/>
      <w:bookmarkStart w:id="106" w:name="_Toc209710062"/>
      <w:r w:rsidRPr="00A90E06">
        <w:lastRenderedPageBreak/>
        <w:t>Afmelden voor slim laden</w:t>
      </w:r>
      <w:bookmarkEnd w:id="103"/>
      <w:bookmarkEnd w:id="104"/>
      <w:bookmarkEnd w:id="105"/>
      <w:bookmarkEnd w:id="106"/>
    </w:p>
    <w:p w14:paraId="7556640E" w14:textId="6B9CD570" w:rsidR="00A90E06" w:rsidRDefault="00A90E06" w:rsidP="00A90E06">
      <w:pPr>
        <w:pStyle w:val="Geenafstand"/>
        <w:spacing w:line="276" w:lineRule="auto"/>
        <w:jc w:val="both"/>
        <w:rPr>
          <w:color w:val="2C307E"/>
        </w:rPr>
      </w:pPr>
      <w:r w:rsidRPr="00A90E06">
        <w:rPr>
          <w:color w:val="2C307E"/>
        </w:rPr>
        <w:t xml:space="preserve">Wanneer een EV-rijder aan de openbare laadpaal op tijd moet vertrekken en niet de tijd heeft om de laadsessie uit te stellen, kan er </w:t>
      </w:r>
      <w:r w:rsidR="001A3761">
        <w:rPr>
          <w:color w:val="2C307E"/>
        </w:rPr>
        <w:t xml:space="preserve">in sommige gevallen </w:t>
      </w:r>
      <w:r w:rsidRPr="00A90E06">
        <w:rPr>
          <w:color w:val="2C307E"/>
        </w:rPr>
        <w:t xml:space="preserve">gebruik gemaakt worden van een opt-out. </w:t>
      </w:r>
      <w:r w:rsidR="001A3761">
        <w:rPr>
          <w:color w:val="2C307E"/>
        </w:rPr>
        <w:t xml:space="preserve">De EV-rijder meldt zich </w:t>
      </w:r>
      <w:r w:rsidR="001A3761" w:rsidRPr="00A6581C">
        <w:rPr>
          <w:color w:val="2C307E"/>
        </w:rPr>
        <w:t xml:space="preserve">af </w:t>
      </w:r>
      <w:r w:rsidR="00A6581C" w:rsidRPr="00A6581C">
        <w:rPr>
          <w:color w:val="2C307E"/>
        </w:rPr>
        <w:t>en</w:t>
      </w:r>
      <w:r w:rsidRPr="00A6581C">
        <w:rPr>
          <w:color w:val="2C307E"/>
        </w:rPr>
        <w:t xml:space="preserve"> de laadsessie </w:t>
      </w:r>
      <w:r w:rsidR="00A6581C" w:rsidRPr="00A6581C">
        <w:rPr>
          <w:color w:val="2C307E"/>
        </w:rPr>
        <w:t xml:space="preserve">wordt </w:t>
      </w:r>
      <w:r w:rsidRPr="00A6581C">
        <w:rPr>
          <w:color w:val="2C307E"/>
        </w:rPr>
        <w:t>uitgesloten van slim laden.</w:t>
      </w:r>
    </w:p>
    <w:p w14:paraId="51DD10DA" w14:textId="5DCBFA83" w:rsidR="00A90E06" w:rsidRPr="00A90E06" w:rsidRDefault="00A90E06" w:rsidP="00A90E06">
      <w:pPr>
        <w:pStyle w:val="Geenafstand"/>
        <w:spacing w:line="276" w:lineRule="auto"/>
        <w:jc w:val="both"/>
        <w:rPr>
          <w:color w:val="2C307E"/>
        </w:rPr>
      </w:pPr>
      <w:r w:rsidRPr="00A90E06">
        <w:rPr>
          <w:color w:val="2C307E"/>
        </w:rPr>
        <w:t xml:space="preserve"> </w:t>
      </w:r>
    </w:p>
    <w:p w14:paraId="1A83A24A" w14:textId="7AB50A1E" w:rsidR="007961E3" w:rsidRPr="00A90E06" w:rsidRDefault="007961E3" w:rsidP="007961E3">
      <w:pPr>
        <w:pStyle w:val="Geenafstand"/>
        <w:spacing w:line="276" w:lineRule="auto"/>
        <w:jc w:val="both"/>
        <w:rPr>
          <w:b/>
          <w:bCs/>
          <w:color w:val="2C307E"/>
        </w:rPr>
      </w:pPr>
      <w:r w:rsidRPr="00A079E1">
        <w:rPr>
          <w:b/>
          <w:bCs/>
          <w:color w:val="2C307E"/>
        </w:rPr>
        <w:t>8</w:t>
      </w:r>
      <w:r w:rsidRPr="006D7187">
        <w:rPr>
          <w:b/>
          <w:bCs/>
          <w:color w:val="2C307E"/>
        </w:rPr>
        <w:t>5% van de EV-rijders geeft aan niet bekend te zijn met de opt-out mogelijkheid aan de openbare laadpaal.</w:t>
      </w:r>
      <w:r>
        <w:rPr>
          <w:b/>
          <w:bCs/>
          <w:color w:val="2C307E"/>
        </w:rPr>
        <w:t xml:space="preserve"> [N=1.850]</w:t>
      </w:r>
    </w:p>
    <w:p w14:paraId="7173D42C" w14:textId="39F5DDFC" w:rsidR="00D50235" w:rsidRPr="00D72030" w:rsidRDefault="00A90E06" w:rsidP="00D72030">
      <w:pPr>
        <w:pStyle w:val="Geenafstand"/>
        <w:spacing w:line="276" w:lineRule="auto"/>
        <w:jc w:val="both"/>
        <w:rPr>
          <w:b/>
          <w:bCs/>
          <w:color w:val="2C307E"/>
        </w:rPr>
      </w:pPr>
      <w:r w:rsidRPr="006D7187">
        <w:rPr>
          <w:noProof/>
        </w:rPr>
        <w:drawing>
          <wp:inline distT="0" distB="0" distL="0" distR="0" wp14:anchorId="08C7ADC1" wp14:editId="073468A6">
            <wp:extent cx="2655570" cy="1753738"/>
            <wp:effectExtent l="0" t="0" r="0" b="0"/>
            <wp:docPr id="299298190" name="Chart 1">
              <a:extLst xmlns:a="http://schemas.openxmlformats.org/drawingml/2006/main">
                <a:ext uri="{FF2B5EF4-FFF2-40B4-BE49-F238E27FC236}">
                  <a16:creationId xmlns:a16="http://schemas.microsoft.com/office/drawing/2014/main" id="{3EF8A59C-33D4-241B-AD21-370C6D2AADC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2"/>
              </a:graphicData>
            </a:graphic>
          </wp:inline>
        </w:drawing>
      </w:r>
      <w:r w:rsidR="00A611E2" w:rsidRPr="006D7187">
        <w:rPr>
          <w:b/>
          <w:bCs/>
          <w:color w:val="2C307E"/>
        </w:rPr>
        <w:t>Er wordt zelden gebruik gemaakt van de opt-out mogelijkheid. [N=279]</w:t>
      </w:r>
    </w:p>
    <w:p w14:paraId="039F8F87" w14:textId="6FE4FB53" w:rsidR="00A611E2" w:rsidRPr="00D72030" w:rsidRDefault="00A611E2" w:rsidP="00A611E2">
      <w:pPr>
        <w:pStyle w:val="Geenafstand"/>
        <w:spacing w:line="276" w:lineRule="auto"/>
        <w:jc w:val="both"/>
        <w:rPr>
          <w:color w:val="2C307E"/>
        </w:rPr>
      </w:pPr>
      <w:r w:rsidRPr="00D72030">
        <w:rPr>
          <w:color w:val="2C307E"/>
        </w:rPr>
        <w:t xml:space="preserve">Van de EV-rijders die wel bekend zijn met de opt-out mogelijkheid, geeft 84% aan hier nooit gebruik van te hebben gemaakt. Daarnaast zegt 7% deze zelden te gebruiken, slechts 3% geeft aan er vaak gebruik van te maken. Het is hierbij belangrijk om te benadrukken dat de opt-out </w:t>
      </w:r>
      <w:r w:rsidR="009C0060" w:rsidRPr="00D72030">
        <w:rPr>
          <w:color w:val="2C307E"/>
        </w:rPr>
        <w:t>mogelijkheid</w:t>
      </w:r>
      <w:r w:rsidRPr="00D72030">
        <w:rPr>
          <w:color w:val="2C307E"/>
        </w:rPr>
        <w:t xml:space="preserve"> momenteel nog beperkt is geïmplementeerd.</w:t>
      </w:r>
    </w:p>
    <w:p w14:paraId="1B51E51E" w14:textId="77777777" w:rsidR="00A611E2" w:rsidRPr="006D7187" w:rsidRDefault="00A611E2" w:rsidP="00A611E2">
      <w:pPr>
        <w:pStyle w:val="Geenafstand"/>
        <w:spacing w:line="276" w:lineRule="auto"/>
        <w:jc w:val="both"/>
        <w:rPr>
          <w:color w:val="2C307E"/>
        </w:rPr>
      </w:pPr>
      <w:r w:rsidRPr="006D7187">
        <w:rPr>
          <w:noProof/>
        </w:rPr>
        <w:drawing>
          <wp:inline distT="0" distB="0" distL="0" distR="0" wp14:anchorId="0C0F85A9" wp14:editId="0403CBCD">
            <wp:extent cx="2655570" cy="2544418"/>
            <wp:effectExtent l="0" t="0" r="0" b="0"/>
            <wp:docPr id="1998434528" name="Chart 1">
              <a:extLst xmlns:a="http://schemas.openxmlformats.org/drawingml/2006/main">
                <a:ext uri="{FF2B5EF4-FFF2-40B4-BE49-F238E27FC236}">
                  <a16:creationId xmlns:a16="http://schemas.microsoft.com/office/drawing/2014/main" id="{CEAE9A28-7DD6-3CE8-9BAC-A6CC28DF65B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3"/>
              </a:graphicData>
            </a:graphic>
          </wp:inline>
        </w:drawing>
      </w:r>
    </w:p>
    <w:p w14:paraId="35C9D219" w14:textId="77777777" w:rsidR="00BB50D0" w:rsidRDefault="00BB50D0" w:rsidP="00A611E2">
      <w:pPr>
        <w:pStyle w:val="Geenafstand"/>
        <w:spacing w:line="276" w:lineRule="auto"/>
        <w:jc w:val="both"/>
        <w:rPr>
          <w:b/>
          <w:bCs/>
          <w:color w:val="2C307E"/>
        </w:rPr>
      </w:pPr>
    </w:p>
    <w:p w14:paraId="65C45AE1" w14:textId="408B29A7" w:rsidR="00D72030" w:rsidRDefault="00A611E2" w:rsidP="00A611E2">
      <w:pPr>
        <w:pStyle w:val="Geenafstand"/>
        <w:spacing w:line="276" w:lineRule="auto"/>
        <w:jc w:val="both"/>
        <w:rPr>
          <w:b/>
          <w:bCs/>
          <w:color w:val="2C307E"/>
        </w:rPr>
      </w:pPr>
      <w:r>
        <w:rPr>
          <w:b/>
          <w:bCs/>
          <w:color w:val="2C307E"/>
        </w:rPr>
        <w:t xml:space="preserve">De EV-rijder </w:t>
      </w:r>
      <w:r w:rsidR="005E1FAD">
        <w:rPr>
          <w:b/>
          <w:bCs/>
          <w:color w:val="2C307E"/>
        </w:rPr>
        <w:t>wil de zekerheid van een</w:t>
      </w:r>
      <w:r>
        <w:rPr>
          <w:b/>
          <w:bCs/>
          <w:color w:val="2C307E"/>
        </w:rPr>
        <w:t xml:space="preserve"> opt-out mogelijkheid </w:t>
      </w:r>
      <w:r w:rsidR="00786722">
        <w:rPr>
          <w:b/>
          <w:bCs/>
          <w:color w:val="2C307E"/>
        </w:rPr>
        <w:t xml:space="preserve">aan de openbare laadpaal </w:t>
      </w:r>
      <w:r w:rsidR="005E1FAD">
        <w:rPr>
          <w:b/>
          <w:bCs/>
          <w:color w:val="2C307E"/>
        </w:rPr>
        <w:t>maar zal hier niet heel vaak gebruik van maken</w:t>
      </w:r>
      <w:r>
        <w:rPr>
          <w:b/>
          <w:bCs/>
          <w:color w:val="2C307E"/>
        </w:rPr>
        <w:t>.</w:t>
      </w:r>
      <w:r w:rsidRPr="00B46D21">
        <w:rPr>
          <w:b/>
          <w:bCs/>
          <w:color w:val="2C307E"/>
        </w:rPr>
        <w:t xml:space="preserve"> [N=1.828]</w:t>
      </w:r>
      <w:r>
        <w:rPr>
          <w:b/>
          <w:bCs/>
          <w:color w:val="2C307E"/>
        </w:rPr>
        <w:t xml:space="preserve"> </w:t>
      </w:r>
    </w:p>
    <w:p w14:paraId="11E494EF" w14:textId="4EF48F23" w:rsidR="00A611E2" w:rsidRPr="00D50235" w:rsidRDefault="00A611E2" w:rsidP="00A611E2">
      <w:pPr>
        <w:pStyle w:val="Geenafstand"/>
        <w:spacing w:line="276" w:lineRule="auto"/>
        <w:jc w:val="both"/>
        <w:rPr>
          <w:color w:val="2C307E"/>
        </w:rPr>
      </w:pPr>
      <w:r w:rsidRPr="00D50235">
        <w:rPr>
          <w:color w:val="2C307E"/>
        </w:rPr>
        <w:t>Het overgrote deel (70%) geeft aan zelden/soms gebruik te willen maken van de opt-out mogelijkheid. Daarmee geeft de EV-rijder aan het belangrijk te vinden de mogelijkheid te hebben tot afmelden v</w:t>
      </w:r>
      <w:r w:rsidR="00D50235">
        <w:rPr>
          <w:color w:val="2C307E"/>
        </w:rPr>
        <w:t>oor</w:t>
      </w:r>
      <w:r w:rsidRPr="00D50235">
        <w:rPr>
          <w:color w:val="2C307E"/>
        </w:rPr>
        <w:t xml:space="preserve"> slim laden, maar niet te verwachten deze</w:t>
      </w:r>
      <w:r w:rsidR="00D50235">
        <w:rPr>
          <w:color w:val="2C307E"/>
        </w:rPr>
        <w:t xml:space="preserve"> optie</w:t>
      </w:r>
      <w:r w:rsidRPr="00D50235">
        <w:rPr>
          <w:color w:val="2C307E"/>
        </w:rPr>
        <w:t xml:space="preserve"> op grote schaal te gaan gebruiken. </w:t>
      </w:r>
    </w:p>
    <w:p w14:paraId="093250FF" w14:textId="77777777" w:rsidR="00A611E2" w:rsidRPr="006D7187" w:rsidRDefault="00A611E2" w:rsidP="00A611E2">
      <w:pPr>
        <w:pStyle w:val="Geenafstand"/>
        <w:spacing w:line="276" w:lineRule="auto"/>
        <w:jc w:val="both"/>
        <w:rPr>
          <w:color w:val="2C307E"/>
        </w:rPr>
      </w:pPr>
      <w:r w:rsidRPr="006D7187">
        <w:rPr>
          <w:noProof/>
        </w:rPr>
        <w:drawing>
          <wp:inline distT="0" distB="0" distL="0" distR="0" wp14:anchorId="46C4065B" wp14:editId="1F376969">
            <wp:extent cx="2655570" cy="2340864"/>
            <wp:effectExtent l="0" t="0" r="0" b="0"/>
            <wp:docPr id="1425890271" name="Chart 1">
              <a:extLst xmlns:a="http://schemas.openxmlformats.org/drawingml/2006/main">
                <a:ext uri="{FF2B5EF4-FFF2-40B4-BE49-F238E27FC236}">
                  <a16:creationId xmlns:a16="http://schemas.microsoft.com/office/drawing/2014/main" id="{E45D52C8-1ED3-E993-C68F-29ACDD587BD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4"/>
              </a:graphicData>
            </a:graphic>
          </wp:inline>
        </w:drawing>
      </w:r>
      <w:r w:rsidRPr="006D7187">
        <w:rPr>
          <w:color w:val="2C307E"/>
        </w:rPr>
        <w:t xml:space="preserve">  </w:t>
      </w:r>
    </w:p>
    <w:p w14:paraId="030B499B" w14:textId="6BBF54F7" w:rsidR="00332B70" w:rsidRDefault="00A611E2" w:rsidP="00A611E2">
      <w:pPr>
        <w:pStyle w:val="Geenafstand"/>
        <w:spacing w:line="276" w:lineRule="auto"/>
        <w:jc w:val="both"/>
        <w:rPr>
          <w:b/>
          <w:color w:val="2C307E"/>
        </w:rPr>
      </w:pPr>
      <w:r>
        <w:rPr>
          <w:b/>
          <w:color w:val="2C307E"/>
        </w:rPr>
        <w:t>Extra kosten hebben beperkt effect op verwacht opt-out ge</w:t>
      </w:r>
      <w:r w:rsidR="00437C7F">
        <w:rPr>
          <w:b/>
          <w:color w:val="2C307E"/>
        </w:rPr>
        <w:t>bruik</w:t>
      </w:r>
      <w:r>
        <w:rPr>
          <w:b/>
          <w:color w:val="2C307E"/>
        </w:rPr>
        <w:t xml:space="preserve"> aan de openbare laadpaal. </w:t>
      </w:r>
      <w:r w:rsidRPr="006D7187">
        <w:rPr>
          <w:b/>
          <w:color w:val="2C307E"/>
        </w:rPr>
        <w:t>[N=1.827]</w:t>
      </w:r>
    </w:p>
    <w:p w14:paraId="180B25A7" w14:textId="014559E8" w:rsidR="00A611E2" w:rsidRDefault="000967D1" w:rsidP="00A611E2">
      <w:pPr>
        <w:pStyle w:val="Geenafstand"/>
        <w:spacing w:line="276" w:lineRule="auto"/>
        <w:jc w:val="both"/>
        <w:rPr>
          <w:color w:val="2C307E"/>
        </w:rPr>
      </w:pPr>
      <w:r>
        <w:rPr>
          <w:color w:val="2C307E"/>
        </w:rPr>
        <w:t xml:space="preserve">Zonder bijkomende kosten geeft 13% aan </w:t>
      </w:r>
      <w:r w:rsidR="00DE13AA">
        <w:rPr>
          <w:color w:val="2C307E"/>
        </w:rPr>
        <w:t>d</w:t>
      </w:r>
      <w:r>
        <w:rPr>
          <w:color w:val="2C307E"/>
        </w:rPr>
        <w:t>e opt-out nooit te zullen gebruiken. Bij extra kosten van 5 cent zegt een kwart af te zien van de opt-out.</w:t>
      </w:r>
      <w:r w:rsidR="00A611E2" w:rsidRPr="006D7187">
        <w:rPr>
          <w:color w:val="2C307E"/>
        </w:rPr>
        <w:t xml:space="preserve"> </w:t>
      </w:r>
      <w:r w:rsidR="00A611E2">
        <w:rPr>
          <w:color w:val="2C307E"/>
        </w:rPr>
        <w:t>B</w:t>
      </w:r>
      <w:r w:rsidR="00A611E2" w:rsidRPr="006D7187">
        <w:rPr>
          <w:color w:val="2C307E"/>
        </w:rPr>
        <w:t xml:space="preserve">ij een prijsprikkel van 10 cent per kWh zegt </w:t>
      </w:r>
      <w:r w:rsidR="00A611E2">
        <w:rPr>
          <w:color w:val="2C307E"/>
        </w:rPr>
        <w:t>21</w:t>
      </w:r>
      <w:r w:rsidR="00A611E2" w:rsidRPr="006D7187">
        <w:rPr>
          <w:color w:val="2C307E"/>
        </w:rPr>
        <w:t>%</w:t>
      </w:r>
      <w:r w:rsidR="00A611E2">
        <w:rPr>
          <w:color w:val="2C307E"/>
        </w:rPr>
        <w:t xml:space="preserve"> nooit gebruik te willen gaan maken van opt-out</w:t>
      </w:r>
      <w:r>
        <w:rPr>
          <w:color w:val="2C307E"/>
        </w:rPr>
        <w:t xml:space="preserve">. </w:t>
      </w:r>
    </w:p>
    <w:p w14:paraId="7EB0249F" w14:textId="63C384B3" w:rsidR="00A611E2" w:rsidRDefault="00A611E2" w:rsidP="00A611E2">
      <w:pPr>
        <w:pStyle w:val="Geenafstand"/>
        <w:spacing w:line="276" w:lineRule="auto"/>
        <w:jc w:val="both"/>
        <w:rPr>
          <w:color w:val="2C307E"/>
        </w:rPr>
      </w:pPr>
      <w:r>
        <w:rPr>
          <w:color w:val="2C307E"/>
        </w:rPr>
        <w:t xml:space="preserve">Bij 5 cent extra kosten geeft </w:t>
      </w:r>
      <w:r>
        <w:rPr>
          <w:bCs/>
          <w:color w:val="2C307E"/>
        </w:rPr>
        <w:t xml:space="preserve">11% van de EV-rijders aan opt-out (heel) vaak te gaan gebruiken. Dit percentage blijft relatief constant (10%) bij 10 cent extra kosten. </w:t>
      </w:r>
      <w:r w:rsidR="000967D1">
        <w:rPr>
          <w:bCs/>
          <w:color w:val="2C307E"/>
        </w:rPr>
        <w:t xml:space="preserve">Deze groep geeft daarmee aan dat de </w:t>
      </w:r>
      <w:r w:rsidRPr="006D7187">
        <w:rPr>
          <w:color w:val="2C307E"/>
        </w:rPr>
        <w:t xml:space="preserve">behoefte </w:t>
      </w:r>
      <w:r>
        <w:rPr>
          <w:color w:val="2C307E"/>
        </w:rPr>
        <w:t>om</w:t>
      </w:r>
      <w:r w:rsidRPr="006D7187">
        <w:rPr>
          <w:color w:val="2C307E"/>
        </w:rPr>
        <w:t xml:space="preserve"> controle over de laadsessie zwaarder weegt dan de extra kosten per geladen kWh.</w:t>
      </w:r>
    </w:p>
    <w:p w14:paraId="1F98DE45" w14:textId="42127A09" w:rsidR="002929F2" w:rsidRDefault="002929F2" w:rsidP="00A611E2">
      <w:pPr>
        <w:pStyle w:val="Geenafstand"/>
        <w:spacing w:line="276" w:lineRule="auto"/>
        <w:jc w:val="both"/>
        <w:rPr>
          <w:color w:val="2C307E"/>
        </w:rPr>
      </w:pPr>
      <w:r>
        <w:rPr>
          <w:noProof/>
        </w:rPr>
        <w:lastRenderedPageBreak/>
        <w:drawing>
          <wp:inline distT="0" distB="0" distL="0" distR="0" wp14:anchorId="59E07320" wp14:editId="0E34C011">
            <wp:extent cx="2655570" cy="3204058"/>
            <wp:effectExtent l="0" t="0" r="0" b="0"/>
            <wp:docPr id="1728125409" name="Chart 1">
              <a:extLst xmlns:a="http://schemas.openxmlformats.org/drawingml/2006/main">
                <a:ext uri="{FF2B5EF4-FFF2-40B4-BE49-F238E27FC236}">
                  <a16:creationId xmlns:a16="http://schemas.microsoft.com/office/drawing/2014/main" id="{E689A139-FF48-8EDD-F961-9E7C17A0EE5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5"/>
              </a:graphicData>
            </a:graphic>
          </wp:inline>
        </w:drawing>
      </w:r>
    </w:p>
    <w:p w14:paraId="4DADC183" w14:textId="10476FCE" w:rsidR="00A611E2" w:rsidRPr="0085594B" w:rsidRDefault="00A611E2" w:rsidP="00A611E2">
      <w:pPr>
        <w:pStyle w:val="Geenafstand"/>
        <w:spacing w:line="276" w:lineRule="auto"/>
        <w:jc w:val="both"/>
        <w:rPr>
          <w:bCs/>
          <w:color w:val="2C307E"/>
        </w:rPr>
      </w:pPr>
      <w:r>
        <w:rPr>
          <w:color w:val="2C307E"/>
        </w:rPr>
        <w:t>Van de zakelijke rijders geeft 16% aan (heel) vaak opt-out te gaan gebruiken bij 5 cent extra kosten, 14% bij 10 cent extra kosten. Het percentage dat aangeeft dit zelden tot nooit te doen daalt naar 54% en 51% respectievelijk.</w:t>
      </w:r>
      <w:r w:rsidR="000967D1">
        <w:rPr>
          <w:color w:val="2C307E"/>
        </w:rPr>
        <w:t xml:space="preserve"> </w:t>
      </w:r>
      <w:r>
        <w:rPr>
          <w:color w:val="2C307E"/>
        </w:rPr>
        <w:t xml:space="preserve">De privé EV-rijder, die vaker zelf verantwoordelijk is voor de laadkosten, geeft aan zelden tot nooit gebruik te gaan maken van opt-out </w:t>
      </w:r>
      <w:r w:rsidR="000967D1">
        <w:rPr>
          <w:color w:val="2C307E"/>
        </w:rPr>
        <w:t xml:space="preserve">bij 5 cent of 10 cent extra kosten </w:t>
      </w:r>
      <w:r>
        <w:rPr>
          <w:color w:val="2C307E"/>
        </w:rPr>
        <w:t>(66% en 67% respectievelijk). Slechts 8% van de privé EV-rijders geeft aan (heel) vaak gebruik te willen maken</w:t>
      </w:r>
      <w:r w:rsidR="000967D1">
        <w:rPr>
          <w:color w:val="2C307E"/>
        </w:rPr>
        <w:t xml:space="preserve"> van de opt-out optie met bijkomende kosten. </w:t>
      </w:r>
    </w:p>
    <w:p w14:paraId="4C451793" w14:textId="77777777" w:rsidR="00BB50D0" w:rsidRDefault="00BB50D0" w:rsidP="00A611E2">
      <w:pPr>
        <w:pStyle w:val="Geenafstand"/>
        <w:spacing w:line="276" w:lineRule="auto"/>
        <w:jc w:val="both"/>
        <w:rPr>
          <w:rFonts w:asciiTheme="majorHAnsi" w:eastAsiaTheme="majorEastAsia" w:hAnsiTheme="majorHAnsi" w:cstheme="majorBidi"/>
          <w:color w:val="2F5496" w:themeColor="accent1" w:themeShade="BF"/>
          <w:sz w:val="26"/>
          <w:szCs w:val="26"/>
        </w:rPr>
      </w:pPr>
    </w:p>
    <w:p w14:paraId="1B0FAB02" w14:textId="1A8DC82D" w:rsidR="00BE2E9C" w:rsidRPr="00BE2E9C" w:rsidRDefault="00BE2E9C" w:rsidP="00A611E2">
      <w:pPr>
        <w:pStyle w:val="Geenafstand"/>
        <w:spacing w:line="276" w:lineRule="auto"/>
        <w:jc w:val="both"/>
        <w:rPr>
          <w:rFonts w:asciiTheme="majorHAnsi" w:eastAsiaTheme="majorEastAsia" w:hAnsiTheme="majorHAnsi" w:cstheme="majorBidi"/>
          <w:color w:val="2F5496" w:themeColor="accent1" w:themeShade="BF"/>
          <w:sz w:val="26"/>
          <w:szCs w:val="26"/>
        </w:rPr>
      </w:pPr>
      <w:r w:rsidRPr="00BE2E9C">
        <w:rPr>
          <w:rFonts w:asciiTheme="majorHAnsi" w:eastAsiaTheme="majorEastAsia" w:hAnsiTheme="majorHAnsi" w:cstheme="majorBidi"/>
          <w:color w:val="2F5496" w:themeColor="accent1" w:themeShade="BF"/>
          <w:sz w:val="26"/>
          <w:szCs w:val="26"/>
        </w:rPr>
        <w:t>Vertrektijden doorgeven</w:t>
      </w:r>
    </w:p>
    <w:p w14:paraId="7AE63ABF" w14:textId="32C6E027" w:rsidR="007F6564" w:rsidRDefault="00692AA5" w:rsidP="00A611E2">
      <w:pPr>
        <w:pStyle w:val="Geenafstand"/>
        <w:spacing w:line="276" w:lineRule="auto"/>
        <w:jc w:val="both"/>
        <w:rPr>
          <w:b/>
          <w:bCs/>
          <w:color w:val="2C307E"/>
        </w:rPr>
      </w:pPr>
      <w:r>
        <w:rPr>
          <w:b/>
          <w:bCs/>
          <w:color w:val="2C307E"/>
        </w:rPr>
        <w:t>5</w:t>
      </w:r>
      <w:r w:rsidR="00A611E2" w:rsidRPr="006D7187">
        <w:rPr>
          <w:b/>
          <w:bCs/>
          <w:color w:val="2C307E"/>
        </w:rPr>
        <w:t xml:space="preserve">6% van de EV-rijders is bereid om via een app aan te geven wanneer ze vertrekken, en hun </w:t>
      </w:r>
      <w:r w:rsidR="002F091D">
        <w:rPr>
          <w:b/>
          <w:bCs/>
          <w:color w:val="2C307E"/>
        </w:rPr>
        <w:t>batterij</w:t>
      </w:r>
      <w:r w:rsidR="00A611E2" w:rsidRPr="006D7187">
        <w:rPr>
          <w:b/>
          <w:bCs/>
          <w:color w:val="2C307E"/>
        </w:rPr>
        <w:t xml:space="preserve"> volgeladen moet zijn. [N=1.828]</w:t>
      </w:r>
    </w:p>
    <w:p w14:paraId="6146A109" w14:textId="2854C486" w:rsidR="00A611E2" w:rsidRPr="006D7187" w:rsidRDefault="00A611E2" w:rsidP="00A611E2">
      <w:pPr>
        <w:pStyle w:val="Geenafstand"/>
        <w:spacing w:line="276" w:lineRule="auto"/>
        <w:jc w:val="both"/>
        <w:rPr>
          <w:color w:val="2C307E"/>
        </w:rPr>
      </w:pPr>
      <w:r w:rsidRPr="006D7187">
        <w:rPr>
          <w:color w:val="2C307E"/>
        </w:rPr>
        <w:t>Wanneer de vertrektijd van de EV-rijder, en daarmee de eindtijd van de laadsessie, bekend is, kan de laadsessie optimaal worden inge</w:t>
      </w:r>
      <w:r w:rsidR="00692AA5">
        <w:rPr>
          <w:color w:val="2C307E"/>
        </w:rPr>
        <w:t>pland</w:t>
      </w:r>
      <w:r w:rsidRPr="006D7187">
        <w:rPr>
          <w:color w:val="2C307E"/>
        </w:rPr>
        <w:t xml:space="preserve">. Dit maakt het mogelijk om zoveel mogelijk duurzame energie te gebruiken </w:t>
      </w:r>
      <w:r w:rsidR="000448E1">
        <w:rPr>
          <w:color w:val="2C307E"/>
        </w:rPr>
        <w:t>en/</w:t>
      </w:r>
      <w:r w:rsidRPr="006D7187">
        <w:rPr>
          <w:color w:val="2C307E"/>
        </w:rPr>
        <w:t xml:space="preserve">of het elektriciteitsnet zo min mogelijk te belasten. Meer dan de helft van de </w:t>
      </w:r>
      <w:r w:rsidR="008A1648">
        <w:rPr>
          <w:color w:val="2C307E"/>
        </w:rPr>
        <w:t>EV-rijders</w:t>
      </w:r>
      <w:r w:rsidRPr="006D7187">
        <w:rPr>
          <w:color w:val="2C307E"/>
        </w:rPr>
        <w:t xml:space="preserve"> geeft aan dit </w:t>
      </w:r>
      <w:r>
        <w:rPr>
          <w:color w:val="2C307E"/>
        </w:rPr>
        <w:t xml:space="preserve">(heel) </w:t>
      </w:r>
      <w:r w:rsidRPr="006D7187">
        <w:rPr>
          <w:color w:val="2C307E"/>
        </w:rPr>
        <w:t>vaak te willen doen.</w:t>
      </w:r>
      <w:r w:rsidR="000967D1">
        <w:rPr>
          <w:color w:val="2C307E"/>
        </w:rPr>
        <w:t xml:space="preserve"> Dit sluit aan bij de behoefte aan controle en laadzekerheid, en weerlegt de angst om niet </w:t>
      </w:r>
      <w:r w:rsidR="000967D1">
        <w:rPr>
          <w:color w:val="2C307E"/>
        </w:rPr>
        <w:t xml:space="preserve">genoeg volgeladen te zijn bij vertrek door slim laden. </w:t>
      </w:r>
      <w:r w:rsidR="000448E1">
        <w:rPr>
          <w:color w:val="2C307E"/>
        </w:rPr>
        <w:t>Daarentegen</w:t>
      </w:r>
      <w:r w:rsidRPr="006D7187">
        <w:rPr>
          <w:color w:val="2C307E"/>
        </w:rPr>
        <w:t xml:space="preserve"> geeft 24% aan dit zelden tot nooit te willen doen, wat een stijging is ten opzichte van 2024.</w:t>
      </w:r>
      <w:r w:rsidR="000967D1">
        <w:rPr>
          <w:color w:val="2C307E"/>
        </w:rPr>
        <w:t xml:space="preserve"> </w:t>
      </w:r>
    </w:p>
    <w:p w14:paraId="32758D4E" w14:textId="77777777" w:rsidR="00A611E2" w:rsidRPr="006D7187" w:rsidRDefault="00A611E2" w:rsidP="00A611E2">
      <w:pPr>
        <w:pStyle w:val="Geenafstand"/>
        <w:spacing w:line="276" w:lineRule="auto"/>
        <w:jc w:val="both"/>
        <w:rPr>
          <w:color w:val="2C307E"/>
        </w:rPr>
      </w:pPr>
      <w:r>
        <w:rPr>
          <w:noProof/>
        </w:rPr>
        <w:drawing>
          <wp:inline distT="0" distB="0" distL="0" distR="0" wp14:anchorId="7F4917EA" wp14:editId="78C56EBC">
            <wp:extent cx="2655570" cy="2695493"/>
            <wp:effectExtent l="0" t="0" r="0" b="0"/>
            <wp:docPr id="561909964" name="Chart 1">
              <a:extLst xmlns:a="http://schemas.openxmlformats.org/drawingml/2006/main">
                <a:ext uri="{FF2B5EF4-FFF2-40B4-BE49-F238E27FC236}">
                  <a16:creationId xmlns:a16="http://schemas.microsoft.com/office/drawing/2014/main" id="{B0B6A78C-2DDC-D041-12F1-23A060DEE5D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6"/>
              </a:graphicData>
            </a:graphic>
          </wp:inline>
        </w:drawing>
      </w:r>
    </w:p>
    <w:p w14:paraId="019EC841" w14:textId="4C1EDD42" w:rsidR="00A611E2" w:rsidRPr="00326A02" w:rsidRDefault="00A611E2" w:rsidP="00A611E2">
      <w:pPr>
        <w:pStyle w:val="Geenafstand"/>
        <w:spacing w:line="276" w:lineRule="auto"/>
        <w:jc w:val="both"/>
        <w:rPr>
          <w:b/>
          <w:bCs/>
          <w:color w:val="2C307E"/>
        </w:rPr>
      </w:pPr>
      <w:r>
        <w:rPr>
          <w:b/>
          <w:bCs/>
          <w:color w:val="2C307E"/>
        </w:rPr>
        <w:t>Korting op laadtarief stimuleert om vertrektijden vaker door te geven.</w:t>
      </w:r>
    </w:p>
    <w:p w14:paraId="31BBE893" w14:textId="67F76509" w:rsidR="00A611E2" w:rsidRDefault="00A611E2" w:rsidP="00A611E2">
      <w:pPr>
        <w:pStyle w:val="Geenafstand"/>
        <w:spacing w:line="276" w:lineRule="auto"/>
        <w:jc w:val="both"/>
        <w:rPr>
          <w:color w:val="2C307E"/>
        </w:rPr>
      </w:pPr>
      <w:r w:rsidRPr="006D7187">
        <w:rPr>
          <w:color w:val="2C307E"/>
        </w:rPr>
        <w:t>Als er</w:t>
      </w:r>
      <w:r w:rsidR="000967D1">
        <w:rPr>
          <w:color w:val="2C307E"/>
        </w:rPr>
        <w:t xml:space="preserve"> 5 of 10 cent</w:t>
      </w:r>
      <w:r w:rsidRPr="006D7187">
        <w:rPr>
          <w:color w:val="2C307E"/>
        </w:rPr>
        <w:t xml:space="preserve"> korting per geladen kWh wordt gegeven, </w:t>
      </w:r>
      <w:r>
        <w:rPr>
          <w:color w:val="2C307E"/>
        </w:rPr>
        <w:t>stijgt het percentage EV-rijders dat (heel) vaak de vertrektijden zou doorgeven naar</w:t>
      </w:r>
      <w:r w:rsidRPr="006D7187">
        <w:rPr>
          <w:color w:val="2C307E"/>
        </w:rPr>
        <w:t xml:space="preserve"> 63%. Het percentage </w:t>
      </w:r>
      <w:r>
        <w:rPr>
          <w:color w:val="2C307E"/>
        </w:rPr>
        <w:t>EV-rijders</w:t>
      </w:r>
      <w:r w:rsidRPr="006D7187">
        <w:rPr>
          <w:color w:val="2C307E"/>
        </w:rPr>
        <w:t xml:space="preserve"> dat zelden tot nooit bereid is om hun vertrektijd door te geven, daalt van 24% naar 17% bij een korting van 5 cent en naar 14% bij een korting van 10 cent.</w:t>
      </w:r>
    </w:p>
    <w:p w14:paraId="7ED1710B" w14:textId="77777777" w:rsidR="00A611E2" w:rsidRDefault="00A611E2" w:rsidP="00A611E2">
      <w:pPr>
        <w:pStyle w:val="Geenafstand"/>
        <w:spacing w:line="276" w:lineRule="auto"/>
        <w:jc w:val="both"/>
        <w:rPr>
          <w:rFonts w:asciiTheme="majorHAnsi" w:eastAsiaTheme="majorEastAsia" w:hAnsiTheme="majorHAnsi" w:cstheme="majorBidi"/>
          <w:color w:val="2F5496" w:themeColor="accent1" w:themeShade="BF"/>
          <w:sz w:val="26"/>
          <w:szCs w:val="26"/>
        </w:rPr>
      </w:pPr>
      <w:r>
        <w:rPr>
          <w:noProof/>
        </w:rPr>
        <w:drawing>
          <wp:inline distT="0" distB="0" distL="0" distR="0" wp14:anchorId="2BDCB779" wp14:editId="6F617A9F">
            <wp:extent cx="2655570" cy="3299791"/>
            <wp:effectExtent l="0" t="0" r="0" b="0"/>
            <wp:docPr id="1080361798" name="Chart 1">
              <a:extLst xmlns:a="http://schemas.openxmlformats.org/drawingml/2006/main">
                <a:ext uri="{FF2B5EF4-FFF2-40B4-BE49-F238E27FC236}">
                  <a16:creationId xmlns:a16="http://schemas.microsoft.com/office/drawing/2014/main" id="{A281C72A-6E65-501D-E009-C9172661FCA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7"/>
              </a:graphicData>
            </a:graphic>
          </wp:inline>
        </w:drawing>
      </w:r>
    </w:p>
    <w:p w14:paraId="3728E118" w14:textId="46EF3B0A" w:rsidR="000967D1" w:rsidRPr="00EC4544" w:rsidRDefault="000967D1" w:rsidP="00EC4544">
      <w:pPr>
        <w:pStyle w:val="Geenafstand"/>
        <w:spacing w:line="276" w:lineRule="auto"/>
        <w:jc w:val="both"/>
        <w:rPr>
          <w:rFonts w:asciiTheme="majorHAnsi" w:eastAsiaTheme="majorEastAsia" w:hAnsiTheme="majorHAnsi" w:cstheme="majorBidi"/>
          <w:color w:val="2F5496" w:themeColor="accent1" w:themeShade="BF"/>
          <w:sz w:val="26"/>
          <w:szCs w:val="26"/>
        </w:rPr>
      </w:pPr>
      <w:bookmarkStart w:id="107" w:name="_Toc208498193"/>
      <w:r w:rsidRPr="00EC4544">
        <w:rPr>
          <w:rFonts w:asciiTheme="majorHAnsi" w:eastAsiaTheme="majorEastAsia" w:hAnsiTheme="majorHAnsi" w:cstheme="majorBidi"/>
          <w:color w:val="2F5496" w:themeColor="accent1" w:themeShade="BF"/>
          <w:sz w:val="26"/>
          <w:szCs w:val="26"/>
        </w:rPr>
        <w:lastRenderedPageBreak/>
        <w:t xml:space="preserve">Laadsnelheden </w:t>
      </w:r>
      <w:bookmarkEnd w:id="107"/>
      <w:r w:rsidR="00D161C4">
        <w:rPr>
          <w:rFonts w:asciiTheme="majorHAnsi" w:eastAsiaTheme="majorEastAsia" w:hAnsiTheme="majorHAnsi" w:cstheme="majorBidi"/>
          <w:color w:val="2F5496" w:themeColor="accent1" w:themeShade="BF"/>
          <w:sz w:val="26"/>
          <w:szCs w:val="26"/>
        </w:rPr>
        <w:t>bij openbaar laden</w:t>
      </w:r>
    </w:p>
    <w:p w14:paraId="3CEFB61D" w14:textId="61CD78BC" w:rsidR="00EC4544" w:rsidRDefault="000967D1" w:rsidP="000967D1">
      <w:pPr>
        <w:pStyle w:val="Geenafstand"/>
        <w:spacing w:line="276" w:lineRule="auto"/>
        <w:jc w:val="both"/>
        <w:rPr>
          <w:b/>
          <w:bCs/>
          <w:color w:val="2C307E"/>
        </w:rPr>
      </w:pPr>
      <w:r>
        <w:rPr>
          <w:b/>
          <w:bCs/>
          <w:color w:val="2C307E"/>
        </w:rPr>
        <w:t>Laadsnelheid is vooral van belang bij onderweg bijladen.</w:t>
      </w:r>
      <w:r w:rsidRPr="006D7187">
        <w:rPr>
          <w:b/>
          <w:bCs/>
          <w:color w:val="2C307E"/>
        </w:rPr>
        <w:t xml:space="preserve"> [N=2.989]</w:t>
      </w:r>
    </w:p>
    <w:p w14:paraId="532A4C1A" w14:textId="11890983" w:rsidR="000967D1" w:rsidRPr="00EC4544" w:rsidRDefault="000967D1" w:rsidP="000967D1">
      <w:pPr>
        <w:pStyle w:val="Geenafstand"/>
        <w:spacing w:line="276" w:lineRule="auto"/>
        <w:jc w:val="both"/>
        <w:rPr>
          <w:color w:val="2C307E"/>
        </w:rPr>
      </w:pPr>
      <w:r w:rsidRPr="00EC4544">
        <w:rPr>
          <w:color w:val="2C307E"/>
        </w:rPr>
        <w:t>68% van de EV-rijders geeft</w:t>
      </w:r>
      <w:r w:rsidR="005B160E" w:rsidRPr="00EC4544">
        <w:rPr>
          <w:color w:val="2C307E"/>
        </w:rPr>
        <w:t xml:space="preserve"> aan op de laadsnelheid te letten als er onderweg bijgeladen moet worden. Ook wanneer er meerdere bestemmingen op één dag zijn, let de EV-rijder bewust op de laadsnelheid (30%). Alle resultaten zijn afgenomen ten opzichte van vorig jaar</w:t>
      </w:r>
      <w:r w:rsidR="00277000" w:rsidRPr="00EC4544">
        <w:rPr>
          <w:color w:val="2C307E"/>
        </w:rPr>
        <w:t>.</w:t>
      </w:r>
    </w:p>
    <w:p w14:paraId="18B66BEC" w14:textId="77777777" w:rsidR="000967D1" w:rsidRPr="00033340" w:rsidRDefault="000967D1" w:rsidP="000967D1">
      <w:pPr>
        <w:pStyle w:val="Geenafstand"/>
        <w:spacing w:line="276" w:lineRule="auto"/>
        <w:jc w:val="both"/>
        <w:rPr>
          <w:b/>
          <w:bCs/>
          <w:color w:val="2C307E"/>
        </w:rPr>
      </w:pPr>
      <w:r>
        <w:rPr>
          <w:noProof/>
        </w:rPr>
        <w:drawing>
          <wp:inline distT="0" distB="0" distL="0" distR="0" wp14:anchorId="34BD8864" wp14:editId="632B25E5">
            <wp:extent cx="2814320" cy="4206240"/>
            <wp:effectExtent l="0" t="0" r="0" b="0"/>
            <wp:docPr id="1959696707" name="Chart 1">
              <a:extLst xmlns:a="http://schemas.openxmlformats.org/drawingml/2006/main">
                <a:ext uri="{FF2B5EF4-FFF2-40B4-BE49-F238E27FC236}">
                  <a16:creationId xmlns:a16="http://schemas.microsoft.com/office/drawing/2014/main" id="{EE7CE436-C66E-BB85-70D1-985A7067F89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8"/>
              </a:graphicData>
            </a:graphic>
          </wp:inline>
        </w:drawing>
      </w:r>
    </w:p>
    <w:p w14:paraId="4C9CCC75" w14:textId="77777777" w:rsidR="00BB50D0" w:rsidRPr="00033340" w:rsidRDefault="00BB50D0" w:rsidP="00BB50D0">
      <w:pPr>
        <w:pStyle w:val="Geenafstand"/>
        <w:spacing w:line="276" w:lineRule="auto"/>
        <w:jc w:val="both"/>
        <w:rPr>
          <w:b/>
          <w:bCs/>
          <w:color w:val="2C307E"/>
        </w:rPr>
      </w:pPr>
    </w:p>
    <w:p w14:paraId="2B6A29F4" w14:textId="59B695C7" w:rsidR="005B160E" w:rsidRPr="00033340" w:rsidRDefault="005B160E" w:rsidP="00983A5B">
      <w:pPr>
        <w:pStyle w:val="Kop2"/>
      </w:pPr>
      <w:bookmarkStart w:id="108" w:name="_Toc209710063"/>
      <w:r w:rsidRPr="00033340">
        <w:t>Slim laden op het werk</w:t>
      </w:r>
      <w:bookmarkEnd w:id="108"/>
    </w:p>
    <w:p w14:paraId="5CC791E0" w14:textId="78D0AF4D" w:rsidR="00033340" w:rsidRPr="006D7187" w:rsidRDefault="005B160E" w:rsidP="005B160E">
      <w:pPr>
        <w:pStyle w:val="Geenafstand"/>
        <w:spacing w:line="276" w:lineRule="auto"/>
        <w:jc w:val="both"/>
        <w:rPr>
          <w:b/>
          <w:bCs/>
          <w:color w:val="2C307E"/>
        </w:rPr>
      </w:pPr>
      <w:r w:rsidRPr="006D7187">
        <w:rPr>
          <w:b/>
          <w:bCs/>
          <w:color w:val="2C307E"/>
        </w:rPr>
        <w:t xml:space="preserve">Laden op basis van dynamische stroomtarieven </w:t>
      </w:r>
      <w:r>
        <w:rPr>
          <w:b/>
          <w:bCs/>
          <w:color w:val="2C307E"/>
        </w:rPr>
        <w:t xml:space="preserve">is </w:t>
      </w:r>
      <w:r w:rsidRPr="006D7187">
        <w:rPr>
          <w:b/>
          <w:bCs/>
          <w:color w:val="2C307E"/>
        </w:rPr>
        <w:t>gewild bij laden op het werk.</w:t>
      </w:r>
      <w:r>
        <w:rPr>
          <w:b/>
          <w:bCs/>
          <w:color w:val="2C307E"/>
        </w:rPr>
        <w:t xml:space="preserve"> [N=998]</w:t>
      </w:r>
    </w:p>
    <w:p w14:paraId="6F342540" w14:textId="3D3D2343" w:rsidR="005B160E" w:rsidRPr="00033340" w:rsidRDefault="005B160E" w:rsidP="005B160E">
      <w:pPr>
        <w:pStyle w:val="Geenafstand"/>
        <w:spacing w:line="276" w:lineRule="auto"/>
        <w:jc w:val="both"/>
        <w:rPr>
          <w:color w:val="2C307E"/>
        </w:rPr>
      </w:pPr>
      <w:r w:rsidRPr="00033340">
        <w:rPr>
          <w:color w:val="2C307E"/>
        </w:rPr>
        <w:t>Interesse in dynamische stroomtarieven is ruim ver</w:t>
      </w:r>
      <w:r w:rsidR="00E52BF6" w:rsidRPr="00033340">
        <w:rPr>
          <w:color w:val="2C307E"/>
        </w:rPr>
        <w:t>drievoudigd</w:t>
      </w:r>
      <w:r w:rsidRPr="00033340">
        <w:rPr>
          <w:color w:val="2C307E"/>
        </w:rPr>
        <w:t xml:space="preserve"> ten opzichte van vorig jaar. Laden op basis van netcapaciteit is in verbruik verdubbeld, en ook de wens om bidirectioneel te laden </w:t>
      </w:r>
      <w:r w:rsidR="00B4755A" w:rsidRPr="00033340">
        <w:rPr>
          <w:color w:val="2C307E"/>
        </w:rPr>
        <w:t>en laden op basis van duurzame opwek zijn</w:t>
      </w:r>
      <w:r w:rsidRPr="00033340">
        <w:rPr>
          <w:color w:val="2C307E"/>
        </w:rPr>
        <w:t xml:space="preserve"> toegenomen. </w:t>
      </w:r>
    </w:p>
    <w:p w14:paraId="3E85F126" w14:textId="255CF7B5" w:rsidR="005B160E" w:rsidRPr="00033340" w:rsidRDefault="00517C2A" w:rsidP="005B160E">
      <w:pPr>
        <w:pStyle w:val="Geenafstand"/>
        <w:spacing w:line="276" w:lineRule="auto"/>
        <w:jc w:val="both"/>
        <w:rPr>
          <w:b/>
          <w:bCs/>
          <w:color w:val="2C307E"/>
        </w:rPr>
      </w:pPr>
      <w:r w:rsidRPr="00033340">
        <w:rPr>
          <w:b/>
          <w:bCs/>
          <w:noProof/>
          <w:color w:val="2C307E"/>
        </w:rPr>
        <w:drawing>
          <wp:inline distT="0" distB="0" distL="0" distR="0" wp14:anchorId="7A97A95A" wp14:editId="3E6D2C9C">
            <wp:extent cx="2655570" cy="3935896"/>
            <wp:effectExtent l="0" t="0" r="0" b="0"/>
            <wp:docPr id="9092665" name="Chart 1">
              <a:extLst xmlns:a="http://schemas.openxmlformats.org/drawingml/2006/main">
                <a:ext uri="{FF2B5EF4-FFF2-40B4-BE49-F238E27FC236}">
                  <a16:creationId xmlns:a16="http://schemas.microsoft.com/office/drawing/2014/main" id="{07328E56-99B4-4DF1-9DA9-1FCC842CC0D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9"/>
              </a:graphicData>
            </a:graphic>
          </wp:inline>
        </w:drawing>
      </w:r>
    </w:p>
    <w:p w14:paraId="7B1E3205" w14:textId="7F98DA52" w:rsidR="005B160E" w:rsidRPr="00033340" w:rsidRDefault="005B160E" w:rsidP="00033340">
      <w:pPr>
        <w:pStyle w:val="Geenafstand"/>
        <w:spacing w:line="276" w:lineRule="auto"/>
        <w:jc w:val="both"/>
        <w:rPr>
          <w:b/>
          <w:bCs/>
          <w:color w:val="2C307E"/>
        </w:rPr>
      </w:pPr>
      <w:r w:rsidRPr="006D7187">
        <w:rPr>
          <w:b/>
          <w:bCs/>
          <w:color w:val="2C307E"/>
        </w:rPr>
        <w:t>Ervaringen met slim laden op het werk</w:t>
      </w:r>
      <w:r w:rsidR="008571BE">
        <w:rPr>
          <w:b/>
          <w:bCs/>
          <w:color w:val="2C307E"/>
        </w:rPr>
        <w:t xml:space="preserve"> zijn voornamelijk (zeer) positief.  </w:t>
      </w:r>
    </w:p>
    <w:p w14:paraId="3BDB42C5" w14:textId="59DBFA7B" w:rsidR="005B160E" w:rsidRDefault="008571BE" w:rsidP="00033340">
      <w:pPr>
        <w:pStyle w:val="Geenafstand"/>
        <w:spacing w:line="276" w:lineRule="auto"/>
        <w:jc w:val="both"/>
        <w:rPr>
          <w:color w:val="2C307E"/>
        </w:rPr>
      </w:pPr>
      <w:r w:rsidRPr="00033340">
        <w:rPr>
          <w:color w:val="2C307E"/>
        </w:rPr>
        <w:t>56% is (zeer) positief over laden op duurzame opwek, voor laden op basis van dynamische stroomtarieven is dat 57%, en 53% voor laden op basis van netcapaciteit.</w:t>
      </w:r>
      <w:r w:rsidR="00CD014A">
        <w:rPr>
          <w:rStyle w:val="Voetnootmarkering"/>
          <w:color w:val="2C307E"/>
        </w:rPr>
        <w:footnoteReference w:id="17"/>
      </w:r>
    </w:p>
    <w:p w14:paraId="659D5655" w14:textId="792DA5CF" w:rsidR="005B160E" w:rsidRDefault="005B160E" w:rsidP="005B160E">
      <w:pPr>
        <w:pStyle w:val="Geenafstand"/>
        <w:spacing w:line="276" w:lineRule="auto"/>
        <w:jc w:val="both"/>
        <w:rPr>
          <w:color w:val="2C307E"/>
        </w:rPr>
      </w:pPr>
      <w:r w:rsidRPr="006D7187">
        <w:rPr>
          <w:noProof/>
        </w:rPr>
        <w:drawing>
          <wp:inline distT="0" distB="0" distL="0" distR="0" wp14:anchorId="7600A679" wp14:editId="73B3A7E7">
            <wp:extent cx="2655570" cy="3267986"/>
            <wp:effectExtent l="0" t="0" r="0" b="0"/>
            <wp:docPr id="1788645268" name="Chart 1">
              <a:extLst xmlns:a="http://schemas.openxmlformats.org/drawingml/2006/main">
                <a:ext uri="{FF2B5EF4-FFF2-40B4-BE49-F238E27FC236}">
                  <a16:creationId xmlns:a16="http://schemas.microsoft.com/office/drawing/2014/main" id="{B99C0F5B-3D6C-478F-3830-14DB01719E7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0"/>
              </a:graphicData>
            </a:graphic>
          </wp:inline>
        </w:drawing>
      </w:r>
    </w:p>
    <w:p w14:paraId="3B00F726" w14:textId="77777777" w:rsidR="008571BE" w:rsidRPr="006D7187" w:rsidRDefault="008571BE" w:rsidP="008571BE">
      <w:pPr>
        <w:pStyle w:val="Kop2"/>
      </w:pPr>
      <w:bookmarkStart w:id="109" w:name="_Toc209710064"/>
      <w:r w:rsidRPr="006D7187">
        <w:lastRenderedPageBreak/>
        <w:t>Bidirectioneel laden</w:t>
      </w:r>
      <w:bookmarkEnd w:id="109"/>
    </w:p>
    <w:p w14:paraId="2F16315E" w14:textId="09AA290A" w:rsidR="008571BE" w:rsidRDefault="008571BE" w:rsidP="008571BE">
      <w:pPr>
        <w:pStyle w:val="Geenafstand"/>
        <w:spacing w:line="276" w:lineRule="auto"/>
        <w:jc w:val="both"/>
        <w:rPr>
          <w:color w:val="2C307E"/>
        </w:rPr>
      </w:pPr>
      <w:r w:rsidRPr="006D7187">
        <w:rPr>
          <w:color w:val="2C307E"/>
        </w:rPr>
        <w:t>Bidirectioneel laden wordt steeds bekender, alhoewel de meeste voertuigen en laadpalen het nog niet ondersteunen. Bidirectioneel laden houdt in dat de auto opgeladen kan worden</w:t>
      </w:r>
      <w:r w:rsidR="0002339B">
        <w:rPr>
          <w:color w:val="2C307E"/>
        </w:rPr>
        <w:t xml:space="preserve">, maar ook </w:t>
      </w:r>
      <w:r w:rsidR="00DF2C18">
        <w:rPr>
          <w:color w:val="2C307E"/>
        </w:rPr>
        <w:t>stroom kan terugleveren aan het net (</w:t>
      </w:r>
      <w:r w:rsidRPr="006D7187">
        <w:rPr>
          <w:color w:val="2C307E"/>
        </w:rPr>
        <w:t>ontladen</w:t>
      </w:r>
      <w:r w:rsidR="00DF2C18">
        <w:rPr>
          <w:color w:val="2C307E"/>
        </w:rPr>
        <w:t>)</w:t>
      </w:r>
      <w:r w:rsidRPr="006D7187">
        <w:rPr>
          <w:color w:val="2C307E"/>
        </w:rPr>
        <w:t>.</w:t>
      </w:r>
      <w:r>
        <w:rPr>
          <w:color w:val="2C307E"/>
        </w:rPr>
        <w:t xml:space="preserve"> Het aandeel respondenten dat daadwerkelijk al ervaring heeft met bidirectioneel laden is te klein om concrete uitspraken over te kunnen doen. De volgende paragraaf behandel</w:t>
      </w:r>
      <w:r w:rsidR="00DF2C18">
        <w:rPr>
          <w:color w:val="2C307E"/>
        </w:rPr>
        <w:t>t</w:t>
      </w:r>
      <w:r>
        <w:rPr>
          <w:color w:val="2C307E"/>
        </w:rPr>
        <w:t xml:space="preserve"> daarom alleen de verwachtingen van EV-rijders met betrekking tot bidirectioneel laden.</w:t>
      </w:r>
    </w:p>
    <w:p w14:paraId="01709E59" w14:textId="77777777" w:rsidR="008571BE" w:rsidRDefault="008571BE" w:rsidP="008571BE">
      <w:pPr>
        <w:pStyle w:val="Geenafstand"/>
        <w:spacing w:line="276" w:lineRule="auto"/>
        <w:jc w:val="both"/>
        <w:rPr>
          <w:color w:val="2C307E"/>
        </w:rPr>
      </w:pPr>
    </w:p>
    <w:p w14:paraId="58775C7A" w14:textId="5B24D4F7" w:rsidR="008571BE" w:rsidRDefault="008571BE" w:rsidP="008571BE">
      <w:pPr>
        <w:pStyle w:val="Geenafstand"/>
        <w:spacing w:line="276" w:lineRule="auto"/>
        <w:jc w:val="both"/>
        <w:rPr>
          <w:b/>
          <w:bCs/>
          <w:color w:val="2C307E"/>
        </w:rPr>
      </w:pPr>
      <w:r>
        <w:rPr>
          <w:b/>
          <w:bCs/>
          <w:color w:val="2C307E"/>
        </w:rPr>
        <w:t>Zelfvoorzienen</w:t>
      </w:r>
      <w:r w:rsidR="00165B59">
        <w:rPr>
          <w:b/>
          <w:bCs/>
          <w:color w:val="2C307E"/>
        </w:rPr>
        <w:t>d zijn</w:t>
      </w:r>
      <w:r w:rsidR="00DF2C18">
        <w:rPr>
          <w:b/>
          <w:bCs/>
          <w:color w:val="2C307E"/>
        </w:rPr>
        <w:t xml:space="preserve"> </w:t>
      </w:r>
      <w:r>
        <w:rPr>
          <w:b/>
          <w:bCs/>
          <w:color w:val="2C307E"/>
        </w:rPr>
        <w:t xml:space="preserve">in stroomgebruik thuis </w:t>
      </w:r>
      <w:r w:rsidR="00DF2C18">
        <w:rPr>
          <w:b/>
          <w:bCs/>
          <w:color w:val="2C307E"/>
        </w:rPr>
        <w:t xml:space="preserve">is de </w:t>
      </w:r>
      <w:r>
        <w:rPr>
          <w:b/>
          <w:bCs/>
          <w:color w:val="2C307E"/>
        </w:rPr>
        <w:t>meest belangrijke reden om bidirectioneel te kunnen laden. [N=1.755]</w:t>
      </w:r>
    </w:p>
    <w:p w14:paraId="76238B3C" w14:textId="5EE5FC0C" w:rsidR="008571BE" w:rsidRPr="00194672" w:rsidRDefault="00DF2C18" w:rsidP="008571BE">
      <w:pPr>
        <w:pStyle w:val="Geenafstand"/>
        <w:spacing w:line="276" w:lineRule="auto"/>
        <w:jc w:val="both"/>
        <w:rPr>
          <w:color w:val="2C307E"/>
        </w:rPr>
      </w:pPr>
      <w:r>
        <w:rPr>
          <w:color w:val="2C307E"/>
        </w:rPr>
        <w:t>Op een schaal van 1 (helemaal niet belangrijk) tot 5 (heel erg belangrijk), is zelfvoorzienend zijn in het stroomgebruik thuis de belangrijkste factor. E</w:t>
      </w:r>
      <w:r w:rsidR="00165B59">
        <w:rPr>
          <w:color w:val="2C307E"/>
        </w:rPr>
        <w:t>e</w:t>
      </w:r>
      <w:r>
        <w:rPr>
          <w:color w:val="2C307E"/>
        </w:rPr>
        <w:t>n h</w:t>
      </w:r>
      <w:r w:rsidR="008571BE">
        <w:rPr>
          <w:color w:val="2C307E"/>
        </w:rPr>
        <w:t>oger aandeel</w:t>
      </w:r>
      <w:r>
        <w:rPr>
          <w:color w:val="2C307E"/>
        </w:rPr>
        <w:t xml:space="preserve"> van </w:t>
      </w:r>
      <w:r w:rsidR="008571BE">
        <w:rPr>
          <w:color w:val="2C307E"/>
        </w:rPr>
        <w:t xml:space="preserve">duurzame energie en </w:t>
      </w:r>
      <w:r>
        <w:rPr>
          <w:color w:val="2C307E"/>
        </w:rPr>
        <w:t xml:space="preserve">het </w:t>
      </w:r>
      <w:r w:rsidR="008571BE">
        <w:rPr>
          <w:color w:val="2C307E"/>
        </w:rPr>
        <w:t>bijdragen aan netstabiliteit volgen met een score van 3,8. De minst belangrijke reden is het behalen van financiële voordelen (3,6).</w:t>
      </w:r>
    </w:p>
    <w:p w14:paraId="4CA17D13" w14:textId="77777777" w:rsidR="008571BE" w:rsidRPr="006D7187" w:rsidRDefault="008571BE" w:rsidP="008571BE">
      <w:pPr>
        <w:pStyle w:val="Geenafstand"/>
        <w:spacing w:line="276" w:lineRule="auto"/>
        <w:jc w:val="both"/>
        <w:rPr>
          <w:color w:val="2C307E"/>
        </w:rPr>
      </w:pPr>
      <w:r>
        <w:rPr>
          <w:noProof/>
        </w:rPr>
        <w:drawing>
          <wp:inline distT="0" distB="0" distL="0" distR="0" wp14:anchorId="74B7073A" wp14:editId="208F4C7D">
            <wp:extent cx="2655570" cy="3876675"/>
            <wp:effectExtent l="0" t="0" r="0" b="0"/>
            <wp:docPr id="1842402923" name="Chart 1">
              <a:extLst xmlns:a="http://schemas.openxmlformats.org/drawingml/2006/main">
                <a:ext uri="{FF2B5EF4-FFF2-40B4-BE49-F238E27FC236}">
                  <a16:creationId xmlns:a16="http://schemas.microsoft.com/office/drawing/2014/main" id="{3DE4DFD2-EEE2-1325-046D-4E491D32151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1"/>
              </a:graphicData>
            </a:graphic>
          </wp:inline>
        </w:drawing>
      </w:r>
    </w:p>
    <w:p w14:paraId="6A481A8A" w14:textId="62D5ECFE" w:rsidR="00ED2BA3" w:rsidRPr="006D7187" w:rsidRDefault="00A76186" w:rsidP="008571BE">
      <w:pPr>
        <w:pStyle w:val="Geenafstand"/>
        <w:spacing w:line="276" w:lineRule="auto"/>
        <w:jc w:val="both"/>
        <w:rPr>
          <w:b/>
          <w:bCs/>
          <w:color w:val="2C307E"/>
        </w:rPr>
      </w:pPr>
      <w:r>
        <w:rPr>
          <w:b/>
          <w:bCs/>
          <w:color w:val="2C307E"/>
        </w:rPr>
        <w:t>Het belang van zelfvoorzienend</w:t>
      </w:r>
      <w:r w:rsidR="00165B59">
        <w:rPr>
          <w:b/>
          <w:bCs/>
          <w:color w:val="2C307E"/>
        </w:rPr>
        <w:t xml:space="preserve"> zijn</w:t>
      </w:r>
      <w:r>
        <w:rPr>
          <w:b/>
          <w:bCs/>
          <w:color w:val="2C307E"/>
        </w:rPr>
        <w:t xml:space="preserve"> in stroomgebruik thuis is terug te zien in het verwachte gebruik van bidirectioneel laden.</w:t>
      </w:r>
      <w:r w:rsidR="008571BE" w:rsidRPr="006D7187">
        <w:rPr>
          <w:b/>
          <w:bCs/>
          <w:color w:val="2C307E"/>
        </w:rPr>
        <w:t xml:space="preserve"> </w:t>
      </w:r>
      <w:r w:rsidR="00DF2C18">
        <w:rPr>
          <w:b/>
          <w:bCs/>
          <w:color w:val="2C307E"/>
        </w:rPr>
        <w:t>[N=1.759]</w:t>
      </w:r>
    </w:p>
    <w:p w14:paraId="6B2F1BC3" w14:textId="48AC226C" w:rsidR="008571BE" w:rsidRDefault="008571BE" w:rsidP="008571BE">
      <w:pPr>
        <w:pStyle w:val="Geenafstand"/>
        <w:spacing w:line="276" w:lineRule="auto"/>
        <w:jc w:val="both"/>
        <w:rPr>
          <w:color w:val="2C307E"/>
        </w:rPr>
      </w:pPr>
      <w:r w:rsidRPr="006D7187">
        <w:rPr>
          <w:color w:val="2C307E"/>
        </w:rPr>
        <w:t xml:space="preserve">De meerderheid wil bidirectioneel laden voornamelijk gebruiken om stroom van zonnepanelen op te slaan voor later gebruik (71%) en om het eigen huis van stroom te voorzien (73%). </w:t>
      </w:r>
      <w:r w:rsidR="00A76186" w:rsidRPr="006D7187">
        <w:rPr>
          <w:color w:val="2C307E"/>
        </w:rPr>
        <w:t>Financieel voordeel speelt een ondergeschikte rol voor EV-rijders</w:t>
      </w:r>
      <w:r w:rsidR="00A76186">
        <w:rPr>
          <w:color w:val="2C307E"/>
        </w:rPr>
        <w:t xml:space="preserve">, slechts 38% is van plan elektriciteit terug te leveren (verkopen) aan het net. Zakelijke rijders vinden dit belangrijker (44%) dan privé rijders (35%). </w:t>
      </w:r>
    </w:p>
    <w:p w14:paraId="50173324" w14:textId="77777777" w:rsidR="008571BE" w:rsidRDefault="008571BE" w:rsidP="008571BE">
      <w:pPr>
        <w:pStyle w:val="Geenafstand"/>
        <w:spacing w:line="276" w:lineRule="auto"/>
        <w:jc w:val="both"/>
        <w:rPr>
          <w:color w:val="2C307E"/>
        </w:rPr>
      </w:pPr>
      <w:r>
        <w:rPr>
          <w:noProof/>
        </w:rPr>
        <w:drawing>
          <wp:inline distT="0" distB="0" distL="0" distR="0" wp14:anchorId="260A2798" wp14:editId="37AA03A0">
            <wp:extent cx="2655570" cy="2654300"/>
            <wp:effectExtent l="0" t="0" r="0" b="0"/>
            <wp:docPr id="532239693" name="Chart 1">
              <a:extLst xmlns:a="http://schemas.openxmlformats.org/drawingml/2006/main">
                <a:ext uri="{FF2B5EF4-FFF2-40B4-BE49-F238E27FC236}">
                  <a16:creationId xmlns:a16="http://schemas.microsoft.com/office/drawing/2014/main" id="{9959CB98-187D-A301-62BB-955F32B5053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2"/>
              </a:graphicData>
            </a:graphic>
          </wp:inline>
        </w:drawing>
      </w:r>
    </w:p>
    <w:p w14:paraId="65D23C46" w14:textId="60D539DD" w:rsidR="00625015" w:rsidRPr="00625015" w:rsidRDefault="00625015" w:rsidP="00ED2BA3">
      <w:pPr>
        <w:pStyle w:val="Geenafstand"/>
        <w:spacing w:line="276" w:lineRule="auto"/>
        <w:jc w:val="both"/>
        <w:rPr>
          <w:b/>
          <w:bCs/>
          <w:color w:val="2C307E"/>
        </w:rPr>
      </w:pPr>
      <w:r w:rsidRPr="00625015">
        <w:rPr>
          <w:b/>
          <w:bCs/>
          <w:color w:val="2C307E"/>
        </w:rPr>
        <w:t>75% geeft aan dat de auto aan de openbare laadpaal gebruikt mag worden om overbelasting op het stroomnet te voorkomen</w:t>
      </w:r>
      <w:r w:rsidR="00DC3F6C">
        <w:rPr>
          <w:b/>
          <w:bCs/>
          <w:color w:val="2C307E"/>
        </w:rPr>
        <w:t xml:space="preserve"> </w:t>
      </w:r>
      <w:r w:rsidR="00FF4297">
        <w:rPr>
          <w:b/>
          <w:bCs/>
          <w:color w:val="2C307E"/>
        </w:rPr>
        <w:t>middels bidirectioneel laden.</w:t>
      </w:r>
    </w:p>
    <w:p w14:paraId="75101E97" w14:textId="74A1EB53" w:rsidR="008571BE" w:rsidRPr="00ED2BA3" w:rsidRDefault="00625015" w:rsidP="008571BE">
      <w:pPr>
        <w:pStyle w:val="Geenafstand"/>
        <w:spacing w:line="276" w:lineRule="auto"/>
        <w:jc w:val="both"/>
        <w:rPr>
          <w:color w:val="2C307E"/>
        </w:rPr>
      </w:pPr>
      <w:r w:rsidRPr="00ED2BA3">
        <w:rPr>
          <w:color w:val="2C307E"/>
        </w:rPr>
        <w:t xml:space="preserve">De meerderheid (56%) wil daar wel financiële compensatie voor, en de garantie dat ze voldoende capaciteit behouden. </w:t>
      </w:r>
    </w:p>
    <w:p w14:paraId="06726D10" w14:textId="77777777" w:rsidR="008571BE" w:rsidRDefault="008571BE" w:rsidP="008571BE">
      <w:pPr>
        <w:pStyle w:val="Geenafstand"/>
        <w:spacing w:line="276" w:lineRule="auto"/>
        <w:jc w:val="both"/>
        <w:rPr>
          <w:b/>
          <w:bCs/>
          <w:color w:val="2C307E"/>
        </w:rPr>
      </w:pPr>
      <w:r>
        <w:rPr>
          <w:noProof/>
        </w:rPr>
        <w:drawing>
          <wp:inline distT="0" distB="0" distL="0" distR="0" wp14:anchorId="33B06F65" wp14:editId="6F349D86">
            <wp:extent cx="2749550" cy="2266950"/>
            <wp:effectExtent l="0" t="0" r="0" b="0"/>
            <wp:docPr id="81666242" name="Chart 1">
              <a:extLst xmlns:a="http://schemas.openxmlformats.org/drawingml/2006/main">
                <a:ext uri="{FF2B5EF4-FFF2-40B4-BE49-F238E27FC236}">
                  <a16:creationId xmlns:a16="http://schemas.microsoft.com/office/drawing/2014/main" id="{E96772D1-2B4D-6E29-01EE-349AB56E0DA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3"/>
              </a:graphicData>
            </a:graphic>
          </wp:inline>
        </w:drawing>
      </w:r>
    </w:p>
    <w:p w14:paraId="6ECEA8FF" w14:textId="075438A2" w:rsidR="008571BE" w:rsidRPr="006D7187" w:rsidRDefault="008571BE" w:rsidP="008571BE">
      <w:pPr>
        <w:pStyle w:val="Geenafstand"/>
        <w:spacing w:line="276" w:lineRule="auto"/>
        <w:jc w:val="both"/>
        <w:rPr>
          <w:color w:val="2C307E"/>
        </w:rPr>
      </w:pPr>
      <w:r w:rsidRPr="006D7187">
        <w:rPr>
          <w:b/>
          <w:bCs/>
          <w:color w:val="2C307E"/>
        </w:rPr>
        <w:lastRenderedPageBreak/>
        <w:t>82% van de EV-rijders voorziet knelpunten bij het toepassen van bidirectioneel laden. [N=1.741]</w:t>
      </w:r>
      <w:r w:rsidRPr="006D7187">
        <w:br/>
      </w:r>
      <w:r w:rsidRPr="006D7187">
        <w:rPr>
          <w:color w:val="2C307E"/>
        </w:rPr>
        <w:t xml:space="preserve">Onzekerheid over de impact van bidirectioneel laden op de batterijcapaciteit wordt gezien als het meest kritische knelpunt (45%). Dit percentage is met 4% gedaald ten opzichte van 2024. </w:t>
      </w:r>
      <w:r w:rsidR="001A52F9">
        <w:rPr>
          <w:color w:val="2C307E"/>
        </w:rPr>
        <w:t>O</w:t>
      </w:r>
      <w:r w:rsidRPr="006D7187">
        <w:rPr>
          <w:color w:val="2C307E"/>
        </w:rPr>
        <w:t xml:space="preserve">nzekerheid of de auto technisch geschikt is voor bidirectioneel laden </w:t>
      </w:r>
      <w:r w:rsidR="001A52F9">
        <w:rPr>
          <w:color w:val="2C307E"/>
        </w:rPr>
        <w:t xml:space="preserve">wordt ook vaak genoemd </w:t>
      </w:r>
      <w:r w:rsidRPr="006D7187">
        <w:rPr>
          <w:color w:val="2C307E"/>
        </w:rPr>
        <w:t>(36%). Dit</w:t>
      </w:r>
      <w:r w:rsidR="001A52F9">
        <w:rPr>
          <w:color w:val="2C307E"/>
        </w:rPr>
        <w:t xml:space="preserve"> komt overeen met het feit dat </w:t>
      </w:r>
      <w:r w:rsidRPr="006D7187">
        <w:rPr>
          <w:color w:val="2C307E"/>
        </w:rPr>
        <w:t>momenteel slechts een zeer beperkt deel van de Nederlandse EV-vloot deze functionaliteit ondersteunt.</w:t>
      </w:r>
    </w:p>
    <w:p w14:paraId="09362298" w14:textId="6885EF36" w:rsidR="008571BE" w:rsidRPr="008B0B9A" w:rsidRDefault="008571BE" w:rsidP="008571BE">
      <w:pPr>
        <w:pStyle w:val="Geenafstand"/>
        <w:spacing w:line="276" w:lineRule="auto"/>
        <w:jc w:val="both"/>
        <w:rPr>
          <w:noProof/>
        </w:rPr>
      </w:pPr>
      <w:r w:rsidRPr="006D7187">
        <w:rPr>
          <w:color w:val="2C307E"/>
        </w:rPr>
        <w:t>Onzekerheid over de batterijgarantie staat op de derde plaats (33%)</w:t>
      </w:r>
      <w:r w:rsidR="001A52F9">
        <w:rPr>
          <w:color w:val="2C307E"/>
        </w:rPr>
        <w:t>, waarschijnlijk omdat b</w:t>
      </w:r>
      <w:r w:rsidRPr="006D7187">
        <w:rPr>
          <w:color w:val="2C307E"/>
        </w:rPr>
        <w:t>ij bidirectioneel laden de batterij intensiever gebruikt</w:t>
      </w:r>
      <w:r w:rsidR="001A52F9">
        <w:rPr>
          <w:color w:val="2C307E"/>
        </w:rPr>
        <w:t xml:space="preserve"> wordt</w:t>
      </w:r>
      <w:r w:rsidRPr="006D7187">
        <w:rPr>
          <w:color w:val="2C307E"/>
        </w:rPr>
        <w:t xml:space="preserve">. </w:t>
      </w:r>
      <w:r w:rsidR="00DE13AA">
        <w:rPr>
          <w:color w:val="2C307E"/>
        </w:rPr>
        <w:t>S</w:t>
      </w:r>
      <w:r w:rsidRPr="006D7187">
        <w:rPr>
          <w:color w:val="2C307E"/>
        </w:rPr>
        <w:t xml:space="preserve">lechts 9% van de </w:t>
      </w:r>
      <w:r w:rsidR="00DE13AA">
        <w:rPr>
          <w:color w:val="2C307E"/>
        </w:rPr>
        <w:t>EV-rijders geeft zorgen over privacy aan als potentieel knelpunt</w:t>
      </w:r>
      <w:r w:rsidRPr="006D7187">
        <w:rPr>
          <w:color w:val="2C307E"/>
        </w:rPr>
        <w:t>.</w:t>
      </w:r>
      <w:r w:rsidRPr="006D7187">
        <w:rPr>
          <w:noProof/>
        </w:rPr>
        <w:t xml:space="preserve"> </w:t>
      </w:r>
    </w:p>
    <w:p w14:paraId="7CD9E0AE" w14:textId="77777777" w:rsidR="008571BE" w:rsidRPr="006D7187" w:rsidRDefault="008571BE" w:rsidP="008571BE">
      <w:pPr>
        <w:pStyle w:val="Geenafstand"/>
        <w:spacing w:line="276" w:lineRule="auto"/>
        <w:jc w:val="both"/>
        <w:rPr>
          <w:b/>
          <w:bCs/>
          <w:color w:val="2C307E"/>
        </w:rPr>
      </w:pPr>
      <w:r>
        <w:rPr>
          <w:noProof/>
        </w:rPr>
        <w:drawing>
          <wp:inline distT="0" distB="0" distL="0" distR="0" wp14:anchorId="410ECA08" wp14:editId="6134EA0C">
            <wp:extent cx="2655570" cy="5099050"/>
            <wp:effectExtent l="0" t="0" r="0" b="0"/>
            <wp:docPr id="355711679" name="Chart 1">
              <a:extLst xmlns:a="http://schemas.openxmlformats.org/drawingml/2006/main">
                <a:ext uri="{FF2B5EF4-FFF2-40B4-BE49-F238E27FC236}">
                  <a16:creationId xmlns:a16="http://schemas.microsoft.com/office/drawing/2014/main" id="{297FB424-8D48-1AB5-490C-8BF6744AE65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4"/>
              </a:graphicData>
            </a:graphic>
          </wp:inline>
        </w:drawing>
      </w:r>
    </w:p>
    <w:p w14:paraId="4D8D6DA5" w14:textId="4DFA2212" w:rsidR="008571BE" w:rsidRPr="006D7187" w:rsidRDefault="008571BE" w:rsidP="008571BE">
      <w:pPr>
        <w:pStyle w:val="Geenafstand"/>
        <w:spacing w:line="276" w:lineRule="auto"/>
        <w:jc w:val="both"/>
        <w:rPr>
          <w:b/>
          <w:bCs/>
          <w:color w:val="2C307E"/>
        </w:rPr>
      </w:pPr>
      <w:r w:rsidRPr="006D7187">
        <w:rPr>
          <w:b/>
          <w:bCs/>
          <w:color w:val="2C307E"/>
        </w:rPr>
        <w:t>36% vindt dat bidirectioneel laden een wettelijke verplichting moet worden voor elektrische auto’s. [N=1.759]</w:t>
      </w:r>
    </w:p>
    <w:p w14:paraId="45B4254A" w14:textId="00E17A4E" w:rsidR="008571BE" w:rsidRPr="006D7187" w:rsidRDefault="008571BE" w:rsidP="008571BE">
      <w:pPr>
        <w:pStyle w:val="Geenafstand"/>
        <w:spacing w:line="276" w:lineRule="auto"/>
        <w:jc w:val="both"/>
        <w:rPr>
          <w:color w:val="2C307E"/>
        </w:rPr>
      </w:pPr>
      <w:r w:rsidRPr="006D7187">
        <w:rPr>
          <w:color w:val="2C307E"/>
        </w:rPr>
        <w:t xml:space="preserve">42% is het oneens en 21% weet het niet. Deze resultaten </w:t>
      </w:r>
      <w:r w:rsidR="001A52F9">
        <w:rPr>
          <w:color w:val="2C307E"/>
        </w:rPr>
        <w:t>komen overeen met</w:t>
      </w:r>
      <w:r w:rsidRPr="006D7187">
        <w:rPr>
          <w:color w:val="2C307E"/>
        </w:rPr>
        <w:t xml:space="preserve"> de resultaten uit 2024. </w:t>
      </w:r>
    </w:p>
    <w:p w14:paraId="2B075343" w14:textId="77777777" w:rsidR="008571BE" w:rsidRDefault="008571BE" w:rsidP="008571BE">
      <w:pPr>
        <w:pStyle w:val="Geenafstand"/>
        <w:spacing w:line="276" w:lineRule="auto"/>
        <w:jc w:val="both"/>
        <w:rPr>
          <w:color w:val="2C307E"/>
        </w:rPr>
      </w:pPr>
      <w:r>
        <w:rPr>
          <w:noProof/>
        </w:rPr>
        <w:drawing>
          <wp:inline distT="0" distB="0" distL="0" distR="0" wp14:anchorId="39EFF0E3" wp14:editId="5607786F">
            <wp:extent cx="2655570" cy="2324100"/>
            <wp:effectExtent l="0" t="0" r="0" b="0"/>
            <wp:docPr id="1151564763" name="Chart 1">
              <a:extLst xmlns:a="http://schemas.openxmlformats.org/drawingml/2006/main">
                <a:ext uri="{FF2B5EF4-FFF2-40B4-BE49-F238E27FC236}">
                  <a16:creationId xmlns:a16="http://schemas.microsoft.com/office/drawing/2014/main" id="{5E325DF7-D118-2F8A-EDC3-C224F243BE2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5"/>
              </a:graphicData>
            </a:graphic>
          </wp:inline>
        </w:drawing>
      </w:r>
    </w:p>
    <w:p w14:paraId="23E7E69E" w14:textId="5975CADB" w:rsidR="00753663" w:rsidRDefault="008571BE" w:rsidP="008100EE">
      <w:pPr>
        <w:rPr>
          <w:color w:val="2C307E"/>
        </w:rPr>
      </w:pPr>
      <w:r>
        <w:rPr>
          <w:color w:val="2C307E"/>
        </w:rPr>
        <w:br w:type="page"/>
      </w:r>
    </w:p>
    <w:p w14:paraId="1817F3AF" w14:textId="77777777" w:rsidR="0089494B" w:rsidRPr="000C764A" w:rsidRDefault="0089494B" w:rsidP="0089494B">
      <w:pPr>
        <w:pStyle w:val="Kop2"/>
      </w:pPr>
      <w:bookmarkStart w:id="110" w:name="_Toc143700631"/>
      <w:bookmarkStart w:id="111" w:name="_Toc176537588"/>
      <w:bookmarkStart w:id="112" w:name="_Toc209702590"/>
      <w:bookmarkStart w:id="113" w:name="_Toc209710065"/>
      <w:r>
        <w:lastRenderedPageBreak/>
        <w:t xml:space="preserve">3.6 </w:t>
      </w:r>
      <w:r w:rsidRPr="000C764A">
        <w:t>Regionale Informatie</w:t>
      </w:r>
      <w:bookmarkEnd w:id="111"/>
      <w:bookmarkEnd w:id="112"/>
      <w:bookmarkEnd w:id="113"/>
    </w:p>
    <w:p w14:paraId="69EC4F8C" w14:textId="77777777" w:rsidR="0089494B" w:rsidRPr="000C764A" w:rsidRDefault="0089494B" w:rsidP="0089494B">
      <w:pPr>
        <w:pStyle w:val="Kop2"/>
        <w:jc w:val="both"/>
      </w:pPr>
      <w:bookmarkStart w:id="114" w:name="_Toc176513704"/>
      <w:bookmarkStart w:id="115" w:name="_Toc176537589"/>
      <w:bookmarkStart w:id="116" w:name="_Toc208498120"/>
      <w:bookmarkStart w:id="117" w:name="_Toc208498197"/>
      <w:bookmarkStart w:id="118" w:name="_Toc209702012"/>
      <w:bookmarkStart w:id="119" w:name="_Toc209702106"/>
      <w:bookmarkStart w:id="120" w:name="_Toc209702591"/>
      <w:bookmarkStart w:id="121" w:name="_Toc209710066"/>
      <w:r w:rsidRPr="000C764A">
        <w:t>Beoordeling en beleving per NAL-regio</w:t>
      </w:r>
      <w:bookmarkEnd w:id="114"/>
      <w:bookmarkEnd w:id="115"/>
      <w:bookmarkEnd w:id="116"/>
      <w:bookmarkEnd w:id="117"/>
      <w:bookmarkEnd w:id="118"/>
      <w:bookmarkEnd w:id="119"/>
      <w:bookmarkEnd w:id="120"/>
      <w:bookmarkEnd w:id="121"/>
    </w:p>
    <w:p w14:paraId="29B498EF" w14:textId="77777777" w:rsidR="0089494B" w:rsidRPr="000C764A" w:rsidRDefault="0089494B" w:rsidP="0089494B">
      <w:pPr>
        <w:pStyle w:val="ROstandaard"/>
        <w:jc w:val="both"/>
        <w:rPr>
          <w:lang w:val="nl-NL"/>
        </w:rPr>
      </w:pPr>
      <w:r w:rsidRPr="000C764A">
        <w:rPr>
          <w:lang w:val="nl-NL"/>
        </w:rPr>
        <w:t>De Nationale Agenda Laadinfrastructuur (NAL) is opgesteld om het toenemend aantal elektrische voertuigen van stroom te kunnen voorzien. De NAL is een meerjarige beleidsagenda met ambities en acties, die ervoor moeten zorgen dat er altijd en overal makkelijk en slim geladen kan worden. Een groot aantal van de afspraken en acties wordt lokaal en regionaal uitgevoerd. Om dit te faciliteren zijn er zes zogenaamde NAL-regio’s in het leven geroepen, die hun onderliggende gemeenten ondersteunen en begeleiden bij het realiseren van een dekkend en toekomstbestendig laadnetwerk.  Dit deel van het onderzoek zoomt in op de beoordeling en bevindingen van de laadinfrastructuur per NAL-regio.</w:t>
      </w:r>
    </w:p>
    <w:tbl>
      <w:tblPr>
        <w:tblStyle w:val="Tabelraster"/>
        <w:tblW w:w="3681" w:type="dxa"/>
        <w:tblLook w:val="04A0" w:firstRow="1" w:lastRow="0" w:firstColumn="1" w:lastColumn="0" w:noHBand="0" w:noVBand="1"/>
      </w:tblPr>
      <w:tblGrid>
        <w:gridCol w:w="1209"/>
        <w:gridCol w:w="2472"/>
      </w:tblGrid>
      <w:tr w:rsidR="0089494B" w:rsidRPr="000C764A" w14:paraId="5BB19BB4" w14:textId="77777777" w:rsidTr="00BB513C">
        <w:trPr>
          <w:trHeight w:val="300"/>
        </w:trPr>
        <w:tc>
          <w:tcPr>
            <w:tcW w:w="1209" w:type="dxa"/>
            <w:noWrap/>
            <w:hideMark/>
          </w:tcPr>
          <w:p w14:paraId="105BD1F5" w14:textId="77777777" w:rsidR="0089494B" w:rsidRPr="003A33B4" w:rsidRDefault="0089494B" w:rsidP="00BB513C">
            <w:pPr>
              <w:pStyle w:val="ROstandaard"/>
              <w:jc w:val="both"/>
              <w:rPr>
                <w:rFonts w:asciiTheme="minorHAnsi" w:hAnsiTheme="minorHAnsi" w:cstheme="minorHAnsi"/>
                <w:b/>
                <w:sz w:val="20"/>
                <w:szCs w:val="20"/>
                <w:lang w:val="nl-NL"/>
              </w:rPr>
            </w:pPr>
            <w:r w:rsidRPr="003A33B4">
              <w:rPr>
                <w:rFonts w:asciiTheme="minorHAnsi" w:hAnsiTheme="minorHAnsi" w:cstheme="minorHAnsi"/>
                <w:b/>
                <w:sz w:val="20"/>
                <w:szCs w:val="20"/>
                <w:lang w:val="nl-NL"/>
              </w:rPr>
              <w:t>Regio</w:t>
            </w:r>
          </w:p>
        </w:tc>
        <w:tc>
          <w:tcPr>
            <w:tcW w:w="2472" w:type="dxa"/>
            <w:noWrap/>
            <w:hideMark/>
          </w:tcPr>
          <w:p w14:paraId="2D926245" w14:textId="77777777" w:rsidR="0089494B" w:rsidRPr="003A33B4" w:rsidRDefault="0089494B" w:rsidP="00BB513C">
            <w:pPr>
              <w:pStyle w:val="ROstandaard"/>
              <w:jc w:val="both"/>
              <w:rPr>
                <w:rFonts w:asciiTheme="minorHAnsi" w:hAnsiTheme="minorHAnsi" w:cstheme="minorHAnsi"/>
                <w:b/>
                <w:sz w:val="20"/>
                <w:szCs w:val="20"/>
                <w:lang w:val="nl-NL"/>
              </w:rPr>
            </w:pPr>
            <w:r w:rsidRPr="003A33B4">
              <w:rPr>
                <w:rFonts w:asciiTheme="minorHAnsi" w:hAnsiTheme="minorHAnsi" w:cstheme="minorHAnsi"/>
                <w:b/>
                <w:sz w:val="20"/>
                <w:szCs w:val="20"/>
                <w:lang w:val="nl-NL"/>
              </w:rPr>
              <w:t xml:space="preserve">[N] aantal respondenten </w:t>
            </w:r>
          </w:p>
          <w:p w14:paraId="63D0C8BB" w14:textId="77777777" w:rsidR="0089494B" w:rsidRPr="003A33B4" w:rsidRDefault="0089494B" w:rsidP="00BB513C">
            <w:pPr>
              <w:pStyle w:val="ROstandaard"/>
              <w:jc w:val="both"/>
              <w:rPr>
                <w:rFonts w:asciiTheme="minorHAnsi" w:hAnsiTheme="minorHAnsi" w:cstheme="minorHAnsi"/>
                <w:b/>
                <w:sz w:val="20"/>
                <w:szCs w:val="20"/>
                <w:lang w:val="nl-NL"/>
              </w:rPr>
            </w:pPr>
            <w:r w:rsidRPr="003A33B4">
              <w:rPr>
                <w:rFonts w:asciiTheme="minorHAnsi" w:hAnsiTheme="minorHAnsi" w:cstheme="minorHAnsi"/>
                <w:b/>
                <w:sz w:val="20"/>
                <w:szCs w:val="20"/>
                <w:lang w:val="nl-NL"/>
              </w:rPr>
              <w:t>(ten opzichte van 2024)</w:t>
            </w:r>
          </w:p>
        </w:tc>
      </w:tr>
      <w:tr w:rsidR="0089494B" w:rsidRPr="000C764A" w14:paraId="7034E867" w14:textId="77777777" w:rsidTr="00BB513C">
        <w:trPr>
          <w:trHeight w:val="300"/>
        </w:trPr>
        <w:tc>
          <w:tcPr>
            <w:tcW w:w="1209" w:type="dxa"/>
            <w:noWrap/>
            <w:hideMark/>
          </w:tcPr>
          <w:p w14:paraId="47AF2633" w14:textId="77777777" w:rsidR="0089494B" w:rsidRPr="003A33B4" w:rsidRDefault="0089494B" w:rsidP="00BB513C">
            <w:pPr>
              <w:pStyle w:val="ROstandaard"/>
              <w:jc w:val="both"/>
              <w:rPr>
                <w:rFonts w:asciiTheme="minorHAnsi" w:hAnsiTheme="minorHAnsi" w:cstheme="minorHAnsi"/>
                <w:bCs/>
                <w:sz w:val="20"/>
                <w:szCs w:val="20"/>
                <w:lang w:val="nl-NL"/>
              </w:rPr>
            </w:pPr>
            <w:r w:rsidRPr="003A33B4">
              <w:rPr>
                <w:rFonts w:asciiTheme="minorHAnsi" w:hAnsiTheme="minorHAnsi" w:cstheme="minorHAnsi"/>
                <w:bCs/>
                <w:sz w:val="20"/>
                <w:szCs w:val="20"/>
                <w:lang w:val="nl-NL"/>
              </w:rPr>
              <w:t>G4</w:t>
            </w:r>
          </w:p>
        </w:tc>
        <w:tc>
          <w:tcPr>
            <w:tcW w:w="2472" w:type="dxa"/>
            <w:noWrap/>
            <w:hideMark/>
          </w:tcPr>
          <w:p w14:paraId="25595C41" w14:textId="77777777" w:rsidR="0089494B" w:rsidRPr="003A33B4" w:rsidRDefault="0089494B" w:rsidP="00BB513C">
            <w:pPr>
              <w:pStyle w:val="ROstandaard"/>
              <w:jc w:val="both"/>
              <w:rPr>
                <w:rFonts w:asciiTheme="minorHAnsi" w:hAnsiTheme="minorHAnsi" w:cstheme="minorHAnsi"/>
                <w:bCs/>
                <w:sz w:val="20"/>
                <w:szCs w:val="20"/>
                <w:lang w:val="nl-NL"/>
              </w:rPr>
            </w:pPr>
            <w:r w:rsidRPr="003A33B4">
              <w:rPr>
                <w:rFonts w:asciiTheme="minorHAnsi" w:hAnsiTheme="minorHAnsi" w:cstheme="minorHAnsi"/>
                <w:bCs/>
                <w:sz w:val="20"/>
                <w:szCs w:val="20"/>
                <w:lang w:val="nl-NL"/>
              </w:rPr>
              <w:t>282 (+25)</w:t>
            </w:r>
          </w:p>
        </w:tc>
      </w:tr>
      <w:tr w:rsidR="0089494B" w:rsidRPr="000C764A" w14:paraId="13EAB38A" w14:textId="77777777" w:rsidTr="00BB513C">
        <w:trPr>
          <w:trHeight w:val="300"/>
        </w:trPr>
        <w:tc>
          <w:tcPr>
            <w:tcW w:w="1209" w:type="dxa"/>
            <w:noWrap/>
            <w:hideMark/>
          </w:tcPr>
          <w:p w14:paraId="38C49980" w14:textId="77777777" w:rsidR="0089494B" w:rsidRPr="003A33B4" w:rsidRDefault="0089494B" w:rsidP="00BB513C">
            <w:pPr>
              <w:pStyle w:val="ROstandaard"/>
              <w:jc w:val="both"/>
              <w:rPr>
                <w:rFonts w:asciiTheme="minorHAnsi" w:hAnsiTheme="minorHAnsi" w:cstheme="minorHAnsi"/>
                <w:bCs/>
                <w:sz w:val="20"/>
                <w:szCs w:val="20"/>
                <w:lang w:val="nl-NL"/>
              </w:rPr>
            </w:pPr>
            <w:r w:rsidRPr="003A33B4">
              <w:rPr>
                <w:rFonts w:asciiTheme="minorHAnsi" w:hAnsiTheme="minorHAnsi" w:cstheme="minorHAnsi"/>
                <w:bCs/>
                <w:sz w:val="20"/>
                <w:szCs w:val="20"/>
                <w:lang w:val="nl-NL"/>
              </w:rPr>
              <w:t>Noord</w:t>
            </w:r>
          </w:p>
        </w:tc>
        <w:tc>
          <w:tcPr>
            <w:tcW w:w="2472" w:type="dxa"/>
            <w:noWrap/>
            <w:hideMark/>
          </w:tcPr>
          <w:p w14:paraId="6941947F" w14:textId="77777777" w:rsidR="0089494B" w:rsidRPr="003A33B4" w:rsidRDefault="0089494B" w:rsidP="00BB513C">
            <w:pPr>
              <w:pStyle w:val="ROstandaard"/>
              <w:jc w:val="both"/>
              <w:rPr>
                <w:rFonts w:asciiTheme="minorHAnsi" w:hAnsiTheme="minorHAnsi" w:cstheme="minorHAnsi"/>
                <w:bCs/>
                <w:sz w:val="20"/>
                <w:szCs w:val="20"/>
                <w:lang w:val="nl-NL"/>
              </w:rPr>
            </w:pPr>
            <w:r w:rsidRPr="003A33B4">
              <w:rPr>
                <w:rFonts w:asciiTheme="minorHAnsi" w:hAnsiTheme="minorHAnsi" w:cstheme="minorHAnsi"/>
                <w:bCs/>
                <w:sz w:val="20"/>
                <w:szCs w:val="20"/>
                <w:lang w:val="nl-NL"/>
              </w:rPr>
              <w:t>375 (+11)</w:t>
            </w:r>
          </w:p>
        </w:tc>
      </w:tr>
      <w:tr w:rsidR="0089494B" w:rsidRPr="000C764A" w14:paraId="65707E2F" w14:textId="77777777" w:rsidTr="00BB513C">
        <w:trPr>
          <w:trHeight w:val="300"/>
        </w:trPr>
        <w:tc>
          <w:tcPr>
            <w:tcW w:w="1209" w:type="dxa"/>
            <w:noWrap/>
            <w:hideMark/>
          </w:tcPr>
          <w:p w14:paraId="2DF68216" w14:textId="77777777" w:rsidR="0089494B" w:rsidRPr="003A33B4" w:rsidRDefault="0089494B" w:rsidP="00BB513C">
            <w:pPr>
              <w:pStyle w:val="ROstandaard"/>
              <w:jc w:val="both"/>
              <w:rPr>
                <w:rFonts w:asciiTheme="minorHAnsi" w:hAnsiTheme="minorHAnsi" w:cstheme="minorHAnsi"/>
                <w:bCs/>
                <w:sz w:val="20"/>
                <w:szCs w:val="20"/>
                <w:lang w:val="nl-NL"/>
              </w:rPr>
            </w:pPr>
            <w:r w:rsidRPr="003A33B4">
              <w:rPr>
                <w:rFonts w:asciiTheme="minorHAnsi" w:hAnsiTheme="minorHAnsi" w:cstheme="minorHAnsi"/>
                <w:bCs/>
                <w:sz w:val="20"/>
                <w:szCs w:val="20"/>
                <w:lang w:val="nl-NL"/>
              </w:rPr>
              <w:t>Noordwest</w:t>
            </w:r>
          </w:p>
        </w:tc>
        <w:tc>
          <w:tcPr>
            <w:tcW w:w="2472" w:type="dxa"/>
            <w:noWrap/>
            <w:hideMark/>
          </w:tcPr>
          <w:p w14:paraId="64E94E5F" w14:textId="77777777" w:rsidR="0089494B" w:rsidRPr="003A33B4" w:rsidRDefault="0089494B" w:rsidP="00BB513C">
            <w:pPr>
              <w:pStyle w:val="ROstandaard"/>
              <w:jc w:val="both"/>
              <w:rPr>
                <w:rFonts w:asciiTheme="minorHAnsi" w:hAnsiTheme="minorHAnsi" w:cstheme="minorHAnsi"/>
                <w:bCs/>
                <w:sz w:val="20"/>
                <w:szCs w:val="20"/>
                <w:lang w:val="nl-NL"/>
              </w:rPr>
            </w:pPr>
            <w:r w:rsidRPr="003A33B4">
              <w:rPr>
                <w:rFonts w:asciiTheme="minorHAnsi" w:hAnsiTheme="minorHAnsi" w:cstheme="minorHAnsi"/>
                <w:bCs/>
                <w:sz w:val="20"/>
                <w:szCs w:val="20"/>
                <w:lang w:val="nl-NL"/>
              </w:rPr>
              <w:t>797 (-27)</w:t>
            </w:r>
          </w:p>
        </w:tc>
      </w:tr>
      <w:tr w:rsidR="0089494B" w:rsidRPr="000C764A" w14:paraId="3D26399E" w14:textId="77777777" w:rsidTr="00BB513C">
        <w:trPr>
          <w:trHeight w:val="300"/>
        </w:trPr>
        <w:tc>
          <w:tcPr>
            <w:tcW w:w="1209" w:type="dxa"/>
            <w:noWrap/>
            <w:hideMark/>
          </w:tcPr>
          <w:p w14:paraId="27A5AB97" w14:textId="77777777" w:rsidR="0089494B" w:rsidRPr="003A33B4" w:rsidRDefault="0089494B" w:rsidP="00BB513C">
            <w:pPr>
              <w:pStyle w:val="ROstandaard"/>
              <w:jc w:val="both"/>
              <w:rPr>
                <w:rFonts w:asciiTheme="minorHAnsi" w:hAnsiTheme="minorHAnsi" w:cstheme="minorHAnsi"/>
                <w:bCs/>
                <w:sz w:val="20"/>
                <w:szCs w:val="20"/>
                <w:lang w:val="nl-NL"/>
              </w:rPr>
            </w:pPr>
            <w:r w:rsidRPr="003A33B4">
              <w:rPr>
                <w:rFonts w:asciiTheme="minorHAnsi" w:hAnsiTheme="minorHAnsi" w:cstheme="minorHAnsi"/>
                <w:bCs/>
                <w:sz w:val="20"/>
                <w:szCs w:val="20"/>
                <w:lang w:val="nl-NL"/>
              </w:rPr>
              <w:t>Oost</w:t>
            </w:r>
          </w:p>
        </w:tc>
        <w:tc>
          <w:tcPr>
            <w:tcW w:w="2472" w:type="dxa"/>
            <w:noWrap/>
            <w:hideMark/>
          </w:tcPr>
          <w:p w14:paraId="19B48385" w14:textId="77777777" w:rsidR="0089494B" w:rsidRPr="003A33B4" w:rsidRDefault="0089494B" w:rsidP="00BB513C">
            <w:pPr>
              <w:pStyle w:val="ROstandaard"/>
              <w:jc w:val="both"/>
              <w:rPr>
                <w:rFonts w:asciiTheme="minorHAnsi" w:hAnsiTheme="minorHAnsi" w:cstheme="minorHAnsi"/>
                <w:bCs/>
                <w:sz w:val="20"/>
                <w:szCs w:val="20"/>
                <w:lang w:val="nl-NL"/>
              </w:rPr>
            </w:pPr>
            <w:r w:rsidRPr="003A33B4">
              <w:rPr>
                <w:rFonts w:asciiTheme="minorHAnsi" w:hAnsiTheme="minorHAnsi" w:cstheme="minorHAnsi"/>
                <w:bCs/>
                <w:sz w:val="20"/>
                <w:szCs w:val="20"/>
                <w:lang w:val="nl-NL"/>
              </w:rPr>
              <w:t>723 (+19)</w:t>
            </w:r>
          </w:p>
        </w:tc>
      </w:tr>
      <w:tr w:rsidR="0089494B" w:rsidRPr="000C764A" w14:paraId="5BE361CB" w14:textId="77777777" w:rsidTr="00BB513C">
        <w:trPr>
          <w:trHeight w:val="300"/>
        </w:trPr>
        <w:tc>
          <w:tcPr>
            <w:tcW w:w="1209" w:type="dxa"/>
            <w:noWrap/>
            <w:hideMark/>
          </w:tcPr>
          <w:p w14:paraId="7E7D33FE" w14:textId="77777777" w:rsidR="0089494B" w:rsidRPr="003A33B4" w:rsidRDefault="0089494B" w:rsidP="00BB513C">
            <w:pPr>
              <w:pStyle w:val="ROstandaard"/>
              <w:jc w:val="both"/>
              <w:rPr>
                <w:rFonts w:asciiTheme="minorHAnsi" w:hAnsiTheme="minorHAnsi" w:cstheme="minorHAnsi"/>
                <w:bCs/>
                <w:sz w:val="20"/>
                <w:szCs w:val="20"/>
                <w:lang w:val="nl-NL"/>
              </w:rPr>
            </w:pPr>
            <w:r w:rsidRPr="003A33B4">
              <w:rPr>
                <w:rFonts w:asciiTheme="minorHAnsi" w:hAnsiTheme="minorHAnsi" w:cstheme="minorHAnsi"/>
                <w:bCs/>
                <w:sz w:val="20"/>
                <w:szCs w:val="20"/>
                <w:lang w:val="nl-NL"/>
              </w:rPr>
              <w:t>Zuid</w:t>
            </w:r>
          </w:p>
        </w:tc>
        <w:tc>
          <w:tcPr>
            <w:tcW w:w="2472" w:type="dxa"/>
            <w:noWrap/>
            <w:hideMark/>
          </w:tcPr>
          <w:p w14:paraId="2440900F" w14:textId="77777777" w:rsidR="0089494B" w:rsidRPr="003A33B4" w:rsidRDefault="0089494B" w:rsidP="00BB513C">
            <w:pPr>
              <w:pStyle w:val="ROstandaard"/>
              <w:jc w:val="both"/>
              <w:rPr>
                <w:rFonts w:asciiTheme="minorHAnsi" w:hAnsiTheme="minorHAnsi" w:cstheme="minorHAnsi"/>
                <w:bCs/>
                <w:sz w:val="20"/>
                <w:szCs w:val="20"/>
                <w:lang w:val="nl-NL"/>
              </w:rPr>
            </w:pPr>
            <w:r w:rsidRPr="003A33B4">
              <w:rPr>
                <w:rFonts w:asciiTheme="minorHAnsi" w:hAnsiTheme="minorHAnsi" w:cstheme="minorHAnsi"/>
                <w:bCs/>
                <w:sz w:val="20"/>
                <w:szCs w:val="20"/>
                <w:lang w:val="nl-NL"/>
              </w:rPr>
              <w:t>737 (+88)</w:t>
            </w:r>
          </w:p>
        </w:tc>
      </w:tr>
      <w:tr w:rsidR="0089494B" w:rsidRPr="000C764A" w14:paraId="420EC5C5" w14:textId="77777777" w:rsidTr="00BB513C">
        <w:trPr>
          <w:trHeight w:val="300"/>
        </w:trPr>
        <w:tc>
          <w:tcPr>
            <w:tcW w:w="1209" w:type="dxa"/>
            <w:noWrap/>
            <w:hideMark/>
          </w:tcPr>
          <w:p w14:paraId="3D2B9A7D" w14:textId="77777777" w:rsidR="0089494B" w:rsidRPr="003A33B4" w:rsidRDefault="0089494B" w:rsidP="00BB513C">
            <w:pPr>
              <w:pStyle w:val="ROstandaard"/>
              <w:jc w:val="both"/>
              <w:rPr>
                <w:rFonts w:asciiTheme="minorHAnsi" w:hAnsiTheme="minorHAnsi" w:cstheme="minorHAnsi"/>
                <w:bCs/>
                <w:sz w:val="20"/>
                <w:szCs w:val="20"/>
                <w:lang w:val="nl-NL"/>
              </w:rPr>
            </w:pPr>
            <w:r w:rsidRPr="003A33B4">
              <w:rPr>
                <w:rFonts w:asciiTheme="minorHAnsi" w:hAnsiTheme="minorHAnsi" w:cstheme="minorHAnsi"/>
                <w:bCs/>
                <w:sz w:val="20"/>
                <w:szCs w:val="20"/>
                <w:lang w:val="nl-NL"/>
              </w:rPr>
              <w:t>Zuidwest</w:t>
            </w:r>
          </w:p>
        </w:tc>
        <w:tc>
          <w:tcPr>
            <w:tcW w:w="2472" w:type="dxa"/>
            <w:noWrap/>
            <w:hideMark/>
          </w:tcPr>
          <w:p w14:paraId="4CD27CE9" w14:textId="77777777" w:rsidR="0089494B" w:rsidRPr="003A33B4" w:rsidRDefault="0089494B" w:rsidP="00BB513C">
            <w:pPr>
              <w:pStyle w:val="ROstandaard"/>
              <w:jc w:val="both"/>
              <w:rPr>
                <w:rFonts w:asciiTheme="minorHAnsi" w:hAnsiTheme="minorHAnsi" w:cstheme="minorHAnsi"/>
                <w:bCs/>
                <w:sz w:val="20"/>
                <w:szCs w:val="20"/>
                <w:lang w:val="nl-NL"/>
              </w:rPr>
            </w:pPr>
            <w:r w:rsidRPr="003A33B4">
              <w:rPr>
                <w:rFonts w:asciiTheme="minorHAnsi" w:hAnsiTheme="minorHAnsi" w:cstheme="minorHAnsi"/>
                <w:bCs/>
                <w:sz w:val="20"/>
                <w:szCs w:val="20"/>
                <w:lang w:val="nl-NL"/>
              </w:rPr>
              <w:t>657 (+52)</w:t>
            </w:r>
          </w:p>
        </w:tc>
      </w:tr>
    </w:tbl>
    <w:p w14:paraId="4BC5E936" w14:textId="77777777" w:rsidR="0089494B" w:rsidRPr="000C764A" w:rsidRDefault="0089494B" w:rsidP="0089494B">
      <w:pPr>
        <w:pStyle w:val="ROstandaard"/>
        <w:jc w:val="both"/>
        <w:rPr>
          <w:b/>
          <w:bCs/>
          <w:lang w:val="nl-NL"/>
        </w:rPr>
      </w:pPr>
    </w:p>
    <w:p w14:paraId="0290A3DF" w14:textId="77777777" w:rsidR="0089494B" w:rsidRPr="000C764A" w:rsidRDefault="0089494B" w:rsidP="0089494B">
      <w:pPr>
        <w:pStyle w:val="ROstandaard"/>
        <w:jc w:val="both"/>
        <w:rPr>
          <w:b/>
          <w:bCs/>
          <w:lang w:val="nl-NL"/>
        </w:rPr>
      </w:pPr>
      <w:r w:rsidRPr="000C764A">
        <w:rPr>
          <w:b/>
          <w:bCs/>
          <w:lang w:val="nl-NL"/>
        </w:rPr>
        <w:t>In NAL-regio’s Noord en Oost wordt het meest thuis geladen, de G4 laadt het meest openbaar. [N=3.403]</w:t>
      </w:r>
    </w:p>
    <w:p w14:paraId="01EB6108" w14:textId="77777777" w:rsidR="0089494B" w:rsidRPr="000C764A" w:rsidRDefault="0089494B" w:rsidP="0089494B">
      <w:pPr>
        <w:pStyle w:val="ROstandaard"/>
        <w:jc w:val="both"/>
        <w:rPr>
          <w:lang w:val="nl-NL"/>
        </w:rPr>
      </w:pPr>
      <w:r w:rsidRPr="000C764A">
        <w:rPr>
          <w:lang w:val="nl-NL"/>
        </w:rPr>
        <w:t>Over het algemeen geldt: hoe landelijker de regio, hoe meer men via de eigen stroomaansluiting laadt. NAL-regio’s Noord en Oost spannen hiermee de kroon, waar voor 70% thuis geladen wordt. Dit tegenover de G4, waar het minst thuis geladen wordt, met 31%</w:t>
      </w:r>
    </w:p>
    <w:p w14:paraId="3DF61A2B" w14:textId="77777777" w:rsidR="0089494B" w:rsidRPr="000C764A" w:rsidRDefault="0089494B" w:rsidP="0089494B">
      <w:pPr>
        <w:pStyle w:val="ROstandaard"/>
        <w:jc w:val="both"/>
        <w:rPr>
          <w:lang w:val="nl-NL"/>
        </w:rPr>
      </w:pPr>
      <w:r w:rsidRPr="000C764A">
        <w:rPr>
          <w:lang w:val="nl-NL"/>
        </w:rPr>
        <w:t>In Nederland wordt, over het algemeen, iets meer</w:t>
      </w:r>
      <w:r>
        <w:rPr>
          <w:lang w:val="nl-NL"/>
        </w:rPr>
        <w:t xml:space="preserve"> thuis</w:t>
      </w:r>
      <w:r w:rsidRPr="000C764A">
        <w:rPr>
          <w:lang w:val="nl-NL"/>
        </w:rPr>
        <w:t xml:space="preserve"> geladen ten opzichte van 2024 (+3%).</w:t>
      </w:r>
    </w:p>
    <w:p w14:paraId="2556BF2E" w14:textId="77777777" w:rsidR="0089494B" w:rsidRDefault="0089494B" w:rsidP="0089494B">
      <w:pPr>
        <w:pStyle w:val="ROstandaard"/>
        <w:jc w:val="both"/>
        <w:rPr>
          <w:bCs/>
          <w:lang w:val="nl-NL"/>
        </w:rPr>
      </w:pPr>
      <w:r w:rsidRPr="000C764A">
        <w:rPr>
          <w:noProof/>
          <w:lang w:val="nl-NL"/>
        </w:rPr>
        <w:drawing>
          <wp:inline distT="0" distB="0" distL="0" distR="0" wp14:anchorId="178DBEC8" wp14:editId="33DCBC9F">
            <wp:extent cx="2655570" cy="8782050"/>
            <wp:effectExtent l="0" t="0" r="0" b="0"/>
            <wp:docPr id="1941902920" name="Chart 1">
              <a:extLst xmlns:a="http://schemas.openxmlformats.org/drawingml/2006/main">
                <a:ext uri="{FF2B5EF4-FFF2-40B4-BE49-F238E27FC236}">
                  <a16:creationId xmlns:a16="http://schemas.microsoft.com/office/drawing/2014/main" id="{17B214B4-DDCA-144E-ABC8-4AF463A176E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6"/>
              </a:graphicData>
            </a:graphic>
          </wp:inline>
        </w:drawing>
      </w:r>
      <w:r w:rsidRPr="000C764A">
        <w:rPr>
          <w:bCs/>
          <w:lang w:val="nl-NL"/>
        </w:rPr>
        <w:t xml:space="preserve"> </w:t>
      </w:r>
    </w:p>
    <w:p w14:paraId="0BF11890" w14:textId="77777777" w:rsidR="0089494B" w:rsidRPr="000C764A" w:rsidRDefault="0089494B" w:rsidP="0089494B">
      <w:pPr>
        <w:pStyle w:val="ROstandaard"/>
        <w:jc w:val="both"/>
        <w:rPr>
          <w:b/>
          <w:bCs/>
          <w:lang w:val="nl-NL"/>
        </w:rPr>
      </w:pPr>
      <w:r w:rsidRPr="000C764A">
        <w:rPr>
          <w:b/>
          <w:bCs/>
          <w:lang w:val="nl-NL"/>
        </w:rPr>
        <w:lastRenderedPageBreak/>
        <w:t xml:space="preserve">Het aandeel thuisladers neemt in elke regio licht toe ten opzichte van </w:t>
      </w:r>
      <w:r>
        <w:rPr>
          <w:b/>
          <w:bCs/>
          <w:lang w:val="nl-NL"/>
        </w:rPr>
        <w:t>eerdere Laadonderzoeken</w:t>
      </w:r>
      <w:r w:rsidRPr="000C764A">
        <w:rPr>
          <w:b/>
          <w:bCs/>
          <w:lang w:val="nl-NL"/>
        </w:rPr>
        <w:t>. [N=3.543]</w:t>
      </w:r>
    </w:p>
    <w:p w14:paraId="3B47FF6A" w14:textId="77777777" w:rsidR="0089494B" w:rsidRDefault="0089494B" w:rsidP="0089494B">
      <w:pPr>
        <w:pStyle w:val="ROstandaard"/>
        <w:jc w:val="both"/>
        <w:rPr>
          <w:lang w:val="nl-NL"/>
        </w:rPr>
      </w:pPr>
      <w:r>
        <w:rPr>
          <w:noProof/>
        </w:rPr>
        <w:drawing>
          <wp:anchor distT="0" distB="0" distL="114300" distR="114300" simplePos="0" relativeHeight="251661337" behindDoc="0" locked="0" layoutInCell="1" allowOverlap="1" wp14:anchorId="363D01EB" wp14:editId="5D7F6C43">
            <wp:simplePos x="0" y="0"/>
            <wp:positionH relativeFrom="margin">
              <wp:align>right</wp:align>
            </wp:positionH>
            <wp:positionV relativeFrom="paragraph">
              <wp:posOffset>757171</wp:posOffset>
            </wp:positionV>
            <wp:extent cx="5761990" cy="2147570"/>
            <wp:effectExtent l="0" t="0" r="0" b="0"/>
            <wp:wrapSquare wrapText="bothSides"/>
            <wp:docPr id="995579399" name="Grafiek 1">
              <a:extLst xmlns:a="http://schemas.openxmlformats.org/drawingml/2006/main">
                <a:ext uri="{FF2B5EF4-FFF2-40B4-BE49-F238E27FC236}">
                  <a16:creationId xmlns:a16="http://schemas.microsoft.com/office/drawing/2014/main" id="{3E4297D3-28A0-DED4-C7F7-FBA3DEA5007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7"/>
              </a:graphicData>
            </a:graphic>
            <wp14:sizeRelH relativeFrom="page">
              <wp14:pctWidth>0</wp14:pctWidth>
            </wp14:sizeRelH>
            <wp14:sizeRelV relativeFrom="page">
              <wp14:pctHeight>0</wp14:pctHeight>
            </wp14:sizeRelV>
          </wp:anchor>
        </w:drawing>
      </w:r>
      <w:r w:rsidRPr="000C764A">
        <w:rPr>
          <w:lang w:val="nl-NL"/>
        </w:rPr>
        <w:t xml:space="preserve">Thuis laden gebeurt voor het grootste deel op eigen terrein, maar deels ook in de publieke ruimte via een private verlengde aansluiting. </w:t>
      </w:r>
    </w:p>
    <w:p w14:paraId="541E5AB3" w14:textId="77777777" w:rsidR="0089494B" w:rsidRDefault="0089494B" w:rsidP="0089494B">
      <w:pPr>
        <w:pStyle w:val="ROstandaard"/>
        <w:jc w:val="both"/>
        <w:rPr>
          <w:b/>
          <w:lang w:val="nl-NL"/>
        </w:rPr>
      </w:pPr>
    </w:p>
    <w:p w14:paraId="2B8A7306" w14:textId="77777777" w:rsidR="0089494B" w:rsidRPr="000C764A" w:rsidRDefault="0089494B" w:rsidP="0089494B">
      <w:pPr>
        <w:pStyle w:val="ROstandaard"/>
        <w:jc w:val="both"/>
        <w:rPr>
          <w:b/>
          <w:lang w:val="nl-NL"/>
        </w:rPr>
      </w:pPr>
      <w:r w:rsidRPr="000C764A">
        <w:rPr>
          <w:b/>
          <w:lang w:val="nl-NL"/>
        </w:rPr>
        <w:t>Jaarkilometrage blijft gelijk. [N=3.326]</w:t>
      </w:r>
    </w:p>
    <w:p w14:paraId="796B7987" w14:textId="77777777" w:rsidR="0089494B" w:rsidRPr="000C764A" w:rsidRDefault="0089494B" w:rsidP="0089494B">
      <w:pPr>
        <w:pStyle w:val="ROstandaard"/>
        <w:jc w:val="both"/>
        <w:rPr>
          <w:bCs/>
          <w:lang w:val="nl-NL"/>
        </w:rPr>
      </w:pPr>
      <w:r w:rsidRPr="000C764A">
        <w:rPr>
          <w:bCs/>
          <w:lang w:val="nl-NL"/>
        </w:rPr>
        <w:t xml:space="preserve">Gemiddeld genomen is er ongeveer hetzelfde aantal kilometers gereden als </w:t>
      </w:r>
      <w:r>
        <w:rPr>
          <w:bCs/>
          <w:lang w:val="nl-NL"/>
        </w:rPr>
        <w:t xml:space="preserve">in </w:t>
      </w:r>
      <w:r w:rsidRPr="000C764A">
        <w:rPr>
          <w:bCs/>
          <w:lang w:val="nl-NL"/>
        </w:rPr>
        <w:t xml:space="preserve">2024. Regio’s Noordwest en Zuid zagen een kleine, 6% en 8% respectievelijk, afname in het aantal gereden kilometers. </w:t>
      </w:r>
    </w:p>
    <w:tbl>
      <w:tblPr>
        <w:tblStyle w:val="Tabelraster"/>
        <w:tblW w:w="5134" w:type="pct"/>
        <w:tblLook w:val="04A0" w:firstRow="1" w:lastRow="0" w:firstColumn="1" w:lastColumn="0" w:noHBand="0" w:noVBand="1"/>
      </w:tblPr>
      <w:tblGrid>
        <w:gridCol w:w="1216"/>
        <w:gridCol w:w="774"/>
        <w:gridCol w:w="774"/>
        <w:gridCol w:w="774"/>
        <w:gridCol w:w="774"/>
      </w:tblGrid>
      <w:tr w:rsidR="0089494B" w:rsidRPr="000C764A" w14:paraId="094ADAAC" w14:textId="77777777" w:rsidTr="00BB513C">
        <w:tc>
          <w:tcPr>
            <w:tcW w:w="1383" w:type="pct"/>
          </w:tcPr>
          <w:p w14:paraId="2B2233C5" w14:textId="77777777" w:rsidR="0089494B" w:rsidRPr="003A33B4" w:rsidRDefault="0089494B" w:rsidP="00BB513C">
            <w:pPr>
              <w:pStyle w:val="ROstandaard"/>
              <w:jc w:val="both"/>
              <w:rPr>
                <w:rFonts w:asciiTheme="minorHAnsi" w:hAnsiTheme="minorHAnsi" w:cstheme="minorHAnsi"/>
                <w:b/>
                <w:bCs/>
                <w:sz w:val="20"/>
                <w:szCs w:val="20"/>
                <w:lang w:val="nl-NL"/>
              </w:rPr>
            </w:pPr>
            <w:r w:rsidRPr="003A33B4">
              <w:rPr>
                <w:rFonts w:asciiTheme="minorHAnsi" w:hAnsiTheme="minorHAnsi" w:cstheme="minorHAnsi"/>
                <w:b/>
                <w:bCs/>
                <w:sz w:val="20"/>
                <w:szCs w:val="20"/>
                <w:lang w:val="nl-NL"/>
              </w:rPr>
              <w:t>Jaarlijks kilometrage</w:t>
            </w:r>
          </w:p>
        </w:tc>
        <w:tc>
          <w:tcPr>
            <w:tcW w:w="936" w:type="pct"/>
          </w:tcPr>
          <w:p w14:paraId="5A28CCA1" w14:textId="77777777" w:rsidR="0089494B" w:rsidRPr="003A33B4" w:rsidRDefault="0089494B" w:rsidP="00BB513C">
            <w:pPr>
              <w:pStyle w:val="ROstandaard"/>
              <w:jc w:val="both"/>
              <w:rPr>
                <w:rFonts w:asciiTheme="minorHAnsi" w:hAnsiTheme="minorHAnsi" w:cstheme="minorHAnsi"/>
                <w:sz w:val="20"/>
                <w:szCs w:val="20"/>
                <w:lang w:val="nl-NL"/>
              </w:rPr>
            </w:pPr>
            <w:r w:rsidRPr="003A33B4">
              <w:rPr>
                <w:rFonts w:asciiTheme="minorHAnsi" w:hAnsiTheme="minorHAnsi" w:cstheme="minorHAnsi"/>
                <w:b/>
                <w:bCs/>
                <w:sz w:val="20"/>
                <w:szCs w:val="20"/>
                <w:lang w:val="nl-NL"/>
              </w:rPr>
              <w:t>2022</w:t>
            </w:r>
          </w:p>
        </w:tc>
        <w:tc>
          <w:tcPr>
            <w:tcW w:w="894" w:type="pct"/>
          </w:tcPr>
          <w:p w14:paraId="6A3F21F0" w14:textId="77777777" w:rsidR="0089494B" w:rsidRPr="003A33B4" w:rsidRDefault="0089494B" w:rsidP="00BB513C">
            <w:pPr>
              <w:pStyle w:val="ROstandaard"/>
              <w:jc w:val="both"/>
              <w:rPr>
                <w:rFonts w:asciiTheme="minorHAnsi" w:hAnsiTheme="minorHAnsi" w:cstheme="minorHAnsi"/>
                <w:sz w:val="20"/>
                <w:szCs w:val="20"/>
                <w:lang w:val="nl-NL"/>
              </w:rPr>
            </w:pPr>
            <w:r w:rsidRPr="003A33B4">
              <w:rPr>
                <w:rFonts w:asciiTheme="minorHAnsi" w:hAnsiTheme="minorHAnsi" w:cstheme="minorHAnsi"/>
                <w:b/>
                <w:bCs/>
                <w:sz w:val="20"/>
                <w:szCs w:val="20"/>
                <w:lang w:val="nl-NL"/>
              </w:rPr>
              <w:t>2023</w:t>
            </w:r>
          </w:p>
        </w:tc>
        <w:tc>
          <w:tcPr>
            <w:tcW w:w="894" w:type="pct"/>
          </w:tcPr>
          <w:p w14:paraId="1305F225" w14:textId="77777777" w:rsidR="0089494B" w:rsidRPr="003A33B4" w:rsidRDefault="0089494B" w:rsidP="00BB513C">
            <w:pPr>
              <w:pStyle w:val="ROstandaard"/>
              <w:jc w:val="both"/>
              <w:rPr>
                <w:rFonts w:asciiTheme="minorHAnsi" w:hAnsiTheme="minorHAnsi" w:cstheme="minorHAnsi"/>
                <w:sz w:val="20"/>
                <w:szCs w:val="20"/>
                <w:lang w:val="nl-NL"/>
              </w:rPr>
            </w:pPr>
            <w:r w:rsidRPr="003A33B4">
              <w:rPr>
                <w:rFonts w:asciiTheme="minorHAnsi" w:hAnsiTheme="minorHAnsi" w:cstheme="minorHAnsi"/>
                <w:b/>
                <w:bCs/>
                <w:sz w:val="20"/>
                <w:szCs w:val="20"/>
                <w:lang w:val="nl-NL"/>
              </w:rPr>
              <w:t>2024</w:t>
            </w:r>
          </w:p>
        </w:tc>
        <w:tc>
          <w:tcPr>
            <w:tcW w:w="893" w:type="pct"/>
          </w:tcPr>
          <w:p w14:paraId="662735E1" w14:textId="77777777" w:rsidR="0089494B" w:rsidRPr="003A33B4" w:rsidRDefault="0089494B" w:rsidP="00BB513C">
            <w:pPr>
              <w:pStyle w:val="ROstandaard"/>
              <w:jc w:val="both"/>
              <w:rPr>
                <w:rFonts w:asciiTheme="minorHAnsi" w:hAnsiTheme="minorHAnsi" w:cstheme="minorHAnsi"/>
                <w:sz w:val="20"/>
                <w:szCs w:val="20"/>
                <w:lang w:val="nl-NL"/>
              </w:rPr>
            </w:pPr>
            <w:r w:rsidRPr="003A33B4">
              <w:rPr>
                <w:rFonts w:asciiTheme="minorHAnsi" w:hAnsiTheme="minorHAnsi" w:cstheme="minorHAnsi"/>
                <w:b/>
                <w:bCs/>
                <w:sz w:val="20"/>
                <w:szCs w:val="20"/>
                <w:lang w:val="nl-NL"/>
              </w:rPr>
              <w:t>2025</w:t>
            </w:r>
          </w:p>
        </w:tc>
      </w:tr>
      <w:tr w:rsidR="0089494B" w:rsidRPr="000C764A" w14:paraId="22DEE962" w14:textId="77777777" w:rsidTr="00BB513C">
        <w:tc>
          <w:tcPr>
            <w:tcW w:w="1383" w:type="pct"/>
          </w:tcPr>
          <w:p w14:paraId="17B3BB79" w14:textId="77777777" w:rsidR="0089494B" w:rsidRPr="003A33B4" w:rsidRDefault="0089494B" w:rsidP="00BB513C">
            <w:pPr>
              <w:pStyle w:val="ROstandaard"/>
              <w:jc w:val="both"/>
              <w:rPr>
                <w:rFonts w:asciiTheme="minorHAnsi" w:hAnsiTheme="minorHAnsi" w:cstheme="minorHAnsi"/>
                <w:b/>
                <w:bCs/>
                <w:sz w:val="20"/>
                <w:szCs w:val="20"/>
                <w:lang w:val="nl-NL"/>
              </w:rPr>
            </w:pPr>
            <w:r w:rsidRPr="003A33B4">
              <w:rPr>
                <w:rFonts w:asciiTheme="minorHAnsi" w:hAnsiTheme="minorHAnsi" w:cstheme="minorHAnsi"/>
                <w:b/>
                <w:bCs/>
                <w:sz w:val="20"/>
                <w:szCs w:val="20"/>
                <w:lang w:val="nl-NL"/>
              </w:rPr>
              <w:t>G4</w:t>
            </w:r>
          </w:p>
        </w:tc>
        <w:tc>
          <w:tcPr>
            <w:tcW w:w="936" w:type="pct"/>
          </w:tcPr>
          <w:p w14:paraId="652BD344" w14:textId="77777777" w:rsidR="0089494B" w:rsidRPr="003A33B4" w:rsidRDefault="0089494B" w:rsidP="00BB513C">
            <w:pPr>
              <w:pStyle w:val="ROstandaard"/>
              <w:jc w:val="both"/>
              <w:rPr>
                <w:rFonts w:asciiTheme="minorHAnsi" w:hAnsiTheme="minorHAnsi" w:cstheme="minorHAnsi"/>
                <w:sz w:val="20"/>
                <w:szCs w:val="20"/>
                <w:lang w:val="nl-NL"/>
              </w:rPr>
            </w:pPr>
            <w:r w:rsidRPr="003A33B4">
              <w:rPr>
                <w:rFonts w:asciiTheme="minorHAnsi" w:hAnsiTheme="minorHAnsi" w:cstheme="minorHAnsi"/>
                <w:sz w:val="20"/>
                <w:szCs w:val="20"/>
                <w:lang w:val="nl-NL"/>
              </w:rPr>
              <w:t>15.500</w:t>
            </w:r>
          </w:p>
        </w:tc>
        <w:tc>
          <w:tcPr>
            <w:tcW w:w="894" w:type="pct"/>
          </w:tcPr>
          <w:p w14:paraId="5D54CE63" w14:textId="77777777" w:rsidR="0089494B" w:rsidRPr="003A33B4" w:rsidRDefault="0089494B" w:rsidP="00BB513C">
            <w:pPr>
              <w:pStyle w:val="ROstandaard"/>
              <w:jc w:val="both"/>
              <w:rPr>
                <w:rFonts w:asciiTheme="minorHAnsi" w:hAnsiTheme="minorHAnsi" w:cstheme="minorHAnsi"/>
                <w:sz w:val="20"/>
                <w:szCs w:val="20"/>
                <w:lang w:val="nl-NL"/>
              </w:rPr>
            </w:pPr>
            <w:r w:rsidRPr="003A33B4">
              <w:rPr>
                <w:rFonts w:asciiTheme="minorHAnsi" w:hAnsiTheme="minorHAnsi" w:cstheme="minorHAnsi"/>
                <w:sz w:val="20"/>
                <w:szCs w:val="20"/>
                <w:lang w:val="nl-NL"/>
              </w:rPr>
              <w:t>20.000</w:t>
            </w:r>
          </w:p>
        </w:tc>
        <w:tc>
          <w:tcPr>
            <w:tcW w:w="894" w:type="pct"/>
          </w:tcPr>
          <w:p w14:paraId="197EA161" w14:textId="77777777" w:rsidR="0089494B" w:rsidRPr="003A33B4" w:rsidRDefault="0089494B" w:rsidP="00BB513C">
            <w:pPr>
              <w:pStyle w:val="ROstandaard"/>
              <w:jc w:val="both"/>
              <w:rPr>
                <w:rFonts w:asciiTheme="minorHAnsi" w:hAnsiTheme="minorHAnsi" w:cstheme="minorHAnsi"/>
                <w:sz w:val="20"/>
                <w:szCs w:val="20"/>
                <w:lang w:val="nl-NL"/>
              </w:rPr>
            </w:pPr>
            <w:r w:rsidRPr="003A33B4">
              <w:rPr>
                <w:rFonts w:asciiTheme="minorHAnsi" w:hAnsiTheme="minorHAnsi" w:cstheme="minorHAnsi"/>
                <w:sz w:val="20"/>
                <w:szCs w:val="20"/>
                <w:lang w:val="nl-NL"/>
              </w:rPr>
              <w:t>18.500</w:t>
            </w:r>
          </w:p>
        </w:tc>
        <w:tc>
          <w:tcPr>
            <w:tcW w:w="893" w:type="pct"/>
          </w:tcPr>
          <w:p w14:paraId="2A01D1EB" w14:textId="77777777" w:rsidR="0089494B" w:rsidRPr="003A33B4" w:rsidRDefault="0089494B" w:rsidP="00BB513C">
            <w:pPr>
              <w:pStyle w:val="ROstandaard"/>
              <w:jc w:val="both"/>
              <w:rPr>
                <w:rFonts w:asciiTheme="minorHAnsi" w:hAnsiTheme="minorHAnsi" w:cstheme="minorHAnsi"/>
                <w:sz w:val="20"/>
                <w:szCs w:val="20"/>
                <w:lang w:val="nl-NL"/>
              </w:rPr>
            </w:pPr>
            <w:r w:rsidRPr="003A33B4">
              <w:rPr>
                <w:rFonts w:asciiTheme="minorHAnsi" w:hAnsiTheme="minorHAnsi" w:cstheme="minorHAnsi"/>
                <w:sz w:val="20"/>
                <w:szCs w:val="20"/>
                <w:lang w:val="nl-NL"/>
              </w:rPr>
              <w:t>18.</w:t>
            </w:r>
            <w:r>
              <w:rPr>
                <w:rFonts w:asciiTheme="minorHAnsi" w:hAnsiTheme="minorHAnsi" w:cstheme="minorHAnsi"/>
                <w:sz w:val="20"/>
                <w:szCs w:val="20"/>
                <w:lang w:val="nl-NL"/>
              </w:rPr>
              <w:t>5</w:t>
            </w:r>
            <w:r w:rsidRPr="003A33B4">
              <w:rPr>
                <w:rFonts w:asciiTheme="minorHAnsi" w:hAnsiTheme="minorHAnsi" w:cstheme="minorHAnsi"/>
                <w:sz w:val="20"/>
                <w:szCs w:val="20"/>
                <w:lang w:val="nl-NL"/>
              </w:rPr>
              <w:t>00</w:t>
            </w:r>
          </w:p>
        </w:tc>
      </w:tr>
      <w:tr w:rsidR="0089494B" w:rsidRPr="000C764A" w14:paraId="33AB1095" w14:textId="77777777" w:rsidTr="00BB513C">
        <w:tc>
          <w:tcPr>
            <w:tcW w:w="1383" w:type="pct"/>
          </w:tcPr>
          <w:p w14:paraId="5CAC133D" w14:textId="77777777" w:rsidR="0089494B" w:rsidRPr="003A33B4" w:rsidRDefault="0089494B" w:rsidP="00BB513C">
            <w:pPr>
              <w:pStyle w:val="ROstandaard"/>
              <w:jc w:val="both"/>
              <w:rPr>
                <w:rFonts w:asciiTheme="minorHAnsi" w:hAnsiTheme="minorHAnsi" w:cstheme="minorHAnsi"/>
                <w:b/>
                <w:bCs/>
                <w:sz w:val="20"/>
                <w:szCs w:val="20"/>
                <w:lang w:val="nl-NL"/>
              </w:rPr>
            </w:pPr>
            <w:r w:rsidRPr="003A33B4">
              <w:rPr>
                <w:rFonts w:asciiTheme="minorHAnsi" w:hAnsiTheme="minorHAnsi" w:cstheme="minorHAnsi"/>
                <w:b/>
                <w:bCs/>
                <w:sz w:val="20"/>
                <w:szCs w:val="20"/>
                <w:lang w:val="nl-NL"/>
              </w:rPr>
              <w:t>Noord</w:t>
            </w:r>
          </w:p>
        </w:tc>
        <w:tc>
          <w:tcPr>
            <w:tcW w:w="936" w:type="pct"/>
          </w:tcPr>
          <w:p w14:paraId="506B05AB" w14:textId="77777777" w:rsidR="0089494B" w:rsidRPr="003A33B4" w:rsidRDefault="0089494B" w:rsidP="00BB513C">
            <w:pPr>
              <w:pStyle w:val="ROstandaard"/>
              <w:jc w:val="both"/>
              <w:rPr>
                <w:rFonts w:asciiTheme="minorHAnsi" w:hAnsiTheme="minorHAnsi" w:cstheme="minorHAnsi"/>
                <w:sz w:val="20"/>
                <w:szCs w:val="20"/>
                <w:lang w:val="nl-NL"/>
              </w:rPr>
            </w:pPr>
            <w:r w:rsidRPr="003A33B4">
              <w:rPr>
                <w:rFonts w:asciiTheme="minorHAnsi" w:hAnsiTheme="minorHAnsi" w:cstheme="minorHAnsi"/>
                <w:sz w:val="20"/>
                <w:szCs w:val="20"/>
                <w:lang w:val="nl-NL"/>
              </w:rPr>
              <w:t>20.500</w:t>
            </w:r>
          </w:p>
        </w:tc>
        <w:tc>
          <w:tcPr>
            <w:tcW w:w="894" w:type="pct"/>
          </w:tcPr>
          <w:p w14:paraId="34C54A49" w14:textId="77777777" w:rsidR="0089494B" w:rsidRPr="003A33B4" w:rsidRDefault="0089494B" w:rsidP="00BB513C">
            <w:pPr>
              <w:pStyle w:val="ROstandaard"/>
              <w:jc w:val="both"/>
              <w:rPr>
                <w:rFonts w:asciiTheme="minorHAnsi" w:hAnsiTheme="minorHAnsi" w:cstheme="minorHAnsi"/>
                <w:sz w:val="20"/>
                <w:szCs w:val="20"/>
                <w:lang w:val="nl-NL"/>
              </w:rPr>
            </w:pPr>
            <w:r w:rsidRPr="003A33B4">
              <w:rPr>
                <w:rFonts w:asciiTheme="minorHAnsi" w:hAnsiTheme="minorHAnsi" w:cstheme="minorHAnsi"/>
                <w:sz w:val="20"/>
                <w:szCs w:val="20"/>
                <w:lang w:val="nl-NL"/>
              </w:rPr>
              <w:t>22.000</w:t>
            </w:r>
          </w:p>
        </w:tc>
        <w:tc>
          <w:tcPr>
            <w:tcW w:w="894" w:type="pct"/>
          </w:tcPr>
          <w:p w14:paraId="0FBFB235" w14:textId="77777777" w:rsidR="0089494B" w:rsidRPr="003A33B4" w:rsidRDefault="0089494B" w:rsidP="00BB513C">
            <w:pPr>
              <w:pStyle w:val="ROstandaard"/>
              <w:jc w:val="both"/>
              <w:rPr>
                <w:rFonts w:asciiTheme="minorHAnsi" w:hAnsiTheme="minorHAnsi" w:cstheme="minorHAnsi"/>
                <w:sz w:val="20"/>
                <w:szCs w:val="20"/>
                <w:lang w:val="nl-NL"/>
              </w:rPr>
            </w:pPr>
            <w:r w:rsidRPr="003A33B4">
              <w:rPr>
                <w:rFonts w:asciiTheme="minorHAnsi" w:hAnsiTheme="minorHAnsi" w:cstheme="minorHAnsi"/>
                <w:sz w:val="20"/>
                <w:szCs w:val="20"/>
                <w:lang w:val="nl-NL"/>
              </w:rPr>
              <w:t>22.000</w:t>
            </w:r>
          </w:p>
        </w:tc>
        <w:tc>
          <w:tcPr>
            <w:tcW w:w="893" w:type="pct"/>
          </w:tcPr>
          <w:p w14:paraId="48244D02" w14:textId="77777777" w:rsidR="0089494B" w:rsidRPr="003A33B4" w:rsidRDefault="0089494B" w:rsidP="00BB513C">
            <w:pPr>
              <w:pStyle w:val="ROstandaard"/>
              <w:jc w:val="both"/>
              <w:rPr>
                <w:rFonts w:asciiTheme="minorHAnsi" w:hAnsiTheme="minorHAnsi" w:cstheme="minorHAnsi"/>
                <w:sz w:val="20"/>
                <w:szCs w:val="20"/>
                <w:lang w:val="nl-NL"/>
              </w:rPr>
            </w:pPr>
            <w:r w:rsidRPr="003A33B4">
              <w:rPr>
                <w:rFonts w:asciiTheme="minorHAnsi" w:hAnsiTheme="minorHAnsi" w:cstheme="minorHAnsi"/>
                <w:sz w:val="20"/>
                <w:szCs w:val="20"/>
                <w:lang w:val="nl-NL"/>
              </w:rPr>
              <w:t>2</w:t>
            </w:r>
            <w:r>
              <w:rPr>
                <w:rFonts w:asciiTheme="minorHAnsi" w:hAnsiTheme="minorHAnsi" w:cstheme="minorHAnsi"/>
                <w:sz w:val="20"/>
                <w:szCs w:val="20"/>
                <w:lang w:val="nl-NL"/>
              </w:rPr>
              <w:t>4</w:t>
            </w:r>
            <w:r w:rsidRPr="003A33B4">
              <w:rPr>
                <w:rFonts w:asciiTheme="minorHAnsi" w:hAnsiTheme="minorHAnsi" w:cstheme="minorHAnsi"/>
                <w:sz w:val="20"/>
                <w:szCs w:val="20"/>
                <w:lang w:val="nl-NL"/>
              </w:rPr>
              <w:t>.</w:t>
            </w:r>
            <w:r>
              <w:rPr>
                <w:rFonts w:asciiTheme="minorHAnsi" w:hAnsiTheme="minorHAnsi" w:cstheme="minorHAnsi"/>
                <w:sz w:val="20"/>
                <w:szCs w:val="20"/>
                <w:lang w:val="nl-NL"/>
              </w:rPr>
              <w:t>0</w:t>
            </w:r>
            <w:r w:rsidRPr="003A33B4">
              <w:rPr>
                <w:rFonts w:asciiTheme="minorHAnsi" w:hAnsiTheme="minorHAnsi" w:cstheme="minorHAnsi"/>
                <w:sz w:val="20"/>
                <w:szCs w:val="20"/>
                <w:lang w:val="nl-NL"/>
              </w:rPr>
              <w:t>00</w:t>
            </w:r>
          </w:p>
        </w:tc>
      </w:tr>
      <w:tr w:rsidR="0089494B" w:rsidRPr="000C764A" w14:paraId="0B4DCE85" w14:textId="77777777" w:rsidTr="00BB513C">
        <w:tc>
          <w:tcPr>
            <w:tcW w:w="1383" w:type="pct"/>
          </w:tcPr>
          <w:p w14:paraId="44A7E936" w14:textId="77777777" w:rsidR="0089494B" w:rsidRPr="003A33B4" w:rsidRDefault="0089494B" w:rsidP="00BB513C">
            <w:pPr>
              <w:pStyle w:val="ROstandaard"/>
              <w:jc w:val="both"/>
              <w:rPr>
                <w:rFonts w:asciiTheme="minorHAnsi" w:hAnsiTheme="minorHAnsi" w:cstheme="minorHAnsi"/>
                <w:b/>
                <w:bCs/>
                <w:sz w:val="20"/>
                <w:szCs w:val="20"/>
                <w:lang w:val="nl-NL"/>
              </w:rPr>
            </w:pPr>
            <w:r w:rsidRPr="003A33B4">
              <w:rPr>
                <w:rFonts w:asciiTheme="minorHAnsi" w:hAnsiTheme="minorHAnsi" w:cstheme="minorHAnsi"/>
                <w:b/>
                <w:bCs/>
                <w:sz w:val="20"/>
                <w:szCs w:val="20"/>
                <w:lang w:val="nl-NL"/>
              </w:rPr>
              <w:t>Noordwest</w:t>
            </w:r>
          </w:p>
        </w:tc>
        <w:tc>
          <w:tcPr>
            <w:tcW w:w="936" w:type="pct"/>
          </w:tcPr>
          <w:p w14:paraId="78AAA896" w14:textId="77777777" w:rsidR="0089494B" w:rsidRPr="003A33B4" w:rsidRDefault="0089494B" w:rsidP="00BB513C">
            <w:pPr>
              <w:pStyle w:val="ROstandaard"/>
              <w:jc w:val="both"/>
              <w:rPr>
                <w:rFonts w:asciiTheme="minorHAnsi" w:hAnsiTheme="minorHAnsi" w:cstheme="minorHAnsi"/>
                <w:sz w:val="20"/>
                <w:szCs w:val="20"/>
                <w:lang w:val="nl-NL"/>
              </w:rPr>
            </w:pPr>
            <w:r w:rsidRPr="003A33B4">
              <w:rPr>
                <w:rFonts w:asciiTheme="minorHAnsi" w:hAnsiTheme="minorHAnsi" w:cstheme="minorHAnsi"/>
                <w:sz w:val="20"/>
                <w:szCs w:val="20"/>
                <w:lang w:val="nl-NL"/>
              </w:rPr>
              <w:t>18.000</w:t>
            </w:r>
          </w:p>
        </w:tc>
        <w:tc>
          <w:tcPr>
            <w:tcW w:w="894" w:type="pct"/>
          </w:tcPr>
          <w:p w14:paraId="461278E1" w14:textId="77777777" w:rsidR="0089494B" w:rsidRPr="003A33B4" w:rsidRDefault="0089494B" w:rsidP="00BB513C">
            <w:pPr>
              <w:pStyle w:val="ROstandaard"/>
              <w:jc w:val="both"/>
              <w:rPr>
                <w:rFonts w:asciiTheme="minorHAnsi" w:hAnsiTheme="minorHAnsi" w:cstheme="minorHAnsi"/>
                <w:sz w:val="20"/>
                <w:szCs w:val="20"/>
                <w:lang w:val="nl-NL"/>
              </w:rPr>
            </w:pPr>
            <w:r w:rsidRPr="003A33B4">
              <w:rPr>
                <w:rFonts w:asciiTheme="minorHAnsi" w:hAnsiTheme="minorHAnsi" w:cstheme="minorHAnsi"/>
                <w:sz w:val="20"/>
                <w:szCs w:val="20"/>
                <w:lang w:val="nl-NL"/>
              </w:rPr>
              <w:t>19.000</w:t>
            </w:r>
          </w:p>
        </w:tc>
        <w:tc>
          <w:tcPr>
            <w:tcW w:w="894" w:type="pct"/>
          </w:tcPr>
          <w:p w14:paraId="4DB42947" w14:textId="77777777" w:rsidR="0089494B" w:rsidRPr="003A33B4" w:rsidRDefault="0089494B" w:rsidP="00BB513C">
            <w:pPr>
              <w:pStyle w:val="ROstandaard"/>
              <w:jc w:val="both"/>
              <w:rPr>
                <w:rFonts w:asciiTheme="minorHAnsi" w:hAnsiTheme="minorHAnsi" w:cstheme="minorHAnsi"/>
                <w:sz w:val="20"/>
                <w:szCs w:val="20"/>
                <w:lang w:val="nl-NL"/>
              </w:rPr>
            </w:pPr>
            <w:r w:rsidRPr="003A33B4">
              <w:rPr>
                <w:rFonts w:asciiTheme="minorHAnsi" w:hAnsiTheme="minorHAnsi" w:cstheme="minorHAnsi"/>
                <w:sz w:val="20"/>
                <w:szCs w:val="20"/>
                <w:lang w:val="nl-NL"/>
              </w:rPr>
              <w:t>20.000</w:t>
            </w:r>
          </w:p>
        </w:tc>
        <w:tc>
          <w:tcPr>
            <w:tcW w:w="893" w:type="pct"/>
          </w:tcPr>
          <w:p w14:paraId="13A064F5" w14:textId="77777777" w:rsidR="0089494B" w:rsidRPr="003A33B4" w:rsidRDefault="0089494B" w:rsidP="00BB513C">
            <w:pPr>
              <w:pStyle w:val="ROstandaard"/>
              <w:jc w:val="both"/>
              <w:rPr>
                <w:rFonts w:asciiTheme="minorHAnsi" w:hAnsiTheme="minorHAnsi" w:cstheme="minorHAnsi"/>
                <w:sz w:val="20"/>
                <w:szCs w:val="20"/>
                <w:lang w:val="nl-NL"/>
              </w:rPr>
            </w:pPr>
            <w:r w:rsidRPr="003A33B4">
              <w:rPr>
                <w:rFonts w:asciiTheme="minorHAnsi" w:hAnsiTheme="minorHAnsi" w:cstheme="minorHAnsi"/>
                <w:sz w:val="20"/>
                <w:szCs w:val="20"/>
                <w:lang w:val="nl-NL"/>
              </w:rPr>
              <w:t>18.</w:t>
            </w:r>
            <w:r>
              <w:rPr>
                <w:rFonts w:asciiTheme="minorHAnsi" w:hAnsiTheme="minorHAnsi" w:cstheme="minorHAnsi"/>
                <w:sz w:val="20"/>
                <w:szCs w:val="20"/>
                <w:lang w:val="nl-NL"/>
              </w:rPr>
              <w:t>5</w:t>
            </w:r>
            <w:r w:rsidRPr="003A33B4">
              <w:rPr>
                <w:rFonts w:asciiTheme="minorHAnsi" w:hAnsiTheme="minorHAnsi" w:cstheme="minorHAnsi"/>
                <w:sz w:val="20"/>
                <w:szCs w:val="20"/>
                <w:lang w:val="nl-NL"/>
              </w:rPr>
              <w:t>00</w:t>
            </w:r>
          </w:p>
        </w:tc>
      </w:tr>
      <w:tr w:rsidR="0089494B" w:rsidRPr="000C764A" w14:paraId="4E6E334F" w14:textId="77777777" w:rsidTr="00BB513C">
        <w:tc>
          <w:tcPr>
            <w:tcW w:w="1383" w:type="pct"/>
          </w:tcPr>
          <w:p w14:paraId="42F86AAE" w14:textId="77777777" w:rsidR="0089494B" w:rsidRPr="003A33B4" w:rsidRDefault="0089494B" w:rsidP="00BB513C">
            <w:pPr>
              <w:pStyle w:val="ROstandaard"/>
              <w:jc w:val="both"/>
              <w:rPr>
                <w:rFonts w:asciiTheme="minorHAnsi" w:hAnsiTheme="minorHAnsi" w:cstheme="minorHAnsi"/>
                <w:b/>
                <w:bCs/>
                <w:sz w:val="20"/>
                <w:szCs w:val="20"/>
                <w:lang w:val="nl-NL"/>
              </w:rPr>
            </w:pPr>
            <w:r w:rsidRPr="003A33B4">
              <w:rPr>
                <w:rFonts w:asciiTheme="minorHAnsi" w:hAnsiTheme="minorHAnsi" w:cstheme="minorHAnsi"/>
                <w:b/>
                <w:bCs/>
                <w:sz w:val="20"/>
                <w:szCs w:val="20"/>
                <w:lang w:val="nl-NL"/>
              </w:rPr>
              <w:t>Oost</w:t>
            </w:r>
          </w:p>
        </w:tc>
        <w:tc>
          <w:tcPr>
            <w:tcW w:w="936" w:type="pct"/>
          </w:tcPr>
          <w:p w14:paraId="4F216F0D" w14:textId="77777777" w:rsidR="0089494B" w:rsidRPr="003A33B4" w:rsidRDefault="0089494B" w:rsidP="00BB513C">
            <w:pPr>
              <w:pStyle w:val="ROstandaard"/>
              <w:jc w:val="both"/>
              <w:rPr>
                <w:rFonts w:asciiTheme="minorHAnsi" w:hAnsiTheme="minorHAnsi" w:cstheme="minorHAnsi"/>
                <w:sz w:val="20"/>
                <w:szCs w:val="20"/>
                <w:lang w:val="nl-NL"/>
              </w:rPr>
            </w:pPr>
            <w:r w:rsidRPr="003A33B4">
              <w:rPr>
                <w:rFonts w:asciiTheme="minorHAnsi" w:hAnsiTheme="minorHAnsi" w:cstheme="minorHAnsi"/>
                <w:sz w:val="20"/>
                <w:szCs w:val="20"/>
                <w:lang w:val="nl-NL"/>
              </w:rPr>
              <w:t>20.000</w:t>
            </w:r>
          </w:p>
        </w:tc>
        <w:tc>
          <w:tcPr>
            <w:tcW w:w="894" w:type="pct"/>
          </w:tcPr>
          <w:p w14:paraId="50AE1765" w14:textId="77777777" w:rsidR="0089494B" w:rsidRPr="003A33B4" w:rsidRDefault="0089494B" w:rsidP="00BB513C">
            <w:pPr>
              <w:pStyle w:val="ROstandaard"/>
              <w:jc w:val="both"/>
              <w:rPr>
                <w:rFonts w:asciiTheme="minorHAnsi" w:hAnsiTheme="minorHAnsi" w:cstheme="minorHAnsi"/>
                <w:sz w:val="20"/>
                <w:szCs w:val="20"/>
                <w:lang w:val="nl-NL"/>
              </w:rPr>
            </w:pPr>
            <w:r w:rsidRPr="003A33B4">
              <w:rPr>
                <w:rFonts w:asciiTheme="minorHAnsi" w:hAnsiTheme="minorHAnsi" w:cstheme="minorHAnsi"/>
                <w:sz w:val="20"/>
                <w:szCs w:val="20"/>
                <w:lang w:val="nl-NL"/>
              </w:rPr>
              <w:t>21.000</w:t>
            </w:r>
          </w:p>
        </w:tc>
        <w:tc>
          <w:tcPr>
            <w:tcW w:w="894" w:type="pct"/>
          </w:tcPr>
          <w:p w14:paraId="41C45715" w14:textId="77777777" w:rsidR="0089494B" w:rsidRPr="003A33B4" w:rsidRDefault="0089494B" w:rsidP="00BB513C">
            <w:pPr>
              <w:pStyle w:val="ROstandaard"/>
              <w:jc w:val="both"/>
              <w:rPr>
                <w:rFonts w:asciiTheme="minorHAnsi" w:hAnsiTheme="minorHAnsi" w:cstheme="minorHAnsi"/>
                <w:sz w:val="20"/>
                <w:szCs w:val="20"/>
                <w:lang w:val="nl-NL"/>
              </w:rPr>
            </w:pPr>
            <w:r w:rsidRPr="003A33B4">
              <w:rPr>
                <w:rFonts w:asciiTheme="minorHAnsi" w:hAnsiTheme="minorHAnsi" w:cstheme="minorHAnsi"/>
                <w:sz w:val="20"/>
                <w:szCs w:val="20"/>
                <w:lang w:val="nl-NL"/>
              </w:rPr>
              <w:t>22.000</w:t>
            </w:r>
          </w:p>
        </w:tc>
        <w:tc>
          <w:tcPr>
            <w:tcW w:w="893" w:type="pct"/>
          </w:tcPr>
          <w:p w14:paraId="244D8EDB" w14:textId="77777777" w:rsidR="0089494B" w:rsidRPr="003A33B4" w:rsidRDefault="0089494B" w:rsidP="00BB513C">
            <w:pPr>
              <w:pStyle w:val="ROstandaard"/>
              <w:jc w:val="both"/>
              <w:rPr>
                <w:rFonts w:asciiTheme="minorHAnsi" w:hAnsiTheme="minorHAnsi" w:cstheme="minorHAnsi"/>
                <w:sz w:val="20"/>
                <w:szCs w:val="20"/>
                <w:lang w:val="nl-NL"/>
              </w:rPr>
            </w:pPr>
            <w:r w:rsidRPr="003A33B4">
              <w:rPr>
                <w:rFonts w:asciiTheme="minorHAnsi" w:hAnsiTheme="minorHAnsi" w:cstheme="minorHAnsi"/>
                <w:sz w:val="20"/>
                <w:szCs w:val="20"/>
                <w:lang w:val="nl-NL"/>
              </w:rPr>
              <w:t>21.</w:t>
            </w:r>
            <w:r>
              <w:rPr>
                <w:rFonts w:asciiTheme="minorHAnsi" w:hAnsiTheme="minorHAnsi" w:cstheme="minorHAnsi"/>
                <w:sz w:val="20"/>
                <w:szCs w:val="20"/>
                <w:lang w:val="nl-NL"/>
              </w:rPr>
              <w:t>5</w:t>
            </w:r>
            <w:r w:rsidRPr="003A33B4">
              <w:rPr>
                <w:rFonts w:asciiTheme="minorHAnsi" w:hAnsiTheme="minorHAnsi" w:cstheme="minorHAnsi"/>
                <w:sz w:val="20"/>
                <w:szCs w:val="20"/>
                <w:lang w:val="nl-NL"/>
              </w:rPr>
              <w:t>00</w:t>
            </w:r>
          </w:p>
        </w:tc>
      </w:tr>
      <w:tr w:rsidR="0089494B" w:rsidRPr="000C764A" w14:paraId="4BC77E5F" w14:textId="77777777" w:rsidTr="00BB513C">
        <w:tc>
          <w:tcPr>
            <w:tcW w:w="1383" w:type="pct"/>
          </w:tcPr>
          <w:p w14:paraId="74B35009" w14:textId="77777777" w:rsidR="0089494B" w:rsidRPr="003A33B4" w:rsidRDefault="0089494B" w:rsidP="00BB513C">
            <w:pPr>
              <w:pStyle w:val="ROstandaard"/>
              <w:jc w:val="both"/>
              <w:rPr>
                <w:rFonts w:asciiTheme="minorHAnsi" w:hAnsiTheme="minorHAnsi" w:cstheme="minorHAnsi"/>
                <w:b/>
                <w:bCs/>
                <w:sz w:val="20"/>
                <w:szCs w:val="20"/>
                <w:lang w:val="nl-NL"/>
              </w:rPr>
            </w:pPr>
            <w:r w:rsidRPr="003A33B4">
              <w:rPr>
                <w:rFonts w:asciiTheme="minorHAnsi" w:hAnsiTheme="minorHAnsi" w:cstheme="minorHAnsi"/>
                <w:b/>
                <w:bCs/>
                <w:sz w:val="20"/>
                <w:szCs w:val="20"/>
                <w:lang w:val="nl-NL"/>
              </w:rPr>
              <w:t>Zuid</w:t>
            </w:r>
          </w:p>
        </w:tc>
        <w:tc>
          <w:tcPr>
            <w:tcW w:w="936" w:type="pct"/>
          </w:tcPr>
          <w:p w14:paraId="1E127084" w14:textId="77777777" w:rsidR="0089494B" w:rsidRPr="003A33B4" w:rsidRDefault="0089494B" w:rsidP="00BB513C">
            <w:pPr>
              <w:pStyle w:val="ROstandaard"/>
              <w:jc w:val="both"/>
              <w:rPr>
                <w:rFonts w:asciiTheme="minorHAnsi" w:hAnsiTheme="minorHAnsi" w:cstheme="minorHAnsi"/>
                <w:sz w:val="20"/>
                <w:szCs w:val="20"/>
                <w:lang w:val="nl-NL"/>
              </w:rPr>
            </w:pPr>
            <w:r w:rsidRPr="003A33B4">
              <w:rPr>
                <w:rFonts w:asciiTheme="minorHAnsi" w:hAnsiTheme="minorHAnsi" w:cstheme="minorHAnsi"/>
                <w:sz w:val="20"/>
                <w:szCs w:val="20"/>
                <w:lang w:val="nl-NL"/>
              </w:rPr>
              <w:t>18.500</w:t>
            </w:r>
          </w:p>
        </w:tc>
        <w:tc>
          <w:tcPr>
            <w:tcW w:w="894" w:type="pct"/>
          </w:tcPr>
          <w:p w14:paraId="44734C8C" w14:textId="77777777" w:rsidR="0089494B" w:rsidRPr="003A33B4" w:rsidRDefault="0089494B" w:rsidP="00BB513C">
            <w:pPr>
              <w:pStyle w:val="ROstandaard"/>
              <w:jc w:val="both"/>
              <w:rPr>
                <w:rFonts w:asciiTheme="minorHAnsi" w:hAnsiTheme="minorHAnsi" w:cstheme="minorHAnsi"/>
                <w:sz w:val="20"/>
                <w:szCs w:val="20"/>
                <w:lang w:val="nl-NL"/>
              </w:rPr>
            </w:pPr>
            <w:r w:rsidRPr="003A33B4">
              <w:rPr>
                <w:rFonts w:asciiTheme="minorHAnsi" w:hAnsiTheme="minorHAnsi" w:cstheme="minorHAnsi"/>
                <w:sz w:val="20"/>
                <w:szCs w:val="20"/>
                <w:lang w:val="nl-NL"/>
              </w:rPr>
              <w:t>20.500</w:t>
            </w:r>
          </w:p>
        </w:tc>
        <w:tc>
          <w:tcPr>
            <w:tcW w:w="894" w:type="pct"/>
          </w:tcPr>
          <w:p w14:paraId="164C7379" w14:textId="77777777" w:rsidR="0089494B" w:rsidRPr="003A33B4" w:rsidRDefault="0089494B" w:rsidP="00BB513C">
            <w:pPr>
              <w:pStyle w:val="ROstandaard"/>
              <w:jc w:val="both"/>
              <w:rPr>
                <w:rFonts w:asciiTheme="minorHAnsi" w:hAnsiTheme="minorHAnsi" w:cstheme="minorHAnsi"/>
                <w:sz w:val="20"/>
                <w:szCs w:val="20"/>
                <w:lang w:val="nl-NL"/>
              </w:rPr>
            </w:pPr>
            <w:r w:rsidRPr="003A33B4">
              <w:rPr>
                <w:rFonts w:asciiTheme="minorHAnsi" w:hAnsiTheme="minorHAnsi" w:cstheme="minorHAnsi"/>
                <w:sz w:val="20"/>
                <w:szCs w:val="20"/>
                <w:lang w:val="nl-NL"/>
              </w:rPr>
              <w:t>21.500</w:t>
            </w:r>
          </w:p>
        </w:tc>
        <w:tc>
          <w:tcPr>
            <w:tcW w:w="893" w:type="pct"/>
          </w:tcPr>
          <w:p w14:paraId="0DF6AFEB" w14:textId="77777777" w:rsidR="0089494B" w:rsidRPr="003A33B4" w:rsidRDefault="0089494B" w:rsidP="00BB513C">
            <w:pPr>
              <w:pStyle w:val="ROstandaard"/>
              <w:jc w:val="both"/>
              <w:rPr>
                <w:rFonts w:asciiTheme="minorHAnsi" w:hAnsiTheme="minorHAnsi" w:cstheme="minorHAnsi"/>
                <w:sz w:val="20"/>
                <w:szCs w:val="20"/>
                <w:lang w:val="nl-NL"/>
              </w:rPr>
            </w:pPr>
            <w:r>
              <w:rPr>
                <w:rFonts w:asciiTheme="minorHAnsi" w:hAnsiTheme="minorHAnsi" w:cstheme="minorHAnsi"/>
                <w:sz w:val="20"/>
                <w:szCs w:val="20"/>
                <w:lang w:val="nl-NL"/>
              </w:rPr>
              <w:t>20</w:t>
            </w:r>
            <w:r w:rsidRPr="003A33B4">
              <w:rPr>
                <w:rFonts w:asciiTheme="minorHAnsi" w:hAnsiTheme="minorHAnsi" w:cstheme="minorHAnsi"/>
                <w:sz w:val="20"/>
                <w:szCs w:val="20"/>
                <w:lang w:val="nl-NL"/>
              </w:rPr>
              <w:t>.</w:t>
            </w:r>
            <w:r>
              <w:rPr>
                <w:rFonts w:asciiTheme="minorHAnsi" w:hAnsiTheme="minorHAnsi" w:cstheme="minorHAnsi"/>
                <w:sz w:val="20"/>
                <w:szCs w:val="20"/>
                <w:lang w:val="nl-NL"/>
              </w:rPr>
              <w:t>0</w:t>
            </w:r>
            <w:r w:rsidRPr="003A33B4">
              <w:rPr>
                <w:rFonts w:asciiTheme="minorHAnsi" w:hAnsiTheme="minorHAnsi" w:cstheme="minorHAnsi"/>
                <w:sz w:val="20"/>
                <w:szCs w:val="20"/>
                <w:lang w:val="nl-NL"/>
              </w:rPr>
              <w:t>00</w:t>
            </w:r>
          </w:p>
        </w:tc>
      </w:tr>
      <w:tr w:rsidR="0089494B" w:rsidRPr="000C764A" w14:paraId="53DCE398" w14:textId="77777777" w:rsidTr="00BB513C">
        <w:tc>
          <w:tcPr>
            <w:tcW w:w="1383" w:type="pct"/>
          </w:tcPr>
          <w:p w14:paraId="3F47DE99" w14:textId="77777777" w:rsidR="0089494B" w:rsidRPr="003A33B4" w:rsidRDefault="0089494B" w:rsidP="00BB513C">
            <w:pPr>
              <w:pStyle w:val="ROstandaard"/>
              <w:jc w:val="both"/>
              <w:rPr>
                <w:rFonts w:asciiTheme="minorHAnsi" w:hAnsiTheme="minorHAnsi" w:cstheme="minorHAnsi"/>
                <w:b/>
                <w:bCs/>
                <w:sz w:val="20"/>
                <w:szCs w:val="20"/>
                <w:lang w:val="nl-NL"/>
              </w:rPr>
            </w:pPr>
            <w:r w:rsidRPr="003A33B4">
              <w:rPr>
                <w:rFonts w:asciiTheme="minorHAnsi" w:hAnsiTheme="minorHAnsi" w:cstheme="minorHAnsi"/>
                <w:b/>
                <w:bCs/>
                <w:sz w:val="20"/>
                <w:szCs w:val="20"/>
                <w:lang w:val="nl-NL"/>
              </w:rPr>
              <w:t>Zuidwest</w:t>
            </w:r>
          </w:p>
        </w:tc>
        <w:tc>
          <w:tcPr>
            <w:tcW w:w="936" w:type="pct"/>
          </w:tcPr>
          <w:p w14:paraId="4333767D" w14:textId="77777777" w:rsidR="0089494B" w:rsidRPr="003A33B4" w:rsidRDefault="0089494B" w:rsidP="00BB513C">
            <w:pPr>
              <w:pStyle w:val="ROstandaard"/>
              <w:jc w:val="both"/>
              <w:rPr>
                <w:rFonts w:asciiTheme="minorHAnsi" w:hAnsiTheme="minorHAnsi" w:cstheme="minorHAnsi"/>
                <w:sz w:val="20"/>
                <w:szCs w:val="20"/>
                <w:lang w:val="nl-NL"/>
              </w:rPr>
            </w:pPr>
            <w:r w:rsidRPr="003A33B4">
              <w:rPr>
                <w:rFonts w:asciiTheme="minorHAnsi" w:hAnsiTheme="minorHAnsi" w:cstheme="minorHAnsi"/>
                <w:sz w:val="20"/>
                <w:szCs w:val="20"/>
                <w:lang w:val="nl-NL"/>
              </w:rPr>
              <w:t>18.500</w:t>
            </w:r>
          </w:p>
        </w:tc>
        <w:tc>
          <w:tcPr>
            <w:tcW w:w="894" w:type="pct"/>
          </w:tcPr>
          <w:p w14:paraId="28556A42" w14:textId="77777777" w:rsidR="0089494B" w:rsidRPr="003A33B4" w:rsidRDefault="0089494B" w:rsidP="00BB513C">
            <w:pPr>
              <w:pStyle w:val="ROstandaard"/>
              <w:jc w:val="both"/>
              <w:rPr>
                <w:rFonts w:asciiTheme="minorHAnsi" w:hAnsiTheme="minorHAnsi" w:cstheme="minorHAnsi"/>
                <w:sz w:val="20"/>
                <w:szCs w:val="20"/>
                <w:lang w:val="nl-NL"/>
              </w:rPr>
            </w:pPr>
            <w:r w:rsidRPr="003A33B4">
              <w:rPr>
                <w:rFonts w:asciiTheme="minorHAnsi" w:hAnsiTheme="minorHAnsi" w:cstheme="minorHAnsi"/>
                <w:sz w:val="20"/>
                <w:szCs w:val="20"/>
                <w:lang w:val="nl-NL"/>
              </w:rPr>
              <w:t>19.000</w:t>
            </w:r>
          </w:p>
        </w:tc>
        <w:tc>
          <w:tcPr>
            <w:tcW w:w="894" w:type="pct"/>
          </w:tcPr>
          <w:p w14:paraId="6FDA3F70" w14:textId="77777777" w:rsidR="0089494B" w:rsidRPr="003A33B4" w:rsidRDefault="0089494B" w:rsidP="00BB513C">
            <w:pPr>
              <w:pStyle w:val="ROstandaard"/>
              <w:jc w:val="both"/>
              <w:rPr>
                <w:rFonts w:asciiTheme="minorHAnsi" w:hAnsiTheme="minorHAnsi" w:cstheme="minorHAnsi"/>
                <w:sz w:val="20"/>
                <w:szCs w:val="20"/>
                <w:lang w:val="nl-NL"/>
              </w:rPr>
            </w:pPr>
            <w:r w:rsidRPr="003A33B4">
              <w:rPr>
                <w:rFonts w:asciiTheme="minorHAnsi" w:hAnsiTheme="minorHAnsi" w:cstheme="minorHAnsi"/>
                <w:sz w:val="20"/>
                <w:szCs w:val="20"/>
                <w:lang w:val="nl-NL"/>
              </w:rPr>
              <w:t>19.500</w:t>
            </w:r>
          </w:p>
        </w:tc>
        <w:tc>
          <w:tcPr>
            <w:tcW w:w="893" w:type="pct"/>
          </w:tcPr>
          <w:p w14:paraId="22C0A73F" w14:textId="77777777" w:rsidR="0089494B" w:rsidRPr="003A33B4" w:rsidRDefault="0089494B" w:rsidP="00BB513C">
            <w:pPr>
              <w:pStyle w:val="ROstandaard"/>
              <w:jc w:val="both"/>
              <w:rPr>
                <w:rFonts w:asciiTheme="minorHAnsi" w:hAnsiTheme="minorHAnsi" w:cstheme="minorHAnsi"/>
                <w:sz w:val="20"/>
                <w:szCs w:val="20"/>
                <w:lang w:val="nl-NL"/>
              </w:rPr>
            </w:pPr>
            <w:r w:rsidRPr="003A33B4">
              <w:rPr>
                <w:rFonts w:asciiTheme="minorHAnsi" w:hAnsiTheme="minorHAnsi" w:cstheme="minorHAnsi"/>
                <w:sz w:val="20"/>
                <w:szCs w:val="20"/>
                <w:lang w:val="nl-NL"/>
              </w:rPr>
              <w:t>19.</w:t>
            </w:r>
            <w:r>
              <w:rPr>
                <w:rFonts w:asciiTheme="minorHAnsi" w:hAnsiTheme="minorHAnsi" w:cstheme="minorHAnsi"/>
                <w:sz w:val="20"/>
                <w:szCs w:val="20"/>
                <w:lang w:val="nl-NL"/>
              </w:rPr>
              <w:t>5</w:t>
            </w:r>
            <w:r w:rsidRPr="003A33B4">
              <w:rPr>
                <w:rFonts w:asciiTheme="minorHAnsi" w:hAnsiTheme="minorHAnsi" w:cstheme="minorHAnsi"/>
                <w:sz w:val="20"/>
                <w:szCs w:val="20"/>
                <w:lang w:val="nl-NL"/>
              </w:rPr>
              <w:t>00</w:t>
            </w:r>
          </w:p>
        </w:tc>
      </w:tr>
    </w:tbl>
    <w:p w14:paraId="5C14118A" w14:textId="77777777" w:rsidR="0089494B" w:rsidRDefault="0089494B" w:rsidP="0089494B">
      <w:pPr>
        <w:pStyle w:val="ROstandaard"/>
        <w:jc w:val="both"/>
        <w:rPr>
          <w:b/>
          <w:lang w:val="nl-NL"/>
        </w:rPr>
      </w:pPr>
    </w:p>
    <w:p w14:paraId="08F1B460" w14:textId="77777777" w:rsidR="0089494B" w:rsidRDefault="0089494B" w:rsidP="0089494B">
      <w:pPr>
        <w:pStyle w:val="ROstandaard"/>
        <w:jc w:val="both"/>
        <w:rPr>
          <w:b/>
          <w:lang w:val="nl-NL"/>
        </w:rPr>
      </w:pPr>
      <w:r w:rsidRPr="000C764A">
        <w:rPr>
          <w:noProof/>
          <w:lang w:val="nl-NL"/>
        </w:rPr>
        <w:drawing>
          <wp:anchor distT="0" distB="0" distL="114300" distR="114300" simplePos="0" relativeHeight="251662361" behindDoc="0" locked="0" layoutInCell="1" allowOverlap="1" wp14:anchorId="7C6922A6" wp14:editId="6863321D">
            <wp:simplePos x="0" y="0"/>
            <wp:positionH relativeFrom="column">
              <wp:posOffset>-33162</wp:posOffset>
            </wp:positionH>
            <wp:positionV relativeFrom="paragraph">
              <wp:posOffset>348065</wp:posOffset>
            </wp:positionV>
            <wp:extent cx="5794375" cy="2299648"/>
            <wp:effectExtent l="0" t="0" r="0" b="0"/>
            <wp:wrapSquare wrapText="bothSides"/>
            <wp:docPr id="1331642979" name="Chart 1">
              <a:extLst xmlns:a="http://schemas.openxmlformats.org/drawingml/2006/main">
                <a:ext uri="{FF2B5EF4-FFF2-40B4-BE49-F238E27FC236}">
                  <a16:creationId xmlns:a16="http://schemas.microsoft.com/office/drawing/2014/main" id="{1E7EB80D-06EF-F6D5-C550-9DBDD86AA1F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8"/>
              </a:graphicData>
            </a:graphic>
            <wp14:sizeRelH relativeFrom="page">
              <wp14:pctWidth>0</wp14:pctWidth>
            </wp14:sizeRelH>
            <wp14:sizeRelV relativeFrom="page">
              <wp14:pctHeight>0</wp14:pctHeight>
            </wp14:sizeRelV>
          </wp:anchor>
        </w:drawing>
      </w:r>
    </w:p>
    <w:p w14:paraId="3BA1872A" w14:textId="77777777" w:rsidR="0089494B" w:rsidRPr="000C764A" w:rsidRDefault="0089494B" w:rsidP="0089494B">
      <w:pPr>
        <w:pStyle w:val="ROstandaard"/>
        <w:jc w:val="both"/>
        <w:rPr>
          <w:b/>
          <w:bCs/>
          <w:lang w:val="nl-NL"/>
        </w:rPr>
      </w:pPr>
      <w:r>
        <w:rPr>
          <w:b/>
          <w:bCs/>
          <w:lang w:val="nl-NL"/>
        </w:rPr>
        <w:t>H</w:t>
      </w:r>
      <w:r w:rsidRPr="000C764A">
        <w:rPr>
          <w:b/>
          <w:bCs/>
          <w:lang w:val="nl-NL"/>
        </w:rPr>
        <w:t xml:space="preserve">et aandeel </w:t>
      </w:r>
      <w:r>
        <w:rPr>
          <w:b/>
          <w:bCs/>
          <w:lang w:val="nl-NL"/>
        </w:rPr>
        <w:t>VPA gebruikers is in de regio's Noord en Zuid sterk toegenomen</w:t>
      </w:r>
      <w:r w:rsidRPr="000C764A">
        <w:rPr>
          <w:b/>
          <w:bCs/>
          <w:lang w:val="nl-NL"/>
        </w:rPr>
        <w:t xml:space="preserve">. </w:t>
      </w:r>
    </w:p>
    <w:p w14:paraId="3ECB2A41" w14:textId="77777777" w:rsidR="0089494B" w:rsidRPr="000C764A" w:rsidRDefault="0089494B" w:rsidP="0089494B">
      <w:pPr>
        <w:pStyle w:val="ROstandaard"/>
        <w:jc w:val="both"/>
        <w:rPr>
          <w:lang w:val="nl-NL"/>
        </w:rPr>
      </w:pPr>
      <w:r>
        <w:rPr>
          <w:lang w:val="nl-NL"/>
        </w:rPr>
        <w:t>In de G4, regio Noordwest en regio Zuidwest is het aandeel VPA gebruikers juist afgenomen.</w:t>
      </w:r>
    </w:p>
    <w:p w14:paraId="1320CAD8" w14:textId="77777777" w:rsidR="0089494B" w:rsidRDefault="0089494B" w:rsidP="0089494B">
      <w:pPr>
        <w:pStyle w:val="ROstandaard"/>
        <w:jc w:val="both"/>
        <w:rPr>
          <w:b/>
          <w:lang w:val="nl-NL"/>
        </w:rPr>
      </w:pPr>
    </w:p>
    <w:p w14:paraId="6C128207" w14:textId="77777777" w:rsidR="0089494B" w:rsidRDefault="0089494B" w:rsidP="0089494B">
      <w:pPr>
        <w:pStyle w:val="ROstandaard"/>
        <w:jc w:val="both"/>
        <w:rPr>
          <w:b/>
          <w:lang w:val="nl-NL"/>
        </w:rPr>
      </w:pPr>
    </w:p>
    <w:p w14:paraId="1D134446" w14:textId="77777777" w:rsidR="0089494B" w:rsidRDefault="0089494B" w:rsidP="0089494B">
      <w:pPr>
        <w:pStyle w:val="ROstandaard"/>
        <w:jc w:val="both"/>
        <w:rPr>
          <w:b/>
          <w:lang w:val="nl-NL"/>
        </w:rPr>
      </w:pPr>
    </w:p>
    <w:p w14:paraId="072F037B" w14:textId="77777777" w:rsidR="0089494B" w:rsidRPr="000C764A" w:rsidRDefault="0089494B" w:rsidP="0089494B">
      <w:pPr>
        <w:pStyle w:val="ROstandaard"/>
        <w:jc w:val="both"/>
        <w:rPr>
          <w:b/>
          <w:lang w:val="nl-NL"/>
        </w:rPr>
      </w:pPr>
      <w:r w:rsidRPr="000C764A">
        <w:rPr>
          <w:b/>
          <w:lang w:val="nl-NL"/>
        </w:rPr>
        <w:t xml:space="preserve">In regio Zuidwest moet men vaker </w:t>
      </w:r>
      <w:r>
        <w:rPr>
          <w:b/>
          <w:lang w:val="nl-NL"/>
        </w:rPr>
        <w:t xml:space="preserve">onderweg </w:t>
      </w:r>
      <w:r w:rsidRPr="000C764A">
        <w:rPr>
          <w:b/>
          <w:lang w:val="nl-NL"/>
        </w:rPr>
        <w:t>bijladen dan</w:t>
      </w:r>
      <w:r>
        <w:rPr>
          <w:b/>
          <w:lang w:val="nl-NL"/>
        </w:rPr>
        <w:t xml:space="preserve"> in</w:t>
      </w:r>
      <w:r w:rsidRPr="000C764A">
        <w:rPr>
          <w:b/>
          <w:lang w:val="nl-NL"/>
        </w:rPr>
        <w:t xml:space="preserve"> 2024, in de andere regio’s juist minder vaak. [N=3.559]</w:t>
      </w:r>
    </w:p>
    <w:p w14:paraId="31A53530" w14:textId="77777777" w:rsidR="0089494B" w:rsidRPr="00E335A4" w:rsidRDefault="0089494B" w:rsidP="0089494B">
      <w:pPr>
        <w:pStyle w:val="ROstandaard"/>
        <w:jc w:val="both"/>
        <w:rPr>
          <w:b/>
          <w:lang w:val="nl-NL"/>
        </w:rPr>
      </w:pPr>
      <w:r w:rsidRPr="000C764A">
        <w:rPr>
          <w:bCs/>
          <w:lang w:val="nl-NL"/>
        </w:rPr>
        <w:t xml:space="preserve">Ook al is regio Zuidwest niet de regio waar de meeste kilometers gereden worden, wordt hier toch nog het vaakst bijgeladen. In regio Zuidwest moet men gemiddeld 1,7 keer per maand bijladen, omdat de actieradius van de EV </w:t>
      </w:r>
      <w:r>
        <w:rPr>
          <w:bCs/>
          <w:lang w:val="nl-NL"/>
        </w:rPr>
        <w:t>niet voldoende is om de totale afstand te</w:t>
      </w:r>
      <w:r w:rsidRPr="000C764A">
        <w:rPr>
          <w:bCs/>
          <w:lang w:val="nl-NL"/>
        </w:rPr>
        <w:t xml:space="preserve"> overbruggen. Bij de andere regio’s is dit</w:t>
      </w:r>
      <w:r>
        <w:rPr>
          <w:bCs/>
          <w:lang w:val="nl-NL"/>
        </w:rPr>
        <w:t xml:space="preserve"> iets</w:t>
      </w:r>
      <w:r w:rsidRPr="000C764A">
        <w:rPr>
          <w:bCs/>
          <w:lang w:val="nl-NL"/>
        </w:rPr>
        <w:t xml:space="preserve"> lager, maar vergelijkbaar. Over het algemeen moet men 1,47 keer bijladen per maand, ten opzichte van 1,76 in 2024. </w:t>
      </w:r>
      <w:r>
        <w:rPr>
          <w:b/>
          <w:bCs/>
          <w:lang w:val="nl-NL"/>
        </w:rPr>
        <w:br w:type="page"/>
      </w:r>
    </w:p>
    <w:p w14:paraId="29F6526C" w14:textId="77777777" w:rsidR="0089494B" w:rsidRPr="000C764A" w:rsidRDefault="0089494B" w:rsidP="0089494B">
      <w:pPr>
        <w:pStyle w:val="ROstandaard"/>
        <w:jc w:val="both"/>
        <w:rPr>
          <w:b/>
          <w:bCs/>
          <w:lang w:val="nl-NL"/>
        </w:rPr>
      </w:pPr>
      <w:r w:rsidRPr="000C764A">
        <w:rPr>
          <w:b/>
          <w:bCs/>
          <w:lang w:val="nl-NL"/>
        </w:rPr>
        <w:lastRenderedPageBreak/>
        <w:t>Rapportcijfers voor laadmogelijkheden zijn vergelijkbaar per regio. [N=3.693]</w:t>
      </w:r>
    </w:p>
    <w:p w14:paraId="69C4C6DC" w14:textId="77777777" w:rsidR="0089494B" w:rsidRDefault="0089494B" w:rsidP="0089494B">
      <w:pPr>
        <w:pStyle w:val="ROstandaard"/>
        <w:jc w:val="both"/>
        <w:rPr>
          <w:lang w:val="nl-NL"/>
        </w:rPr>
      </w:pPr>
      <w:r w:rsidRPr="000C764A">
        <w:rPr>
          <w:lang w:val="nl-NL"/>
        </w:rPr>
        <w:t xml:space="preserve">Net als in 2024 verschillen de cijfers per NAL-regio niet veel, op een paar uitzonderingen na. Zo zijn </w:t>
      </w:r>
      <w:r>
        <w:rPr>
          <w:lang w:val="nl-NL"/>
        </w:rPr>
        <w:t xml:space="preserve">EV-rijders in regio's </w:t>
      </w:r>
      <w:r w:rsidRPr="000C764A">
        <w:rPr>
          <w:lang w:val="nl-NL"/>
        </w:rPr>
        <w:t xml:space="preserve">Noord en Noordwest </w:t>
      </w:r>
      <w:r>
        <w:rPr>
          <w:lang w:val="nl-NL"/>
        </w:rPr>
        <w:t>minder tevreden over</w:t>
      </w:r>
      <w:r w:rsidRPr="000C764A">
        <w:rPr>
          <w:lang w:val="nl-NL"/>
        </w:rPr>
        <w:t xml:space="preserve"> openbare laadpalen in de buurt. </w:t>
      </w:r>
    </w:p>
    <w:p w14:paraId="3D0DC6A8" w14:textId="77777777" w:rsidR="0089494B" w:rsidRPr="000C764A" w:rsidRDefault="0089494B" w:rsidP="0089494B">
      <w:pPr>
        <w:pStyle w:val="ROstandaard"/>
        <w:jc w:val="both"/>
        <w:rPr>
          <w:bCs/>
          <w:lang w:val="nl-NL"/>
        </w:rPr>
      </w:pPr>
      <w:r w:rsidRPr="000C764A">
        <w:rPr>
          <w:noProof/>
          <w:lang w:val="nl-NL"/>
        </w:rPr>
        <w:drawing>
          <wp:inline distT="0" distB="0" distL="0" distR="0" wp14:anchorId="40866D75" wp14:editId="00220311">
            <wp:extent cx="2838450" cy="4660710"/>
            <wp:effectExtent l="0" t="0" r="0" b="0"/>
            <wp:docPr id="94529539" name="Chart 1">
              <a:extLst xmlns:a="http://schemas.openxmlformats.org/drawingml/2006/main">
                <a:ext uri="{FF2B5EF4-FFF2-40B4-BE49-F238E27FC236}">
                  <a16:creationId xmlns:a16="http://schemas.microsoft.com/office/drawing/2014/main" id="{C21AE18E-B584-7020-1E08-3C201BDD7B9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9"/>
              </a:graphicData>
            </a:graphic>
          </wp:inline>
        </w:drawing>
      </w:r>
    </w:p>
    <w:p w14:paraId="548AE19D" w14:textId="77777777" w:rsidR="0089494B" w:rsidRPr="0002788D" w:rsidRDefault="0089494B" w:rsidP="0089494B">
      <w:pPr>
        <w:pStyle w:val="ROstandaard"/>
        <w:jc w:val="both"/>
        <w:rPr>
          <w:lang w:val="nl-NL"/>
        </w:rPr>
      </w:pPr>
    </w:p>
    <w:p w14:paraId="6EFE21EB" w14:textId="77777777" w:rsidR="0089494B" w:rsidRPr="000C764A" w:rsidRDefault="0089494B" w:rsidP="0089494B">
      <w:pPr>
        <w:pStyle w:val="ROstandaard"/>
        <w:jc w:val="both"/>
        <w:rPr>
          <w:b/>
          <w:lang w:val="nl-NL"/>
        </w:rPr>
      </w:pPr>
      <w:r w:rsidRPr="000C764A">
        <w:rPr>
          <w:b/>
          <w:lang w:val="nl-NL"/>
        </w:rPr>
        <w:t>In alle zes de regio’s wordt relatief minder vaak een knelpunt ervaren tijdens het openbaar laden ten opzichte van voorgaande jaren. [N=1.119]</w:t>
      </w:r>
    </w:p>
    <w:p w14:paraId="26682511" w14:textId="77777777" w:rsidR="0089494B" w:rsidRDefault="0089494B" w:rsidP="0089494B">
      <w:pPr>
        <w:pStyle w:val="ROstandaard"/>
        <w:jc w:val="both"/>
        <w:rPr>
          <w:rFonts w:cstheme="minorHAnsi"/>
          <w:lang w:val="nl-NL"/>
        </w:rPr>
      </w:pPr>
      <w:r w:rsidRPr="000C764A">
        <w:rPr>
          <w:bCs/>
          <w:lang w:val="nl-NL"/>
        </w:rPr>
        <w:t xml:space="preserve">In de G4 wordt het vaakst een knelpunt ervaren (60%). Verder valt op dat over de jaren heen het aantal ervaren knelpunten afneemt voor alle regio’s. </w:t>
      </w:r>
      <w:r>
        <w:rPr>
          <w:bCs/>
          <w:lang w:val="nl-NL"/>
        </w:rPr>
        <w:t xml:space="preserve">Bezet door een fossiele brandstofauto komt in regio Noord vaker voor ten opzichte het landelijk gemiddelde. Laadpalen die bezet zijn door EV's die niet laden komt vaker voor dan het landelijk gemiddelde in regio Zuidwest. Een </w:t>
      </w:r>
      <w:r>
        <w:rPr>
          <w:bCs/>
          <w:lang w:val="nl-NL"/>
        </w:rPr>
        <w:t>niet bereikbare laadpaal (bijvoorbeeld achter een slagboom) of een onvindbare laadpaal komt bij alle regio's het minst vaak voor.</w:t>
      </w:r>
    </w:p>
    <w:p w14:paraId="0462B7D9" w14:textId="77777777" w:rsidR="0089494B" w:rsidRPr="000C764A" w:rsidRDefault="0089494B" w:rsidP="0089494B">
      <w:pPr>
        <w:pStyle w:val="ROstandaard"/>
        <w:jc w:val="both"/>
        <w:rPr>
          <w:rFonts w:cstheme="minorHAnsi"/>
          <w:lang w:val="nl-NL"/>
        </w:rPr>
      </w:pPr>
      <w:r w:rsidRPr="000C764A">
        <w:rPr>
          <w:noProof/>
          <w:lang w:val="nl-NL"/>
        </w:rPr>
        <w:drawing>
          <wp:inline distT="0" distB="0" distL="0" distR="0" wp14:anchorId="33DC4352" wp14:editId="240F77B6">
            <wp:extent cx="2655570" cy="3439236"/>
            <wp:effectExtent l="0" t="0" r="0" b="0"/>
            <wp:docPr id="483189098" name="Chart 1">
              <a:extLst xmlns:a="http://schemas.openxmlformats.org/drawingml/2006/main">
                <a:ext uri="{FF2B5EF4-FFF2-40B4-BE49-F238E27FC236}">
                  <a16:creationId xmlns:a16="http://schemas.microsoft.com/office/drawing/2014/main" id="{41CD105B-4637-BA48-44FE-78B057C848A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0"/>
              </a:graphicData>
            </a:graphic>
          </wp:inline>
        </w:drawing>
      </w:r>
    </w:p>
    <w:p w14:paraId="5A33BBEC" w14:textId="77777777" w:rsidR="0089494B" w:rsidRPr="000C764A" w:rsidRDefault="0089494B" w:rsidP="0089494B">
      <w:pPr>
        <w:pStyle w:val="ROstandaard"/>
        <w:jc w:val="both"/>
        <w:rPr>
          <w:rFonts w:cstheme="minorHAnsi"/>
          <w:lang w:val="nl-NL"/>
        </w:rPr>
      </w:pPr>
      <w:r w:rsidRPr="000C764A">
        <w:rPr>
          <w:b/>
          <w:lang w:val="nl-NL"/>
        </w:rPr>
        <w:t>Grote verschillen tussen de regio’s in afstand tot dichtstbijzijnde laadpaal. [N=983]</w:t>
      </w:r>
    </w:p>
    <w:p w14:paraId="0DBD4081" w14:textId="77777777" w:rsidR="0089494B" w:rsidRDefault="0089494B" w:rsidP="0089494B">
      <w:pPr>
        <w:pStyle w:val="ROstandaard"/>
        <w:jc w:val="both"/>
        <w:rPr>
          <w:bCs/>
          <w:lang w:val="nl-NL"/>
        </w:rPr>
      </w:pPr>
      <w:r w:rsidRPr="000C764A">
        <w:rPr>
          <w:bCs/>
          <w:lang w:val="nl-NL"/>
        </w:rPr>
        <w:t>In de G4 hoeft men het minst ver te lopen tot de dichtstbijzijnde laadpaal, gemiddeld 133 meter. In regio Noord is de EV-rijder het langst onderweg met gemiddeld 401 meter.</w:t>
      </w:r>
    </w:p>
    <w:p w14:paraId="30603A54" w14:textId="77777777" w:rsidR="0089494B" w:rsidRPr="000C764A" w:rsidRDefault="0089494B" w:rsidP="0089494B">
      <w:pPr>
        <w:pStyle w:val="ROstandaard"/>
        <w:jc w:val="both"/>
        <w:rPr>
          <w:bCs/>
          <w:lang w:val="nl-NL"/>
        </w:rPr>
      </w:pPr>
      <w:r w:rsidRPr="000C764A">
        <w:rPr>
          <w:noProof/>
          <w:lang w:val="nl-NL"/>
        </w:rPr>
        <w:drawing>
          <wp:inline distT="0" distB="0" distL="0" distR="0" wp14:anchorId="00703798" wp14:editId="6C1177B7">
            <wp:extent cx="2667635" cy="3029803"/>
            <wp:effectExtent l="0" t="0" r="0" b="0"/>
            <wp:docPr id="958934805" name="Chart 1">
              <a:extLst xmlns:a="http://schemas.openxmlformats.org/drawingml/2006/main">
                <a:ext uri="{FF2B5EF4-FFF2-40B4-BE49-F238E27FC236}">
                  <a16:creationId xmlns:a16="http://schemas.microsoft.com/office/drawing/2014/main" id="{7CBD8489-1B79-47E4-63AB-D16E04288B5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1"/>
              </a:graphicData>
            </a:graphic>
          </wp:inline>
        </w:drawing>
      </w:r>
    </w:p>
    <w:p w14:paraId="76AA7B75" w14:textId="77777777" w:rsidR="0089494B" w:rsidRPr="000C764A" w:rsidRDefault="0089494B" w:rsidP="0089494B">
      <w:pPr>
        <w:pStyle w:val="Kop2"/>
      </w:pPr>
      <w:bookmarkStart w:id="122" w:name="_Toc208498121"/>
      <w:bookmarkStart w:id="123" w:name="_Toc208498198"/>
      <w:bookmarkStart w:id="124" w:name="_Toc209702013"/>
      <w:bookmarkStart w:id="125" w:name="_Toc209702107"/>
      <w:bookmarkStart w:id="126" w:name="_Toc209702592"/>
      <w:bookmarkStart w:id="127" w:name="_Toc209710067"/>
      <w:r w:rsidRPr="000C764A">
        <w:lastRenderedPageBreak/>
        <w:t>Slim laden</w:t>
      </w:r>
      <w:bookmarkEnd w:id="122"/>
      <w:bookmarkEnd w:id="123"/>
      <w:bookmarkEnd w:id="124"/>
      <w:bookmarkEnd w:id="125"/>
      <w:bookmarkEnd w:id="126"/>
      <w:bookmarkEnd w:id="127"/>
    </w:p>
    <w:p w14:paraId="054F3AA2" w14:textId="77777777" w:rsidR="0089494B" w:rsidRPr="00397369" w:rsidRDefault="0089494B" w:rsidP="0089494B">
      <w:pPr>
        <w:pStyle w:val="ROstandaard"/>
        <w:jc w:val="both"/>
        <w:rPr>
          <w:b/>
          <w:lang w:val="nl-NL"/>
        </w:rPr>
      </w:pPr>
      <w:r w:rsidRPr="00397369">
        <w:rPr>
          <w:b/>
          <w:lang w:val="nl-NL"/>
        </w:rPr>
        <w:t xml:space="preserve">Per regio is het gebruik van, en de interesse in slim laden uitgesplitst per laadlocatie (thuis, werk, openbaar). </w:t>
      </w:r>
    </w:p>
    <w:p w14:paraId="4B890788" w14:textId="77777777" w:rsidR="0089494B" w:rsidRPr="000C764A" w:rsidRDefault="0089494B" w:rsidP="0089494B">
      <w:pPr>
        <w:pStyle w:val="ROstandaard"/>
        <w:jc w:val="both"/>
        <w:rPr>
          <w:bCs/>
          <w:lang w:val="nl-NL"/>
        </w:rPr>
      </w:pPr>
      <w:r>
        <w:rPr>
          <w:noProof/>
        </w:rPr>
        <w:drawing>
          <wp:anchor distT="0" distB="0" distL="114300" distR="114300" simplePos="0" relativeHeight="251663385" behindDoc="0" locked="0" layoutInCell="1" allowOverlap="1" wp14:anchorId="752A9BD8" wp14:editId="7EA9964A">
            <wp:simplePos x="0" y="0"/>
            <wp:positionH relativeFrom="margin">
              <wp:align>right</wp:align>
            </wp:positionH>
            <wp:positionV relativeFrom="paragraph">
              <wp:posOffset>1408430</wp:posOffset>
            </wp:positionV>
            <wp:extent cx="5760000" cy="6768000"/>
            <wp:effectExtent l="0" t="0" r="0" b="0"/>
            <wp:wrapSquare wrapText="bothSides"/>
            <wp:docPr id="235141918" name="Chart 1">
              <a:extLst xmlns:a="http://schemas.openxmlformats.org/drawingml/2006/main">
                <a:ext uri="{FF2B5EF4-FFF2-40B4-BE49-F238E27FC236}">
                  <a16:creationId xmlns:a16="http://schemas.microsoft.com/office/drawing/2014/main" id="{079E0DF2-99CF-6117-E229-9AEA154F9D8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2"/>
              </a:graphicData>
            </a:graphic>
            <wp14:sizeRelH relativeFrom="margin">
              <wp14:pctWidth>0</wp14:pctWidth>
            </wp14:sizeRelH>
            <wp14:sizeRelV relativeFrom="margin">
              <wp14:pctHeight>0</wp14:pctHeight>
            </wp14:sizeRelV>
          </wp:anchor>
        </w:drawing>
      </w:r>
      <w:r>
        <w:rPr>
          <w:bCs/>
          <w:lang w:val="nl-NL"/>
        </w:rPr>
        <w:t xml:space="preserve">In regio Noord wordt het meest slim thuis geladen. Vooral laden op basis van dynamische stroomtarieven wordt in deze regio veel toegepast (47%), en heeft tevens een hoge interesse (30%). Bidirectioneel thuis laden trekt in alle regio's veel interesse.  </w:t>
      </w:r>
    </w:p>
    <w:p w14:paraId="62F2CC76" w14:textId="77777777" w:rsidR="0089494B" w:rsidRPr="000C764A" w:rsidRDefault="0089494B" w:rsidP="0089494B">
      <w:pPr>
        <w:pStyle w:val="ROstandaard"/>
        <w:jc w:val="both"/>
        <w:rPr>
          <w:bCs/>
          <w:lang w:val="nl-NL"/>
        </w:rPr>
      </w:pPr>
    </w:p>
    <w:p w14:paraId="179AC5D4" w14:textId="77777777" w:rsidR="0089494B" w:rsidRPr="00D80708" w:rsidRDefault="0089494B" w:rsidP="0089494B">
      <w:pPr>
        <w:pStyle w:val="ROstandaard"/>
        <w:jc w:val="both"/>
        <w:rPr>
          <w:lang w:val="nl-NL"/>
        </w:rPr>
      </w:pPr>
    </w:p>
    <w:p w14:paraId="27A40C44" w14:textId="77777777" w:rsidR="0089494B" w:rsidRPr="00D80708" w:rsidRDefault="0089494B" w:rsidP="0089494B">
      <w:pPr>
        <w:pStyle w:val="ROstandaard"/>
        <w:jc w:val="both"/>
        <w:rPr>
          <w:lang w:val="nl-NL"/>
        </w:rPr>
      </w:pPr>
    </w:p>
    <w:p w14:paraId="5B7753A9" w14:textId="77777777" w:rsidR="0089494B" w:rsidRPr="00D80708" w:rsidRDefault="0089494B" w:rsidP="0089494B">
      <w:pPr>
        <w:pStyle w:val="ROstandaard"/>
        <w:jc w:val="both"/>
        <w:rPr>
          <w:lang w:val="nl-NL"/>
        </w:rPr>
      </w:pPr>
    </w:p>
    <w:p w14:paraId="0BD154C3" w14:textId="77777777" w:rsidR="0089494B" w:rsidRPr="00D80708" w:rsidRDefault="0089494B" w:rsidP="0089494B">
      <w:pPr>
        <w:pStyle w:val="ROstandaard"/>
        <w:jc w:val="both"/>
        <w:rPr>
          <w:lang w:val="nl-NL"/>
        </w:rPr>
      </w:pPr>
    </w:p>
    <w:p w14:paraId="78AD728F" w14:textId="77777777" w:rsidR="0089494B" w:rsidRPr="000C764A" w:rsidRDefault="0089494B" w:rsidP="0089494B">
      <w:pPr>
        <w:pStyle w:val="ROstandaard"/>
        <w:jc w:val="both"/>
        <w:rPr>
          <w:bCs/>
          <w:lang w:val="nl-NL"/>
        </w:rPr>
      </w:pPr>
    </w:p>
    <w:p w14:paraId="3110E138" w14:textId="77777777" w:rsidR="0089494B" w:rsidRDefault="0089494B" w:rsidP="0089494B">
      <w:pPr>
        <w:rPr>
          <w:rFonts w:ascii="RijksoverheidSansHeading" w:hAnsi="RijksoverheidSansHeading"/>
          <w:b/>
          <w:color w:val="2C307E"/>
          <w:sz w:val="24"/>
          <w:szCs w:val="24"/>
        </w:rPr>
      </w:pPr>
      <w:r>
        <w:rPr>
          <w:b/>
        </w:rPr>
        <w:br w:type="page"/>
      </w:r>
    </w:p>
    <w:p w14:paraId="6F9CF230" w14:textId="77777777" w:rsidR="0089494B" w:rsidRPr="007F6093" w:rsidRDefault="0089494B" w:rsidP="0089494B">
      <w:pPr>
        <w:pStyle w:val="ROstandaard"/>
        <w:jc w:val="both"/>
        <w:rPr>
          <w:b/>
          <w:lang w:val="nl-NL"/>
        </w:rPr>
      </w:pPr>
      <w:r w:rsidRPr="007F6093">
        <w:rPr>
          <w:b/>
          <w:lang w:val="nl-NL"/>
        </w:rPr>
        <w:lastRenderedPageBreak/>
        <w:t xml:space="preserve">Er is niet heel veel interesse in slim laden aan de openbare laadpaal. </w:t>
      </w:r>
    </w:p>
    <w:p w14:paraId="73041B43" w14:textId="77777777" w:rsidR="0089494B" w:rsidRDefault="0089494B" w:rsidP="0089494B">
      <w:pPr>
        <w:pStyle w:val="ROstandaard"/>
        <w:jc w:val="both"/>
        <w:rPr>
          <w:bCs/>
          <w:lang w:val="nl-NL"/>
        </w:rPr>
      </w:pPr>
      <w:r>
        <w:rPr>
          <w:noProof/>
        </w:rPr>
        <w:drawing>
          <wp:anchor distT="0" distB="0" distL="114300" distR="114300" simplePos="0" relativeHeight="251664409" behindDoc="0" locked="0" layoutInCell="1" allowOverlap="1" wp14:anchorId="4AF79995" wp14:editId="17CBB6FB">
            <wp:simplePos x="0" y="0"/>
            <wp:positionH relativeFrom="margin">
              <wp:align>right</wp:align>
            </wp:positionH>
            <wp:positionV relativeFrom="paragraph">
              <wp:posOffset>1814195</wp:posOffset>
            </wp:positionV>
            <wp:extent cx="5760000" cy="6768000"/>
            <wp:effectExtent l="0" t="0" r="0" b="0"/>
            <wp:wrapSquare wrapText="bothSides"/>
            <wp:docPr id="904298297" name="Chart 1">
              <a:extLst xmlns:a="http://schemas.openxmlformats.org/drawingml/2006/main">
                <a:ext uri="{FF2B5EF4-FFF2-40B4-BE49-F238E27FC236}">
                  <a16:creationId xmlns:a16="http://schemas.microsoft.com/office/drawing/2014/main" id="{FF6C393D-57D5-4B67-A282-14902140BA9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3"/>
              </a:graphicData>
            </a:graphic>
            <wp14:sizeRelH relativeFrom="margin">
              <wp14:pctWidth>0</wp14:pctWidth>
            </wp14:sizeRelH>
            <wp14:sizeRelV relativeFrom="margin">
              <wp14:pctHeight>0</wp14:pctHeight>
            </wp14:sizeRelV>
          </wp:anchor>
        </w:drawing>
      </w:r>
      <w:r w:rsidRPr="007F6093">
        <w:rPr>
          <w:bCs/>
          <w:lang w:val="nl-NL"/>
        </w:rPr>
        <w:t xml:space="preserve">In de G4 regio is slim laden aan de openbare laadpaal in veel grotere mate gebruikt dan de andere regio's, waarbij laden op basis van netcapaciteit met </w:t>
      </w:r>
      <w:r>
        <w:rPr>
          <w:lang w:val="nl-NL"/>
        </w:rPr>
        <w:t>21</w:t>
      </w:r>
      <w:r w:rsidRPr="007F6093">
        <w:rPr>
          <w:bCs/>
          <w:lang w:val="nl-NL"/>
        </w:rPr>
        <w:t>% gebruik, het meest voor komt. In regio's Zuid, Zuidwest Noordwest zie je ook gebruik van slim laden aan de openbare laadpaal, echter liggen deze percentages veel lager.</w:t>
      </w:r>
      <w:r w:rsidRPr="00E335A4">
        <w:rPr>
          <w:lang w:val="nl-NL"/>
        </w:rPr>
        <w:t xml:space="preserve"> </w:t>
      </w:r>
    </w:p>
    <w:p w14:paraId="7F96D50B" w14:textId="77777777" w:rsidR="0089494B" w:rsidRPr="00E335A4" w:rsidRDefault="0089494B" w:rsidP="0089494B">
      <w:pPr>
        <w:pStyle w:val="ROstandaard"/>
        <w:jc w:val="both"/>
        <w:rPr>
          <w:lang w:val="nl-NL"/>
        </w:rPr>
      </w:pPr>
      <w:r w:rsidRPr="00E335A4">
        <w:rPr>
          <w:lang w:val="nl-NL"/>
        </w:rPr>
        <w:br w:type="page"/>
      </w:r>
    </w:p>
    <w:p w14:paraId="58780300" w14:textId="77777777" w:rsidR="0089494B" w:rsidRPr="00397369" w:rsidRDefault="0089494B" w:rsidP="0089494B">
      <w:pPr>
        <w:pStyle w:val="ROstandaard"/>
        <w:jc w:val="both"/>
        <w:rPr>
          <w:b/>
          <w:lang w:val="nl-NL"/>
        </w:rPr>
      </w:pPr>
      <w:r w:rsidRPr="00397369">
        <w:rPr>
          <w:b/>
          <w:lang w:val="nl-NL"/>
        </w:rPr>
        <w:lastRenderedPageBreak/>
        <w:t>Er is niet heel veel interesse in slim laden op het werk.</w:t>
      </w:r>
    </w:p>
    <w:p w14:paraId="0F180885" w14:textId="77777777" w:rsidR="0089494B" w:rsidRDefault="0089494B" w:rsidP="0089494B">
      <w:pPr>
        <w:pStyle w:val="ROstandaard"/>
        <w:jc w:val="both"/>
        <w:rPr>
          <w:bCs/>
          <w:lang w:val="nl-NL"/>
        </w:rPr>
      </w:pPr>
      <w:r>
        <w:rPr>
          <w:bCs/>
          <w:lang w:val="nl-NL"/>
        </w:rPr>
        <w:t>Over het algemeen is de G4 regio iets meer geïnteresseerd in het gebruik van slim laden op het werk ten opzichte van de andere regio's, alhoewel de verschillen zeer minimaal zijn.</w:t>
      </w:r>
    </w:p>
    <w:p w14:paraId="280B90EA" w14:textId="77777777" w:rsidR="0089494B" w:rsidRDefault="0089494B" w:rsidP="0089494B">
      <w:pPr>
        <w:rPr>
          <w:rFonts w:ascii="RijksoverheidSansHeading" w:hAnsi="RijksoverheidSansHeading"/>
          <w:b/>
          <w:color w:val="2C307E"/>
          <w:sz w:val="24"/>
          <w:szCs w:val="24"/>
        </w:rPr>
      </w:pPr>
      <w:r>
        <w:rPr>
          <w:noProof/>
        </w:rPr>
        <w:drawing>
          <wp:anchor distT="0" distB="0" distL="114300" distR="114300" simplePos="0" relativeHeight="251665433" behindDoc="0" locked="0" layoutInCell="1" allowOverlap="1" wp14:anchorId="7D378A74" wp14:editId="56C78B16">
            <wp:simplePos x="0" y="0"/>
            <wp:positionH relativeFrom="margin">
              <wp:posOffset>1270</wp:posOffset>
            </wp:positionH>
            <wp:positionV relativeFrom="paragraph">
              <wp:posOffset>323051</wp:posOffset>
            </wp:positionV>
            <wp:extent cx="5760000" cy="6768000"/>
            <wp:effectExtent l="0" t="0" r="0" b="0"/>
            <wp:wrapSquare wrapText="bothSides"/>
            <wp:docPr id="476344814" name="Chart 1">
              <a:extLst xmlns:a="http://schemas.openxmlformats.org/drawingml/2006/main">
                <a:ext uri="{FF2B5EF4-FFF2-40B4-BE49-F238E27FC236}">
                  <a16:creationId xmlns:a16="http://schemas.microsoft.com/office/drawing/2014/main" id="{F510080A-5FA7-4014-8FB3-2A77A29F690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4"/>
              </a:graphicData>
            </a:graphic>
            <wp14:sizeRelH relativeFrom="page">
              <wp14:pctWidth>0</wp14:pctWidth>
            </wp14:sizeRelH>
            <wp14:sizeRelV relativeFrom="page">
              <wp14:pctHeight>0</wp14:pctHeight>
            </wp14:sizeRelV>
          </wp:anchor>
        </w:drawing>
      </w:r>
      <w:r>
        <w:rPr>
          <w:b/>
        </w:rPr>
        <w:br w:type="page"/>
      </w:r>
    </w:p>
    <w:p w14:paraId="5EC31621" w14:textId="77777777" w:rsidR="0089494B" w:rsidRDefault="0089494B" w:rsidP="0089494B">
      <w:pPr>
        <w:pStyle w:val="ROstandaard"/>
        <w:jc w:val="both"/>
        <w:rPr>
          <w:b/>
          <w:bCs/>
          <w:lang w:val="nl-NL"/>
        </w:rPr>
      </w:pPr>
      <w:r>
        <w:rPr>
          <w:b/>
          <w:bCs/>
          <w:lang w:val="nl-NL"/>
        </w:rPr>
        <w:lastRenderedPageBreak/>
        <w:t>EV-rijder verkiest sturen op basis van prijs, boven sturen op basis van laadsnelheid. [N=906]</w:t>
      </w:r>
    </w:p>
    <w:p w14:paraId="7D34E7DF" w14:textId="77777777" w:rsidR="0089494B" w:rsidRDefault="0089494B" w:rsidP="0089494B">
      <w:pPr>
        <w:pStyle w:val="ROstandaard"/>
        <w:jc w:val="both"/>
        <w:rPr>
          <w:lang w:val="nl-NL"/>
        </w:rPr>
      </w:pPr>
      <w:r>
        <w:rPr>
          <w:lang w:val="nl-NL"/>
        </w:rPr>
        <w:t xml:space="preserve">De EV-rijders per regio zijn het over het algemeen positiever over een gelijkblijvende laadsnelheid met een variabel tarief dan over een gelijkblijvend laadtarief met een variabele laadsnelheid. </w:t>
      </w:r>
    </w:p>
    <w:p w14:paraId="71B047D3" w14:textId="77777777" w:rsidR="0089494B" w:rsidRDefault="0089494B" w:rsidP="0089494B">
      <w:pPr>
        <w:pStyle w:val="ROstandaard"/>
        <w:jc w:val="both"/>
        <w:rPr>
          <w:lang w:val="nl-NL"/>
        </w:rPr>
      </w:pPr>
      <w:r>
        <w:rPr>
          <w:lang w:val="nl-NL"/>
        </w:rPr>
        <w:t>EV-rijders in regio Noordwest zijn het meest negatief is over variabele laadsnelheden (met een gelijkblijvend laadtarief) (39%). Regio Zuidwest is het meest positief, maar de verschillen tussen de regio's zijn klein.</w:t>
      </w:r>
    </w:p>
    <w:p w14:paraId="12C06690" w14:textId="77777777" w:rsidR="0089494B" w:rsidRDefault="0089494B" w:rsidP="0089494B">
      <w:pPr>
        <w:pStyle w:val="ROstandaard"/>
        <w:jc w:val="both"/>
        <w:rPr>
          <w:b/>
          <w:bCs/>
          <w:lang w:val="nl-NL"/>
        </w:rPr>
      </w:pPr>
      <w:r>
        <w:rPr>
          <w:noProof/>
        </w:rPr>
        <w:drawing>
          <wp:anchor distT="0" distB="0" distL="114300" distR="114300" simplePos="0" relativeHeight="251660313" behindDoc="0" locked="0" layoutInCell="1" allowOverlap="1" wp14:anchorId="402FAA14" wp14:editId="7F9C87FF">
            <wp:simplePos x="0" y="0"/>
            <wp:positionH relativeFrom="margin">
              <wp:align>left</wp:align>
            </wp:positionH>
            <wp:positionV relativeFrom="paragraph">
              <wp:posOffset>1639736</wp:posOffset>
            </wp:positionV>
            <wp:extent cx="5761355" cy="3976370"/>
            <wp:effectExtent l="0" t="0" r="0" b="0"/>
            <wp:wrapSquare wrapText="bothSides"/>
            <wp:docPr id="525517539" name="Chart 1">
              <a:extLst xmlns:a="http://schemas.openxmlformats.org/drawingml/2006/main">
                <a:ext uri="{FF2B5EF4-FFF2-40B4-BE49-F238E27FC236}">
                  <a16:creationId xmlns:a16="http://schemas.microsoft.com/office/drawing/2014/main" id="{809D8C84-23E3-B02A-EC79-02682BA04EC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5"/>
              </a:graphicData>
            </a:graphic>
            <wp14:sizeRelH relativeFrom="margin">
              <wp14:pctWidth>0</wp14:pctWidth>
            </wp14:sizeRelH>
            <wp14:sizeRelV relativeFrom="margin">
              <wp14:pctHeight>0</wp14:pctHeight>
            </wp14:sizeRelV>
          </wp:anchor>
        </w:drawing>
      </w:r>
      <w:r>
        <w:rPr>
          <w:lang w:val="nl-NL"/>
        </w:rPr>
        <w:t>De EV-rijders per regio zijn positiever over een variabel laadtarief (met een gelijkblijvende laadsnelheid). Gemiddeld is 62% hier (zeer) positief over, en 13% (zeer) negatief. Regio Zuidwest is het meest positief over deze optie (67%), en de EV-rijders uit de G4 het meest negatief; 54% (zeer) positief en 23% (zeer) negatief.</w:t>
      </w:r>
    </w:p>
    <w:p w14:paraId="7A2B4DFE" w14:textId="77777777" w:rsidR="0089494B" w:rsidRDefault="0089494B" w:rsidP="0089494B">
      <w:pPr>
        <w:rPr>
          <w:rFonts w:ascii="RijksoverheidSansHeading" w:hAnsi="RijksoverheidSansHeading"/>
          <w:b/>
          <w:color w:val="2C307E"/>
          <w:sz w:val="24"/>
          <w:szCs w:val="24"/>
        </w:rPr>
      </w:pPr>
      <w:r>
        <w:rPr>
          <w:b/>
        </w:rPr>
        <w:br w:type="page"/>
      </w:r>
    </w:p>
    <w:p w14:paraId="6A5C0581" w14:textId="77777777" w:rsidR="0089494B" w:rsidRPr="000C764A" w:rsidRDefault="0089494B" w:rsidP="0089494B">
      <w:pPr>
        <w:pStyle w:val="ROstandaard"/>
        <w:jc w:val="both"/>
        <w:rPr>
          <w:b/>
          <w:lang w:val="nl-NL"/>
        </w:rPr>
      </w:pPr>
      <w:r w:rsidRPr="000C764A">
        <w:rPr>
          <w:b/>
          <w:lang w:val="nl-NL"/>
        </w:rPr>
        <w:lastRenderedPageBreak/>
        <w:t>EV-rijder is in de grote stad coulanter met laadpaalkleven. [N=1.090]</w:t>
      </w:r>
    </w:p>
    <w:p w14:paraId="674C05FF" w14:textId="77777777" w:rsidR="0089494B" w:rsidRDefault="0089494B" w:rsidP="0089494B">
      <w:pPr>
        <w:pStyle w:val="ROstandaard"/>
        <w:jc w:val="both"/>
        <w:rPr>
          <w:bCs/>
          <w:lang w:val="nl-NL"/>
        </w:rPr>
      </w:pPr>
      <w:r w:rsidRPr="000C764A">
        <w:rPr>
          <w:bCs/>
          <w:lang w:val="nl-NL"/>
        </w:rPr>
        <w:t xml:space="preserve">In de G4 vindt 19% het prima als de elektrische auto 6 uur of langer bij de laadpaal blijft staan als deze volgeladen is. In de andere regio’s is </w:t>
      </w:r>
      <w:r>
        <w:rPr>
          <w:bCs/>
          <w:lang w:val="nl-NL"/>
        </w:rPr>
        <w:t>deze</w:t>
      </w:r>
      <w:r w:rsidRPr="000C764A">
        <w:rPr>
          <w:bCs/>
          <w:lang w:val="nl-NL"/>
        </w:rPr>
        <w:t xml:space="preserve"> groep een stuk kleiner (minder dan 10%</w:t>
      </w:r>
      <w:r>
        <w:rPr>
          <w:bCs/>
          <w:lang w:val="nl-NL"/>
        </w:rPr>
        <w:t>). Landelijk wil 38% van de EV-rijders dat de EV gelijk weggehaald wordt, en 41% vindt dat deze na 2 uur weggehaald moet worden.</w:t>
      </w:r>
    </w:p>
    <w:p w14:paraId="6A8EE332" w14:textId="77777777" w:rsidR="0089494B" w:rsidRDefault="0089494B" w:rsidP="0089494B">
      <w:pPr>
        <w:pStyle w:val="ROstandaard"/>
        <w:jc w:val="both"/>
        <w:rPr>
          <w:bCs/>
          <w:lang w:val="nl-NL"/>
        </w:rPr>
      </w:pPr>
      <w:r>
        <w:rPr>
          <w:bCs/>
          <w:lang w:val="nl-NL"/>
        </w:rPr>
        <w:t xml:space="preserve">In regio Noord, waar de gemiddelde afstand naar de laadpaal het hoogst is, ziet men het liefste dat de EV direct weggehaald wordt zodra deze volgeladen is. </w:t>
      </w:r>
    </w:p>
    <w:p w14:paraId="06AEF405" w14:textId="77777777" w:rsidR="0089494B" w:rsidRDefault="0089494B" w:rsidP="0089494B">
      <w:pPr>
        <w:pStyle w:val="ROstandaard"/>
        <w:jc w:val="both"/>
        <w:rPr>
          <w:bCs/>
          <w:lang w:val="nl-NL"/>
        </w:rPr>
      </w:pPr>
    </w:p>
    <w:p w14:paraId="00D42B27" w14:textId="77777777" w:rsidR="0089494B" w:rsidRPr="000C764A" w:rsidRDefault="0089494B" w:rsidP="0089494B">
      <w:pPr>
        <w:pStyle w:val="ROstandaard"/>
        <w:jc w:val="both"/>
        <w:rPr>
          <w:bCs/>
          <w:lang w:val="nl-NL"/>
        </w:rPr>
      </w:pPr>
      <w:r w:rsidRPr="000C764A">
        <w:rPr>
          <w:noProof/>
          <w:lang w:val="nl-NL"/>
        </w:rPr>
        <w:drawing>
          <wp:inline distT="0" distB="0" distL="0" distR="0" wp14:anchorId="331A2D76" wp14:editId="0E4ECA08">
            <wp:extent cx="2655570" cy="5040000"/>
            <wp:effectExtent l="0" t="0" r="0" b="0"/>
            <wp:docPr id="130433412" name="Chart 1">
              <a:extLst xmlns:a="http://schemas.openxmlformats.org/drawingml/2006/main">
                <a:ext uri="{FF2B5EF4-FFF2-40B4-BE49-F238E27FC236}">
                  <a16:creationId xmlns:a16="http://schemas.microsoft.com/office/drawing/2014/main" id="{A5C91763-D74E-357D-8F5C-27254D1B253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6"/>
              </a:graphicData>
            </a:graphic>
          </wp:inline>
        </w:drawing>
      </w:r>
    </w:p>
    <w:p w14:paraId="668827A5" w14:textId="77777777" w:rsidR="0089494B" w:rsidRDefault="0089494B" w:rsidP="0089494B">
      <w:pPr>
        <w:pStyle w:val="ROstandaard"/>
        <w:jc w:val="both"/>
        <w:rPr>
          <w:rFonts w:cstheme="minorHAnsi"/>
          <w:b/>
          <w:bCs/>
          <w:lang w:val="nl-NL"/>
        </w:rPr>
      </w:pPr>
    </w:p>
    <w:p w14:paraId="1065D2CA" w14:textId="77777777" w:rsidR="0089494B" w:rsidRDefault="0089494B" w:rsidP="0089494B">
      <w:pPr>
        <w:rPr>
          <w:rFonts w:cstheme="minorHAnsi"/>
          <w:b/>
          <w:bCs/>
        </w:rPr>
      </w:pPr>
    </w:p>
    <w:p w14:paraId="2D545943" w14:textId="77777777" w:rsidR="0089494B" w:rsidRDefault="0089494B" w:rsidP="0089494B">
      <w:pPr>
        <w:pStyle w:val="ROstandaard"/>
        <w:jc w:val="both"/>
        <w:rPr>
          <w:b/>
          <w:lang w:val="nl-NL"/>
        </w:rPr>
      </w:pPr>
    </w:p>
    <w:p w14:paraId="17F13CEE" w14:textId="77777777" w:rsidR="0089494B" w:rsidRPr="00025593" w:rsidRDefault="0089494B" w:rsidP="0089494B">
      <w:pPr>
        <w:pStyle w:val="ROstandaard"/>
        <w:jc w:val="both"/>
        <w:rPr>
          <w:b/>
          <w:lang w:val="nl-NL"/>
        </w:rPr>
      </w:pPr>
      <w:r w:rsidRPr="00025593">
        <w:rPr>
          <w:b/>
          <w:lang w:val="nl-NL"/>
        </w:rPr>
        <w:t>De EV-rijder vindt over het algemeen dat alleen hijzelf mag bepalen of er slim wordt geladen aan de openbare laadpaal. [N=1.802]</w:t>
      </w:r>
    </w:p>
    <w:p w14:paraId="1CBB24EB" w14:textId="77777777" w:rsidR="0089494B" w:rsidRDefault="0089494B" w:rsidP="0089494B">
      <w:pPr>
        <w:pStyle w:val="ROstandaard"/>
        <w:jc w:val="both"/>
        <w:rPr>
          <w:rFonts w:cstheme="minorHAnsi"/>
          <w:lang w:val="nl-NL"/>
        </w:rPr>
      </w:pPr>
      <w:r w:rsidRPr="000C764A">
        <w:rPr>
          <w:rFonts w:cstheme="minorHAnsi"/>
          <w:lang w:val="nl-NL"/>
        </w:rPr>
        <w:t>In regio’s Zuidwest en Zuid komt dat het meest tot uiting. Daar vindt 65% dat alleen zijzelf mogen bepalen of er slim wordt geladen.</w:t>
      </w:r>
      <w:r w:rsidRPr="000C764A">
        <w:rPr>
          <w:rFonts w:cstheme="minorHAnsi"/>
          <w:b/>
          <w:bCs/>
          <w:lang w:val="nl-NL"/>
        </w:rPr>
        <w:t xml:space="preserve"> </w:t>
      </w:r>
      <w:r w:rsidRPr="000C764A">
        <w:rPr>
          <w:rFonts w:cstheme="minorHAnsi"/>
          <w:lang w:val="nl-NL"/>
        </w:rPr>
        <w:t>In regio G4 vindt 34% dat een andere partij dit mag bepalen.</w:t>
      </w:r>
    </w:p>
    <w:p w14:paraId="52841686" w14:textId="77777777" w:rsidR="0089494B" w:rsidRPr="000C764A" w:rsidRDefault="0089494B" w:rsidP="0089494B">
      <w:pPr>
        <w:pStyle w:val="ROstandaard"/>
        <w:jc w:val="both"/>
        <w:rPr>
          <w:rFonts w:cstheme="minorHAnsi"/>
          <w:lang w:val="nl-NL"/>
        </w:rPr>
      </w:pPr>
    </w:p>
    <w:p w14:paraId="3060F3A3" w14:textId="77777777" w:rsidR="0089494B" w:rsidRPr="000C764A" w:rsidRDefault="0089494B" w:rsidP="0089494B">
      <w:pPr>
        <w:pStyle w:val="ROstandaard"/>
        <w:jc w:val="both"/>
        <w:rPr>
          <w:b/>
          <w:bCs/>
          <w:lang w:val="nl-NL"/>
        </w:rPr>
      </w:pPr>
      <w:r w:rsidRPr="000C764A">
        <w:rPr>
          <w:noProof/>
          <w:lang w:val="nl-NL"/>
        </w:rPr>
        <w:drawing>
          <wp:inline distT="0" distB="0" distL="0" distR="0" wp14:anchorId="7FA9574A" wp14:editId="1E86AF8A">
            <wp:extent cx="2655570" cy="4810539"/>
            <wp:effectExtent l="0" t="0" r="0" b="0"/>
            <wp:docPr id="1322553254" name="Chart 1">
              <a:extLst xmlns:a="http://schemas.openxmlformats.org/drawingml/2006/main">
                <a:ext uri="{FF2B5EF4-FFF2-40B4-BE49-F238E27FC236}">
                  <a16:creationId xmlns:a16="http://schemas.microsoft.com/office/drawing/2014/main" id="{D40A7C07-81D0-D22A-F8E9-BE238588C7B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7"/>
              </a:graphicData>
            </a:graphic>
          </wp:inline>
        </w:drawing>
      </w:r>
    </w:p>
    <w:p w14:paraId="126F8FB5" w14:textId="77777777" w:rsidR="0089494B" w:rsidRPr="000C764A" w:rsidRDefault="0089494B" w:rsidP="0089494B">
      <w:pPr>
        <w:pStyle w:val="ROstandaard"/>
        <w:jc w:val="both"/>
        <w:rPr>
          <w:rFonts w:asciiTheme="majorHAnsi" w:eastAsiaTheme="majorEastAsia" w:hAnsiTheme="majorHAnsi" w:cstheme="majorBidi"/>
          <w:color w:val="2F5496" w:themeColor="accent1" w:themeShade="BF"/>
          <w:sz w:val="26"/>
          <w:szCs w:val="26"/>
          <w:lang w:val="nl-NL"/>
        </w:rPr>
      </w:pPr>
    </w:p>
    <w:p w14:paraId="5CE8BDE9" w14:textId="77777777" w:rsidR="0089494B" w:rsidRDefault="0089494B" w:rsidP="0089494B">
      <w:pPr>
        <w:rPr>
          <w:rFonts w:ascii="RijksoverheidSansHeading" w:hAnsi="RijksoverheidSansHeading"/>
          <w:b/>
          <w:bCs/>
          <w:color w:val="2C307E"/>
          <w:sz w:val="24"/>
          <w:szCs w:val="24"/>
        </w:rPr>
      </w:pPr>
      <w:r>
        <w:rPr>
          <w:b/>
          <w:bCs/>
        </w:rPr>
        <w:br w:type="page"/>
      </w:r>
    </w:p>
    <w:p w14:paraId="67CA8575" w14:textId="77777777" w:rsidR="0089494B" w:rsidRPr="000C764A" w:rsidRDefault="0089494B" w:rsidP="0089494B">
      <w:pPr>
        <w:pStyle w:val="ROstandaard"/>
        <w:jc w:val="both"/>
        <w:rPr>
          <w:lang w:val="nl-NL"/>
        </w:rPr>
      </w:pPr>
      <w:r w:rsidRPr="000C764A">
        <w:rPr>
          <w:b/>
          <w:bCs/>
          <w:lang w:val="nl-NL"/>
        </w:rPr>
        <w:lastRenderedPageBreak/>
        <w:t>Weinig verschil in verwacht opt</w:t>
      </w:r>
      <w:r>
        <w:rPr>
          <w:b/>
          <w:bCs/>
          <w:lang w:val="nl-NL"/>
        </w:rPr>
        <w:t>-</w:t>
      </w:r>
      <w:r w:rsidRPr="000C764A">
        <w:rPr>
          <w:b/>
          <w:bCs/>
          <w:lang w:val="nl-NL"/>
        </w:rPr>
        <w:t>out gebruik per regio. [N=1.780]</w:t>
      </w:r>
    </w:p>
    <w:p w14:paraId="5F6ED655" w14:textId="77777777" w:rsidR="0089494B" w:rsidRPr="000C764A" w:rsidRDefault="0089494B" w:rsidP="0089494B">
      <w:pPr>
        <w:pStyle w:val="ROstandaard"/>
        <w:jc w:val="both"/>
        <w:rPr>
          <w:lang w:val="nl-NL"/>
        </w:rPr>
      </w:pPr>
      <w:r w:rsidRPr="000C764A">
        <w:rPr>
          <w:lang w:val="nl-NL"/>
        </w:rPr>
        <w:t>Wanneer een gebruiker aan de openbare laadpaal bijvoorbeeld op tijd moet vertrekken en niet de tijd heeft om zijn of haar laadsessie uit te stellen, kan er gebruik gemaakt worden van een opt-out. Ongeveer 18% van de EV-rijders verwacht (heel) vaak gebruik te maken van de opt-out optie. Een stijging van 8% ten opzichte van 2024. Gemiddeld zegt 49% van de EV-rijders hier zelden tot nooit gebruik van te maken.</w:t>
      </w:r>
      <w:r>
        <w:rPr>
          <w:lang w:val="nl-NL"/>
        </w:rPr>
        <w:t xml:space="preserve"> Tussen de regio's is er weinig verschil te zien, alleen regio Noord staat iets minder bereidwillig tegenover het slim laden, 23% verwacht zich (heel) vaak af te zullen melden. </w:t>
      </w:r>
    </w:p>
    <w:p w14:paraId="3A216C3F" w14:textId="77777777" w:rsidR="0089494B" w:rsidRPr="000C764A" w:rsidRDefault="0089494B" w:rsidP="0089494B">
      <w:pPr>
        <w:pStyle w:val="ROstandaard"/>
        <w:jc w:val="both"/>
        <w:rPr>
          <w:rFonts w:asciiTheme="majorHAnsi" w:eastAsiaTheme="majorEastAsia" w:hAnsiTheme="majorHAnsi" w:cstheme="majorBidi"/>
          <w:color w:val="2F5496" w:themeColor="accent1" w:themeShade="BF"/>
          <w:sz w:val="26"/>
          <w:szCs w:val="26"/>
          <w:lang w:val="nl-NL"/>
        </w:rPr>
      </w:pPr>
      <w:r w:rsidRPr="000C764A">
        <w:rPr>
          <w:noProof/>
          <w:lang w:val="nl-NL"/>
        </w:rPr>
        <w:drawing>
          <wp:inline distT="0" distB="0" distL="0" distR="0" wp14:anchorId="30090C23" wp14:editId="66236DBC">
            <wp:extent cx="2655570" cy="3240000"/>
            <wp:effectExtent l="0" t="0" r="0" b="0"/>
            <wp:docPr id="1625155" name="Chart 1">
              <a:extLst xmlns:a="http://schemas.openxmlformats.org/drawingml/2006/main">
                <a:ext uri="{FF2B5EF4-FFF2-40B4-BE49-F238E27FC236}">
                  <a16:creationId xmlns:a16="http://schemas.microsoft.com/office/drawing/2014/main" id="{FE06AD0A-EFC9-E66A-4277-06736AF8221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8"/>
              </a:graphicData>
            </a:graphic>
          </wp:inline>
        </w:drawing>
      </w:r>
    </w:p>
    <w:p w14:paraId="2F427FE9" w14:textId="77777777" w:rsidR="0089494B" w:rsidRDefault="0089494B" w:rsidP="0089494B">
      <w:pPr>
        <w:pStyle w:val="ROstandaard"/>
        <w:jc w:val="both"/>
        <w:rPr>
          <w:rFonts w:cstheme="minorHAnsi"/>
          <w:b/>
          <w:bCs/>
          <w:lang w:val="nl-NL"/>
        </w:rPr>
      </w:pPr>
    </w:p>
    <w:p w14:paraId="2531CB03" w14:textId="77777777" w:rsidR="0089494B" w:rsidRPr="000C764A" w:rsidRDefault="0089494B" w:rsidP="0089494B">
      <w:pPr>
        <w:pStyle w:val="ROstandaard"/>
        <w:jc w:val="both"/>
        <w:rPr>
          <w:rFonts w:cstheme="minorHAnsi"/>
          <w:b/>
          <w:bCs/>
          <w:lang w:val="nl-NL"/>
        </w:rPr>
      </w:pPr>
      <w:r w:rsidRPr="000C764A">
        <w:rPr>
          <w:rFonts w:cstheme="minorHAnsi"/>
          <w:b/>
          <w:bCs/>
          <w:lang w:val="nl-NL"/>
        </w:rPr>
        <w:t>De EV-rijder zal over het algemeen zelden tot nooit (61%) gebruik maken van op</w:t>
      </w:r>
      <w:r>
        <w:rPr>
          <w:rFonts w:cstheme="minorHAnsi"/>
          <w:b/>
          <w:bCs/>
          <w:lang w:val="nl-NL"/>
        </w:rPr>
        <w:t>t-</w:t>
      </w:r>
      <w:r w:rsidRPr="000C764A">
        <w:rPr>
          <w:rFonts w:cstheme="minorHAnsi"/>
          <w:b/>
          <w:bCs/>
          <w:lang w:val="nl-NL"/>
        </w:rPr>
        <w:t>out als er extra kosten van bijvoorbeeld 5 of 10 cent aan verbonden zitten. [N=1.778]</w:t>
      </w:r>
    </w:p>
    <w:p w14:paraId="024602DE" w14:textId="77777777" w:rsidR="0089494B" w:rsidRDefault="0089494B" w:rsidP="0089494B">
      <w:pPr>
        <w:pStyle w:val="ROstandaard"/>
        <w:jc w:val="both"/>
        <w:rPr>
          <w:rFonts w:cstheme="minorHAnsi"/>
          <w:b/>
          <w:bCs/>
        </w:rPr>
      </w:pPr>
      <w:r w:rsidRPr="000C764A">
        <w:rPr>
          <w:rFonts w:cstheme="minorHAnsi"/>
          <w:lang w:val="nl-NL"/>
        </w:rPr>
        <w:t xml:space="preserve">In de G4 en in regio Noordwest zou men het mist vaak gebruik maken van deze mogelijkheid (63%). Verdere regionale verschillen zijn minimaal. </w:t>
      </w:r>
    </w:p>
    <w:p w14:paraId="52E8AAC8" w14:textId="77777777" w:rsidR="0089494B" w:rsidRDefault="0089494B" w:rsidP="0089494B">
      <w:pPr>
        <w:rPr>
          <w:rFonts w:cstheme="minorHAnsi"/>
          <w:b/>
          <w:bCs/>
        </w:rPr>
      </w:pPr>
    </w:p>
    <w:p w14:paraId="42EC93F9" w14:textId="77777777" w:rsidR="0089494B" w:rsidRDefault="0089494B" w:rsidP="0089494B">
      <w:pPr>
        <w:rPr>
          <w:rFonts w:cstheme="minorHAnsi"/>
          <w:b/>
          <w:bCs/>
        </w:rPr>
      </w:pPr>
    </w:p>
    <w:p w14:paraId="08F595B8" w14:textId="77777777" w:rsidR="0089494B" w:rsidRPr="00E816E9" w:rsidRDefault="0089494B" w:rsidP="0089494B">
      <w:pPr>
        <w:rPr>
          <w:rFonts w:cstheme="minorHAnsi"/>
          <w:b/>
          <w:bCs/>
        </w:rPr>
      </w:pPr>
      <w:r w:rsidRPr="000C764A">
        <w:rPr>
          <w:noProof/>
        </w:rPr>
        <w:drawing>
          <wp:inline distT="0" distB="0" distL="0" distR="0" wp14:anchorId="7835A906" wp14:editId="3DA24251">
            <wp:extent cx="2655570" cy="8293211"/>
            <wp:effectExtent l="0" t="0" r="0" b="0"/>
            <wp:docPr id="308602043" name="Chart 1">
              <a:extLst xmlns:a="http://schemas.openxmlformats.org/drawingml/2006/main">
                <a:ext uri="{FF2B5EF4-FFF2-40B4-BE49-F238E27FC236}">
                  <a16:creationId xmlns:a16="http://schemas.microsoft.com/office/drawing/2014/main" id="{76868E9B-5627-DFDF-2FF9-0F37E2A1772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9"/>
              </a:graphicData>
            </a:graphic>
          </wp:inline>
        </w:drawing>
      </w:r>
      <w:r>
        <w:rPr>
          <w:rFonts w:cstheme="minorHAnsi"/>
          <w:b/>
          <w:bCs/>
        </w:rPr>
        <w:br w:type="page"/>
      </w:r>
    </w:p>
    <w:p w14:paraId="507D7AA6" w14:textId="77777777" w:rsidR="0089494B" w:rsidRPr="000C764A" w:rsidRDefault="0089494B" w:rsidP="0089494B">
      <w:pPr>
        <w:pStyle w:val="ROstandaard"/>
        <w:jc w:val="both"/>
        <w:rPr>
          <w:rFonts w:cstheme="minorHAnsi"/>
          <w:b/>
          <w:bCs/>
          <w:lang w:val="nl-NL"/>
        </w:rPr>
      </w:pPr>
      <w:r w:rsidRPr="000C764A">
        <w:rPr>
          <w:rFonts w:cstheme="minorHAnsi"/>
          <w:b/>
          <w:bCs/>
          <w:lang w:val="nl-NL"/>
        </w:rPr>
        <w:lastRenderedPageBreak/>
        <w:t>EV-rijder is bereid om laadpaalexploitant aan te geven wanneer ze vertrekken zodat er optimaal slim geladen kan worden (57%). [</w:t>
      </w:r>
      <w:r>
        <w:rPr>
          <w:rFonts w:cstheme="minorHAnsi"/>
          <w:b/>
          <w:bCs/>
          <w:lang w:val="nl-NL"/>
        </w:rPr>
        <w:t>N=</w:t>
      </w:r>
      <w:r w:rsidRPr="000C764A">
        <w:rPr>
          <w:rFonts w:cstheme="minorHAnsi"/>
          <w:b/>
          <w:bCs/>
          <w:lang w:val="nl-NL"/>
        </w:rPr>
        <w:t>1.780]</w:t>
      </w:r>
    </w:p>
    <w:p w14:paraId="78D72517" w14:textId="77777777" w:rsidR="0089494B" w:rsidRPr="000C764A" w:rsidRDefault="0089494B" w:rsidP="0089494B">
      <w:pPr>
        <w:pStyle w:val="ROstandaard"/>
        <w:jc w:val="both"/>
        <w:rPr>
          <w:rFonts w:cstheme="minorHAnsi"/>
          <w:lang w:val="nl-NL"/>
        </w:rPr>
      </w:pPr>
      <w:r w:rsidRPr="000C764A">
        <w:rPr>
          <w:rFonts w:cstheme="minorHAnsi"/>
          <w:lang w:val="nl-NL"/>
        </w:rPr>
        <w:t>De regionale verschillen zijn niet groot. In regio Noord geeft 60% aan dit (heel) vaak door te willen geven, in regio Noordwest is dat 54%. Regio Noordwest is tevens de regio waar het men het minst bereid is om de vertrektijden door te geven (25%).</w:t>
      </w:r>
    </w:p>
    <w:p w14:paraId="70B6EE0C" w14:textId="77777777" w:rsidR="0089494B" w:rsidRPr="000C764A" w:rsidRDefault="0089494B" w:rsidP="0089494B">
      <w:pPr>
        <w:pStyle w:val="ROstandaard"/>
        <w:jc w:val="both"/>
        <w:rPr>
          <w:rFonts w:asciiTheme="majorHAnsi" w:eastAsiaTheme="majorEastAsia" w:hAnsiTheme="majorHAnsi" w:cstheme="majorBidi"/>
          <w:color w:val="2F5496" w:themeColor="accent1" w:themeShade="BF"/>
          <w:sz w:val="26"/>
          <w:szCs w:val="26"/>
          <w:lang w:val="nl-NL"/>
        </w:rPr>
      </w:pPr>
      <w:r w:rsidRPr="000C764A">
        <w:rPr>
          <w:noProof/>
          <w:lang w:val="nl-NL"/>
        </w:rPr>
        <w:drawing>
          <wp:inline distT="0" distB="0" distL="0" distR="0" wp14:anchorId="14D6F013" wp14:editId="14C4C9CB">
            <wp:extent cx="2655570" cy="3240000"/>
            <wp:effectExtent l="0" t="0" r="0" b="0"/>
            <wp:docPr id="1970016671" name="Chart 1">
              <a:extLst xmlns:a="http://schemas.openxmlformats.org/drawingml/2006/main">
                <a:ext uri="{FF2B5EF4-FFF2-40B4-BE49-F238E27FC236}">
                  <a16:creationId xmlns:a16="http://schemas.microsoft.com/office/drawing/2014/main" id="{B9C77167-9C26-6054-2936-AB3D9A144A3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0"/>
              </a:graphicData>
            </a:graphic>
          </wp:inline>
        </w:drawing>
      </w:r>
    </w:p>
    <w:p w14:paraId="34D72497" w14:textId="77777777" w:rsidR="0089494B" w:rsidRPr="000C764A" w:rsidRDefault="0089494B" w:rsidP="0089494B">
      <w:pPr>
        <w:pStyle w:val="ROstandaard"/>
        <w:jc w:val="both"/>
        <w:rPr>
          <w:rFonts w:cstheme="minorHAnsi"/>
          <w:lang w:val="nl-NL"/>
        </w:rPr>
      </w:pPr>
    </w:p>
    <w:p w14:paraId="3CA393CA" w14:textId="77777777" w:rsidR="0089494B" w:rsidRPr="000C764A" w:rsidRDefault="0089494B" w:rsidP="0089494B">
      <w:pPr>
        <w:pStyle w:val="ROstandaard"/>
        <w:jc w:val="both"/>
        <w:rPr>
          <w:rFonts w:cstheme="minorHAnsi"/>
          <w:b/>
          <w:bCs/>
          <w:lang w:val="nl-NL"/>
        </w:rPr>
      </w:pPr>
      <w:r w:rsidRPr="000C764A">
        <w:rPr>
          <w:rFonts w:cstheme="minorHAnsi"/>
          <w:b/>
          <w:bCs/>
          <w:lang w:val="nl-NL"/>
        </w:rPr>
        <w:t>De EV-rijder</w:t>
      </w:r>
      <w:r w:rsidRPr="000C764A">
        <w:rPr>
          <w:rFonts w:cstheme="minorHAnsi"/>
          <w:lang w:val="nl-NL"/>
        </w:rPr>
        <w:t xml:space="preserve"> </w:t>
      </w:r>
      <w:r w:rsidRPr="000C764A">
        <w:rPr>
          <w:rFonts w:cstheme="minorHAnsi"/>
          <w:b/>
          <w:bCs/>
          <w:lang w:val="nl-NL"/>
        </w:rPr>
        <w:t>is eerder bereid de vertrektijden door te geven als er een korting van bijvoorbeeld 5 of 10 cent gegeven wordt per kWh (59%). [N=1.778]</w:t>
      </w:r>
    </w:p>
    <w:p w14:paraId="6A698B8A" w14:textId="77777777" w:rsidR="0089494B" w:rsidRPr="000C764A" w:rsidRDefault="0089494B" w:rsidP="0089494B">
      <w:pPr>
        <w:pStyle w:val="ROstandaard"/>
        <w:jc w:val="both"/>
        <w:rPr>
          <w:rFonts w:cstheme="minorHAnsi"/>
          <w:lang w:val="nl-NL"/>
        </w:rPr>
      </w:pPr>
      <w:r w:rsidRPr="000C764A">
        <w:rPr>
          <w:rFonts w:cstheme="minorHAnsi"/>
          <w:lang w:val="nl-NL"/>
        </w:rPr>
        <w:t>Regio Zuidwest zegt dit vaak te gaan doen (70%) bij een korting van 10 cent. In regio Noord is er nagenoeg geen verschil tussen de twee kortingstarieven, en zou 69% van de EV-rijders hiertoe bereid zijn. In regio’s Zuid en Zuidwest zegt 17% van de EV-rijders dit zelden tot nooit te gaan gebruiken bij een korting van 5 cent, wat daalt naar 13% als de korting 10 cent wordt.</w:t>
      </w:r>
    </w:p>
    <w:p w14:paraId="6E1B2132" w14:textId="77777777" w:rsidR="0089494B" w:rsidRPr="000C764A" w:rsidRDefault="0089494B" w:rsidP="0089494B">
      <w:pPr>
        <w:pStyle w:val="ROstandaard"/>
        <w:jc w:val="both"/>
        <w:rPr>
          <w:rFonts w:asciiTheme="majorHAnsi" w:eastAsiaTheme="majorEastAsia" w:hAnsiTheme="majorHAnsi" w:cstheme="majorBidi"/>
          <w:color w:val="2F5496" w:themeColor="accent1" w:themeShade="BF"/>
          <w:sz w:val="26"/>
          <w:szCs w:val="26"/>
          <w:lang w:val="nl-NL"/>
        </w:rPr>
      </w:pPr>
    </w:p>
    <w:p w14:paraId="21D562DE" w14:textId="77777777" w:rsidR="0089494B" w:rsidRPr="000C764A" w:rsidRDefault="0089494B" w:rsidP="0089494B">
      <w:pPr>
        <w:pStyle w:val="ROstandaard"/>
        <w:jc w:val="both"/>
        <w:rPr>
          <w:rFonts w:asciiTheme="majorHAnsi" w:eastAsiaTheme="majorEastAsia" w:hAnsiTheme="majorHAnsi" w:cstheme="majorBidi"/>
          <w:color w:val="2F5496" w:themeColor="accent1" w:themeShade="BF"/>
          <w:sz w:val="26"/>
          <w:szCs w:val="26"/>
          <w:lang w:val="nl-NL"/>
        </w:rPr>
      </w:pPr>
      <w:r w:rsidRPr="000C764A">
        <w:rPr>
          <w:noProof/>
          <w:lang w:val="nl-NL"/>
        </w:rPr>
        <w:drawing>
          <wp:inline distT="0" distB="0" distL="0" distR="0" wp14:anchorId="5C7E2FC2" wp14:editId="6FFB1C76">
            <wp:extent cx="2655570" cy="7696863"/>
            <wp:effectExtent l="0" t="0" r="0" b="0"/>
            <wp:docPr id="635175755" name="Chart 1">
              <a:extLst xmlns:a="http://schemas.openxmlformats.org/drawingml/2006/main">
                <a:ext uri="{FF2B5EF4-FFF2-40B4-BE49-F238E27FC236}">
                  <a16:creationId xmlns:a16="http://schemas.microsoft.com/office/drawing/2014/main" id="{3F1F638A-5D2A-D118-FA19-08012B6F7B1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1"/>
              </a:graphicData>
            </a:graphic>
          </wp:inline>
        </w:drawing>
      </w:r>
    </w:p>
    <w:p w14:paraId="123EA11D" w14:textId="77777777" w:rsidR="0089494B" w:rsidRPr="008B0B9A" w:rsidRDefault="0089494B" w:rsidP="0089494B">
      <w:pPr>
        <w:pStyle w:val="Geenafstand"/>
        <w:spacing w:line="276" w:lineRule="auto"/>
        <w:jc w:val="both"/>
        <w:rPr>
          <w:color w:val="2C307E"/>
        </w:rPr>
      </w:pPr>
    </w:p>
    <w:p w14:paraId="07B78D6F" w14:textId="77777777" w:rsidR="0089494B" w:rsidRDefault="0089494B" w:rsidP="0089494B">
      <w:pPr>
        <w:pStyle w:val="Kop1"/>
      </w:pPr>
    </w:p>
    <w:p w14:paraId="27B9A222" w14:textId="77777777" w:rsidR="0089494B" w:rsidRDefault="0089494B" w:rsidP="0089494B">
      <w:pPr>
        <w:rPr>
          <w:rFonts w:asciiTheme="majorHAnsi" w:eastAsiaTheme="majorEastAsia" w:hAnsiTheme="majorHAnsi" w:cstheme="majorBidi"/>
          <w:color w:val="2F5496" w:themeColor="accent1" w:themeShade="BF"/>
          <w:sz w:val="32"/>
          <w:szCs w:val="32"/>
        </w:rPr>
      </w:pPr>
      <w:r>
        <w:br w:type="page"/>
      </w:r>
    </w:p>
    <w:p w14:paraId="68A68B30" w14:textId="3272C1A0" w:rsidR="0048229B" w:rsidRPr="006D6D85" w:rsidRDefault="0048229B" w:rsidP="006D6D85">
      <w:pPr>
        <w:pStyle w:val="Kop1"/>
      </w:pPr>
      <w:bookmarkStart w:id="128" w:name="_Toc209710068"/>
      <w:r w:rsidRPr="006D6D85">
        <w:lastRenderedPageBreak/>
        <w:t>Vervolg</w:t>
      </w:r>
      <w:bookmarkEnd w:id="110"/>
      <w:bookmarkEnd w:id="128"/>
      <w:r w:rsidRPr="006D6D85">
        <w:t xml:space="preserve"> </w:t>
      </w:r>
    </w:p>
    <w:p w14:paraId="583699EF" w14:textId="77777777" w:rsidR="0048229B" w:rsidRPr="000E21F7" w:rsidRDefault="0048229B" w:rsidP="0048229B">
      <w:pPr>
        <w:spacing w:after="0" w:line="240" w:lineRule="auto"/>
        <w:jc w:val="both"/>
        <w:rPr>
          <w:rFonts w:cstheme="minorHAnsi"/>
          <w:color w:val="2C307E"/>
        </w:rPr>
      </w:pPr>
    </w:p>
    <w:p w14:paraId="41BC5C70" w14:textId="25200219" w:rsidR="0048229B" w:rsidRPr="000E21F7" w:rsidRDefault="0048229B" w:rsidP="0048229B">
      <w:pPr>
        <w:spacing w:after="0" w:line="240" w:lineRule="auto"/>
        <w:jc w:val="both"/>
        <w:rPr>
          <w:rFonts w:cstheme="minorHAnsi"/>
          <w:color w:val="2C307E"/>
        </w:rPr>
      </w:pPr>
      <w:r w:rsidRPr="000E21F7">
        <w:rPr>
          <w:rFonts w:cstheme="minorHAnsi"/>
          <w:color w:val="2C307E"/>
        </w:rPr>
        <w:t>Het Nationaal Laadonderzoek 202</w:t>
      </w:r>
      <w:r w:rsidR="00A10B6A" w:rsidRPr="000E21F7">
        <w:rPr>
          <w:rFonts w:cstheme="minorHAnsi"/>
          <w:color w:val="2C307E"/>
        </w:rPr>
        <w:t>5</w:t>
      </w:r>
      <w:r w:rsidRPr="000E21F7">
        <w:rPr>
          <w:rFonts w:cstheme="minorHAnsi"/>
          <w:color w:val="2C307E"/>
        </w:rPr>
        <w:t xml:space="preserve"> brengt de ervaringen, meningen en (veranderende) behoeften van EV-rijders in kaart als het gaat om (slim) laden en laadinfrastructuur. Het onderzoek wordt al </w:t>
      </w:r>
      <w:r w:rsidR="00C949A1">
        <w:rPr>
          <w:rFonts w:cstheme="minorHAnsi"/>
          <w:color w:val="2C307E"/>
        </w:rPr>
        <w:t>zes</w:t>
      </w:r>
      <w:r w:rsidRPr="000E21F7">
        <w:rPr>
          <w:rFonts w:cstheme="minorHAnsi"/>
          <w:color w:val="2C307E"/>
        </w:rPr>
        <w:t xml:space="preserve"> jaar op rij uitgevoerd en gepubliceerd. Dit is de </w:t>
      </w:r>
      <w:r w:rsidR="00704212">
        <w:rPr>
          <w:rFonts w:cstheme="minorHAnsi"/>
          <w:color w:val="2C307E"/>
        </w:rPr>
        <w:t>zesde</w:t>
      </w:r>
      <w:r w:rsidRPr="000E21F7">
        <w:rPr>
          <w:rFonts w:cstheme="minorHAnsi"/>
          <w:color w:val="2C307E"/>
        </w:rPr>
        <w:t xml:space="preserve"> editie. </w:t>
      </w:r>
    </w:p>
    <w:p w14:paraId="3C3A51E2" w14:textId="77777777" w:rsidR="0006110F" w:rsidRDefault="0006110F" w:rsidP="0048229B">
      <w:pPr>
        <w:spacing w:after="0" w:line="240" w:lineRule="auto"/>
        <w:jc w:val="both"/>
        <w:rPr>
          <w:rFonts w:cstheme="minorHAnsi"/>
          <w:color w:val="2C307E"/>
        </w:rPr>
      </w:pPr>
    </w:p>
    <w:p w14:paraId="2917E15E" w14:textId="3F33AB2A" w:rsidR="0048229B" w:rsidRPr="000E21F7" w:rsidRDefault="0048229B" w:rsidP="0048229B">
      <w:pPr>
        <w:spacing w:after="0" w:line="240" w:lineRule="auto"/>
        <w:jc w:val="both"/>
        <w:rPr>
          <w:rFonts w:cstheme="minorHAnsi"/>
          <w:color w:val="2C307E"/>
        </w:rPr>
      </w:pPr>
      <w:r w:rsidRPr="000E21F7">
        <w:rPr>
          <w:rFonts w:cstheme="minorHAnsi"/>
          <w:color w:val="2C307E"/>
        </w:rPr>
        <w:t xml:space="preserve">Dit onderzoek vormt een tweeluik samen met het jaarlijkse, in de winter gepubliceerde, Nationale EV en berijdersonderzoek. Hierin wordt de EV-rijder en diens EV in beeld gebracht. Zo kunnen trends en ontwikkelingen herkend en gevolgd worden, uitdagingen gesignaleerd en de effecten van veranderingen geëvalueerd. </w:t>
      </w:r>
    </w:p>
    <w:p w14:paraId="321D9563" w14:textId="77777777" w:rsidR="0006110F" w:rsidRDefault="0006110F" w:rsidP="0048229B">
      <w:pPr>
        <w:spacing w:after="0" w:line="240" w:lineRule="auto"/>
        <w:jc w:val="both"/>
        <w:rPr>
          <w:rFonts w:cstheme="minorHAnsi"/>
          <w:color w:val="2C307E"/>
        </w:rPr>
      </w:pPr>
    </w:p>
    <w:p w14:paraId="34279C0E" w14:textId="24642CF6" w:rsidR="0048229B" w:rsidRPr="000E21F7" w:rsidRDefault="0048229B" w:rsidP="0048229B">
      <w:pPr>
        <w:spacing w:after="0" w:line="240" w:lineRule="auto"/>
        <w:jc w:val="both"/>
        <w:rPr>
          <w:rFonts w:cstheme="minorHAnsi"/>
          <w:color w:val="2C307E"/>
        </w:rPr>
      </w:pPr>
      <w:r w:rsidRPr="000E21F7">
        <w:rPr>
          <w:rFonts w:cstheme="minorHAnsi"/>
          <w:color w:val="2C307E"/>
        </w:rPr>
        <w:t xml:space="preserve">Aangezien elektrisch rijden en de bijbehorende laadinfrastructuur volop in ontwikkeling zijn, is het belangrijk dat de stem van de EV-rijder in beeld gebracht  en gehoord wordt. De cijfers en inzichten uit dit onderzoek zijn te gebruiken door beleidsmakers, bedrijven en partijen, die zich bezig houden met elektrisch rijden en laden. </w:t>
      </w:r>
    </w:p>
    <w:p w14:paraId="6886C200" w14:textId="77777777" w:rsidR="0006110F" w:rsidRDefault="0006110F" w:rsidP="0048229B">
      <w:pPr>
        <w:spacing w:after="0" w:line="240" w:lineRule="auto"/>
        <w:jc w:val="both"/>
        <w:rPr>
          <w:rFonts w:cstheme="minorHAnsi"/>
          <w:color w:val="2C307E"/>
        </w:rPr>
      </w:pPr>
    </w:p>
    <w:p w14:paraId="38ADEB5D" w14:textId="33F8BD66" w:rsidR="0048229B" w:rsidRPr="00FB15B4" w:rsidRDefault="0048229B" w:rsidP="0048229B">
      <w:pPr>
        <w:spacing w:after="0" w:line="240" w:lineRule="auto"/>
        <w:jc w:val="both"/>
        <w:rPr>
          <w:rFonts w:cstheme="minorHAnsi"/>
          <w:i/>
          <w:iCs/>
          <w:noProof/>
          <w:color w:val="2C307E"/>
        </w:rPr>
      </w:pPr>
      <w:r w:rsidRPr="000E21F7">
        <w:rPr>
          <w:rFonts w:cstheme="minorHAnsi"/>
          <w:color w:val="2C307E"/>
        </w:rPr>
        <w:t xml:space="preserve">Ben je EV-rijder en wil je lid worden van het EV-panel, waar geregeld je mening over elektrisch rijden gevraagd wordt en waar de jaarlijkse enquêtes ook in terugkomen? Stuur dan een e-mail met als onderwerp ‘EV-Panel’ naar </w:t>
      </w:r>
      <w:hyperlink r:id="rId162" w:history="1">
        <w:r w:rsidRPr="000E21F7">
          <w:rPr>
            <w:rStyle w:val="Hyperlink"/>
            <w:rFonts w:cstheme="minorHAnsi"/>
            <w:color w:val="2C307E"/>
          </w:rPr>
          <w:t>ambassadeurs@evrijders.nl</w:t>
        </w:r>
      </w:hyperlink>
      <w:r w:rsidRPr="000E21F7">
        <w:rPr>
          <w:rFonts w:cstheme="minorHAnsi"/>
          <w:color w:val="2C307E"/>
        </w:rPr>
        <w:t>.</w:t>
      </w:r>
      <w:r w:rsidRPr="00FB15B4">
        <w:rPr>
          <w:rFonts w:cstheme="minorHAnsi"/>
          <w:color w:val="2C307E"/>
        </w:rPr>
        <w:t xml:space="preserve"> </w:t>
      </w:r>
    </w:p>
    <w:p w14:paraId="16327B10" w14:textId="77777777" w:rsidR="003E01D3" w:rsidRPr="00ED0858" w:rsidRDefault="003E01D3" w:rsidP="003E01D3">
      <w:pPr>
        <w:spacing w:after="0" w:line="240" w:lineRule="auto"/>
        <w:jc w:val="both"/>
        <w:rPr>
          <w:rFonts w:cstheme="minorHAnsi"/>
          <w:color w:val="2C307E"/>
        </w:rPr>
      </w:pPr>
    </w:p>
    <w:p w14:paraId="2C1642CC" w14:textId="77777777" w:rsidR="008571CF" w:rsidRPr="008571CF" w:rsidRDefault="008571CF" w:rsidP="00B826F0">
      <w:pPr>
        <w:jc w:val="both"/>
        <w:rPr>
          <w:rFonts w:asciiTheme="majorHAnsi" w:eastAsiaTheme="majorEastAsia" w:hAnsiTheme="majorHAnsi" w:cstheme="majorBidi"/>
          <w:color w:val="2F5496" w:themeColor="accent1" w:themeShade="BF"/>
          <w:sz w:val="26"/>
          <w:szCs w:val="26"/>
        </w:rPr>
      </w:pPr>
    </w:p>
    <w:sectPr w:rsidR="008571CF" w:rsidRPr="008571CF" w:rsidSect="0094579C">
      <w:footerReference w:type="even" r:id="rId163"/>
      <w:footerReference w:type="default" r:id="rId164"/>
      <w:footerReference w:type="first" r:id="rId165"/>
      <w:pgSz w:w="11906" w:h="16838"/>
      <w:pgMar w:top="1417" w:right="1417" w:bottom="1417" w:left="1417" w:header="708" w:footer="708"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1F8AC0" w14:textId="77777777" w:rsidR="00CD08AA" w:rsidRDefault="00CD08AA" w:rsidP="0094579C">
      <w:pPr>
        <w:spacing w:after="0" w:line="240" w:lineRule="auto"/>
      </w:pPr>
      <w:r>
        <w:separator/>
      </w:r>
    </w:p>
  </w:endnote>
  <w:endnote w:type="continuationSeparator" w:id="0">
    <w:p w14:paraId="4F629EFD" w14:textId="77777777" w:rsidR="00CD08AA" w:rsidRDefault="00CD08AA" w:rsidP="0094579C">
      <w:pPr>
        <w:spacing w:after="0" w:line="240" w:lineRule="auto"/>
      </w:pPr>
      <w:r>
        <w:continuationSeparator/>
      </w:r>
    </w:p>
  </w:endnote>
  <w:endnote w:type="continuationNotice" w:id="1">
    <w:p w14:paraId="0CFF0123" w14:textId="77777777" w:rsidR="00CD08AA" w:rsidRDefault="00CD08A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RijksoverheidSansHeading">
    <w:altName w:val="Calibri"/>
    <w:panose1 w:val="00000000000000000000"/>
    <w:charset w:val="4D"/>
    <w:family w:val="swiss"/>
    <w:notTrueType/>
    <w:pitch w:val="variable"/>
    <w:sig w:usb0="00000087" w:usb1="00000001" w:usb2="00000000" w:usb3="00000000" w:csb0="0000009B" w:csb1="00000000"/>
  </w:font>
  <w:font w:name="RijksoverheidSansHeadingTT">
    <w:panose1 w:val="020B0503040202060203"/>
    <w:charset w:val="00"/>
    <w:family w:val="swiss"/>
    <w:pitch w:val="variable"/>
    <w:sig w:usb0="00000087" w:usb1="00000001" w:usb2="00000000" w:usb3="00000000" w:csb0="0000009B" w:csb1="00000000"/>
  </w:font>
  <w:font w:name="Yu Mincho">
    <w:altName w:val="游明朝"/>
    <w:charset w:val="80"/>
    <w:family w:val="roman"/>
    <w:pitch w:val="variable"/>
    <w:sig w:usb0="800002E7" w:usb1="2AC7FCFF" w:usb2="00000012" w:usb3="00000000" w:csb0="000200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81BEE8" w14:textId="47A8DD92" w:rsidR="0094579C" w:rsidRDefault="0094579C">
    <w:pPr>
      <w:pStyle w:val="Voettekst"/>
    </w:pPr>
    <w:r>
      <w:rPr>
        <w:noProof/>
      </w:rPr>
      <mc:AlternateContent>
        <mc:Choice Requires="wps">
          <w:drawing>
            <wp:anchor distT="0" distB="0" distL="0" distR="0" simplePos="0" relativeHeight="251658241" behindDoc="0" locked="0" layoutInCell="1" allowOverlap="1" wp14:anchorId="3449156A" wp14:editId="5021E75F">
              <wp:simplePos x="635" y="635"/>
              <wp:positionH relativeFrom="page">
                <wp:align>left</wp:align>
              </wp:positionH>
              <wp:positionV relativeFrom="page">
                <wp:align>bottom</wp:align>
              </wp:positionV>
              <wp:extent cx="443865" cy="443865"/>
              <wp:effectExtent l="0" t="0" r="4445" b="0"/>
              <wp:wrapNone/>
              <wp:docPr id="3" name="Tekstvak 3" descr="Intern gebruik">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8D66685" w14:textId="4427BC9B" w:rsidR="0094579C" w:rsidRPr="0094579C" w:rsidRDefault="0094579C" w:rsidP="0094579C">
                          <w:pPr>
                            <w:spacing w:after="0"/>
                            <w:rPr>
                              <w:rFonts w:ascii="Calibri" w:eastAsia="Calibri" w:hAnsi="Calibri" w:cs="Calibri"/>
                              <w:noProof/>
                              <w:color w:val="000000"/>
                              <w:sz w:val="20"/>
                              <w:szCs w:val="20"/>
                            </w:rPr>
                          </w:pPr>
                          <w:r w:rsidRPr="0094579C">
                            <w:rPr>
                              <w:rFonts w:ascii="Calibri" w:eastAsia="Calibri" w:hAnsi="Calibri" w:cs="Calibri"/>
                              <w:noProof/>
                              <w:color w:val="000000"/>
                              <w:sz w:val="20"/>
                              <w:szCs w:val="20"/>
                            </w:rPr>
                            <w:t>Intern gebruik</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3449156A" id="_x0000_t202" coordsize="21600,21600" o:spt="202" path="m,l,21600r21600,l21600,xe">
              <v:stroke joinstyle="miter"/>
              <v:path gradientshapeok="t" o:connecttype="rect"/>
            </v:shapetype>
            <v:shape id="Tekstvak 3" o:spid="_x0000_s1029" type="#_x0000_t202" alt="Intern gebruik" style="position:absolute;margin-left:0;margin-top:0;width:34.95pt;height:34.95pt;z-index:251658241;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87LCwIAABoEAAAOAAAAZHJzL2Uyb0RvYy54bWysU01v2zAMvQ/YfxB0X+xkSdEacYqsRYYB&#10;QVsgHXpWZCk2IImCpMTOfv0o2U62bqdhF/mJpPnx+LS877QiJ+F8A6ak00lOiTAcqsYcSvr9dfPp&#10;lhIfmKmYAiNKehae3q8+fli2thAzqEFVwhFMYnzR2pLWIdgiyzyvhWZ+AlYYdEpwmgW8ukNWOdZi&#10;dq2yWZ7fZC24yjrgwnu0PvZOukr5pRQ8PEvpRSCqpNhbSKdL5z6e2WrJioNjtm740Ab7hy40awwW&#10;vaR6ZIGRo2v+SKUb7sCDDBMOOgMpGy7SDDjNNH83za5mVqRZkBxvLzT5/5eWP5129sWR0H2BDhcY&#10;CWmtLzwa4zyddDp+sVOCfqTwfKFNdIFwNM7nn29vFpRwdA0Ys2TXn63z4asATSIoqcOtJLLYaetD&#10;HzqGxFoGNo1SaTPK/GbAnNGSXTuMKHT7bmh7D9UZp3HQL9pbvmmw5pb58MIcbhYHQLWGZzykgrak&#10;MCBKanA//maP8Ug4eilpUSklNShlStQ3g4uYLeZ5HpWVbgjcCPYJTO/yRfSbo34AFOEU34PlCcbg&#10;oEYoHeg3FPM6VkMXMxxrlnQ/wofQ6xYfAxfrdQpCEVkWtmZneUwdyYpMvnZvzNmB7oB7eoJRS6x4&#10;x3ofG//0dn0MyH1aSSS2Z3PgGwWYljo8lqjwX+8p6vqkVz8BAAD//wMAUEsDBBQABgAIAAAAIQDY&#10;bTz+1wAAAAMBAAAPAAAAZHJzL2Rvd25yZXYueG1sTI9PT8MwDMXvSHyHyEjcWMoOFStNp4l/4kqZ&#10;BEe38ZpqjVPqbCvfngAHuPjJetZ7P5fr2Q/qSJP0gQ1cLzJQxG2wPXcGtq+PVzegJCJbHAKTgU8S&#10;WFfnZyUWNpz4hY517FQKYSnQgItxLLSW1pFHWYSROHm7MHmMaZ06bSc8pXA/6GWW5dpjz6nB4Uh3&#10;jtp9ffAG8vunjRvf8veP3VKepQn7WIcHYy4v5s0tqEhz/DuGb/yEDlViasKBrajBQHok/szk5asV&#10;qOZXdVXq/+zVFwAAAP//AwBQSwECLQAUAAYACAAAACEAtoM4kv4AAADhAQAAEwAAAAAAAAAAAAAA&#10;AAAAAAAAW0NvbnRlbnRfVHlwZXNdLnhtbFBLAQItABQABgAIAAAAIQA4/SH/1gAAAJQBAAALAAAA&#10;AAAAAAAAAAAAAC8BAABfcmVscy8ucmVsc1BLAQItABQABgAIAAAAIQD1e87LCwIAABoEAAAOAAAA&#10;AAAAAAAAAAAAAC4CAABkcnMvZTJvRG9jLnhtbFBLAQItABQABgAIAAAAIQDYbTz+1wAAAAMBAAAP&#10;AAAAAAAAAAAAAAAAAGUEAABkcnMvZG93bnJldi54bWxQSwUGAAAAAAQABADzAAAAaQUAAAAA&#10;" filled="f" stroked="f">
              <v:textbox style="mso-fit-shape-to-text:t" inset="20pt,0,0,15pt">
                <w:txbxContent>
                  <w:p w14:paraId="28D66685" w14:textId="4427BC9B" w:rsidR="0094579C" w:rsidRPr="0094579C" w:rsidRDefault="0094579C" w:rsidP="0094579C">
                    <w:pPr>
                      <w:spacing w:after="0"/>
                      <w:rPr>
                        <w:rFonts w:ascii="Calibri" w:eastAsia="Calibri" w:hAnsi="Calibri" w:cs="Calibri"/>
                        <w:noProof/>
                        <w:color w:val="000000"/>
                        <w:sz w:val="20"/>
                        <w:szCs w:val="20"/>
                      </w:rPr>
                    </w:pPr>
                    <w:r w:rsidRPr="0094579C">
                      <w:rPr>
                        <w:rFonts w:ascii="Calibri" w:eastAsia="Calibri" w:hAnsi="Calibri" w:cs="Calibri"/>
                        <w:noProof/>
                        <w:color w:val="000000"/>
                        <w:sz w:val="20"/>
                        <w:szCs w:val="20"/>
                      </w:rPr>
                      <w:t>Intern gebruik</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color w:val="2C307E"/>
        <w:sz w:val="18"/>
        <w:szCs w:val="18"/>
      </w:rPr>
      <w:id w:val="1139069188"/>
      <w:docPartObj>
        <w:docPartGallery w:val="Page Numbers (Bottom of Page)"/>
        <w:docPartUnique/>
      </w:docPartObj>
    </w:sdtPr>
    <w:sdtEndPr/>
    <w:sdtContent>
      <w:p w14:paraId="22A0A66B" w14:textId="40F8C034" w:rsidR="00D61268" w:rsidRPr="00B2226E" w:rsidRDefault="00D61268">
        <w:pPr>
          <w:pStyle w:val="Voettekst"/>
          <w:rPr>
            <w:color w:val="2C307E"/>
            <w:sz w:val="18"/>
            <w:szCs w:val="18"/>
          </w:rPr>
        </w:pPr>
        <w:r w:rsidRPr="00B2226E">
          <w:rPr>
            <w:color w:val="2C307E"/>
            <w:sz w:val="18"/>
            <w:szCs w:val="18"/>
          </w:rPr>
          <w:fldChar w:fldCharType="begin"/>
        </w:r>
        <w:r w:rsidRPr="00B2226E">
          <w:rPr>
            <w:color w:val="2C307E"/>
            <w:sz w:val="18"/>
            <w:szCs w:val="18"/>
          </w:rPr>
          <w:instrText>PAGE   \* MERGEFORMAT</w:instrText>
        </w:r>
        <w:r w:rsidRPr="00B2226E">
          <w:rPr>
            <w:color w:val="2C307E"/>
            <w:sz w:val="18"/>
            <w:szCs w:val="18"/>
          </w:rPr>
          <w:fldChar w:fldCharType="separate"/>
        </w:r>
        <w:r w:rsidRPr="00B2226E">
          <w:rPr>
            <w:color w:val="2C307E"/>
            <w:sz w:val="18"/>
            <w:szCs w:val="18"/>
          </w:rPr>
          <w:t>2</w:t>
        </w:r>
        <w:r w:rsidRPr="00B2226E">
          <w:rPr>
            <w:color w:val="2C307E"/>
            <w:sz w:val="18"/>
            <w:szCs w:val="18"/>
          </w:rPr>
          <w:fldChar w:fldCharType="end"/>
        </w:r>
      </w:p>
    </w:sdtContent>
  </w:sdt>
  <w:p w14:paraId="615C98D5" w14:textId="298D090B" w:rsidR="0094579C" w:rsidRDefault="0094579C">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0C3FF3" w14:textId="57BEDAFB" w:rsidR="0094579C" w:rsidRDefault="0094579C">
    <w:pPr>
      <w:pStyle w:val="Voettekst"/>
    </w:pPr>
    <w:r>
      <w:rPr>
        <w:noProof/>
      </w:rPr>
      <mc:AlternateContent>
        <mc:Choice Requires="wps">
          <w:drawing>
            <wp:anchor distT="0" distB="0" distL="0" distR="0" simplePos="0" relativeHeight="251658240" behindDoc="0" locked="0" layoutInCell="1" allowOverlap="1" wp14:anchorId="4FE3BD2D" wp14:editId="271830CC">
              <wp:simplePos x="635" y="635"/>
              <wp:positionH relativeFrom="page">
                <wp:align>left</wp:align>
              </wp:positionH>
              <wp:positionV relativeFrom="page">
                <wp:align>bottom</wp:align>
              </wp:positionV>
              <wp:extent cx="443865" cy="443865"/>
              <wp:effectExtent l="0" t="0" r="4445" b="0"/>
              <wp:wrapNone/>
              <wp:docPr id="2" name="Tekstvak 2" descr="Intern gebruik">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0CE7F69" w14:textId="1CFAC49A" w:rsidR="0094579C" w:rsidRPr="0094579C" w:rsidRDefault="0094579C" w:rsidP="0094579C">
                          <w:pPr>
                            <w:spacing w:after="0"/>
                            <w:rPr>
                              <w:rFonts w:ascii="Calibri" w:eastAsia="Calibri" w:hAnsi="Calibri" w:cs="Calibri"/>
                              <w:noProof/>
                              <w:color w:val="000000"/>
                              <w:sz w:val="20"/>
                              <w:szCs w:val="20"/>
                            </w:rPr>
                          </w:pPr>
                          <w:r w:rsidRPr="0094579C">
                            <w:rPr>
                              <w:rFonts w:ascii="Calibri" w:eastAsia="Calibri" w:hAnsi="Calibri" w:cs="Calibri"/>
                              <w:noProof/>
                              <w:color w:val="000000"/>
                              <w:sz w:val="20"/>
                              <w:szCs w:val="20"/>
                            </w:rPr>
                            <w:t>Intern gebruik</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4FE3BD2D" id="_x0000_t202" coordsize="21600,21600" o:spt="202" path="m,l,21600r21600,l21600,xe">
              <v:stroke joinstyle="miter"/>
              <v:path gradientshapeok="t" o:connecttype="rect"/>
            </v:shapetype>
            <v:shape id="Tekstvak 2" o:spid="_x0000_s1030" type="#_x0000_t202" alt="Intern gebruik" style="position:absolute;margin-left:0;margin-top:0;width:34.95pt;height:34.95pt;z-index:251658240;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iC9DgIAACEEAAAOAAAAZHJzL2Uyb0RvYy54bWysU01v2zAMvQ/YfxB0X+xkSdEZcYqsRYYB&#10;QVsgHXqWZSk2IImCpMTOfv0o2Um6bqdhF/mJpPnx+LS867UiR+F8C6ak00lOiTAc6tbsS/rjZfPp&#10;lhIfmKmZAiNKehKe3q0+flh2thAzaEDVwhFMYnzR2ZI2IdgiyzxvhGZ+AlYYdEpwmgW8un1WO9Zh&#10;dq2yWZ7fZB242jrgwnu0PgxOukr5pRQ8PEnpRSCqpNhbSKdLZxXPbLVkxd4x27R8bIP9QxeatQaL&#10;XlI9sMDIwbV/pNItd+BBhgkHnYGULRdpBpxmmr+bZtcwK9IsSI63F5r8/0vLH487++xI6L9CjwuM&#10;hHTWFx6NcZ5eOh2/2ClBP1J4utAm+kA4Gufzz7c3C0o4ukaMWbLrz9b58E2AJhGU1OFWElnsuPVh&#10;CD2HxFoGNq1SaTPK/GbAnNGSXTuMKPRVT9r6TfcV1CccysGwb2/5psXSW+bDM3O4YJwDRRue8JAK&#10;upLCiChpwP38mz3GI+/opaRDwZTUoKIpUd8N7mO2mOd5FFi6IXBnUCUw/ZIvot8c9D2gFqf4LCxP&#10;MAYHdYbSgX5FTa9jNXQxw7FmSaszvA+DfPFNcLFepyDUkmVha3aWx9SRs0joS//KnB1ZD7iuRzhL&#10;ihXvyB9i45/erg8BV5A2E/kd2BxpRx2m3Y5vJgr97T1FXV/26hcAAAD//wMAUEsDBBQABgAIAAAA&#10;IQDYbTz+1wAAAAMBAAAPAAAAZHJzL2Rvd25yZXYueG1sTI9PT8MwDMXvSHyHyEjcWMoOFStNp4l/&#10;4kqZBEe38ZpqjVPqbCvfngAHuPjJetZ7P5fr2Q/qSJP0gQ1cLzJQxG2wPXcGtq+PVzegJCJbHAKT&#10;gU8SWFfnZyUWNpz4hY517FQKYSnQgItxLLSW1pFHWYSROHm7MHmMaZ06bSc8pXA/6GWW5dpjz6nB&#10;4Uh3jtp9ffAG8vunjRvf8veP3VKepQn7WIcHYy4v5s0tqEhz/DuGb/yEDlViasKBrajBQHok/szk&#10;5asVqOZXdVXq/+zVFwAAAP//AwBQSwECLQAUAAYACAAAACEAtoM4kv4AAADhAQAAEwAAAAAAAAAA&#10;AAAAAAAAAAAAW0NvbnRlbnRfVHlwZXNdLnhtbFBLAQItABQABgAIAAAAIQA4/SH/1gAAAJQBAAAL&#10;AAAAAAAAAAAAAAAAAC8BAABfcmVscy8ucmVsc1BLAQItABQABgAIAAAAIQB3NiC9DgIAACEEAAAO&#10;AAAAAAAAAAAAAAAAAC4CAABkcnMvZTJvRG9jLnhtbFBLAQItABQABgAIAAAAIQDYbTz+1wAAAAMB&#10;AAAPAAAAAAAAAAAAAAAAAGgEAABkcnMvZG93bnJldi54bWxQSwUGAAAAAAQABADzAAAAbAUAAAAA&#10;" filled="f" stroked="f">
              <v:textbox style="mso-fit-shape-to-text:t" inset="20pt,0,0,15pt">
                <w:txbxContent>
                  <w:p w14:paraId="50CE7F69" w14:textId="1CFAC49A" w:rsidR="0094579C" w:rsidRPr="0094579C" w:rsidRDefault="0094579C" w:rsidP="0094579C">
                    <w:pPr>
                      <w:spacing w:after="0"/>
                      <w:rPr>
                        <w:rFonts w:ascii="Calibri" w:eastAsia="Calibri" w:hAnsi="Calibri" w:cs="Calibri"/>
                        <w:noProof/>
                        <w:color w:val="000000"/>
                        <w:sz w:val="20"/>
                        <w:szCs w:val="20"/>
                      </w:rPr>
                    </w:pPr>
                    <w:r w:rsidRPr="0094579C">
                      <w:rPr>
                        <w:rFonts w:ascii="Calibri" w:eastAsia="Calibri" w:hAnsi="Calibri" w:cs="Calibri"/>
                        <w:noProof/>
                        <w:color w:val="000000"/>
                        <w:sz w:val="20"/>
                        <w:szCs w:val="20"/>
                      </w:rPr>
                      <w:t>Intern gebruik</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DD51A2" w14:textId="77777777" w:rsidR="00CD08AA" w:rsidRDefault="00CD08AA" w:rsidP="0094579C">
      <w:pPr>
        <w:spacing w:after="0" w:line="240" w:lineRule="auto"/>
      </w:pPr>
      <w:r>
        <w:separator/>
      </w:r>
    </w:p>
  </w:footnote>
  <w:footnote w:type="continuationSeparator" w:id="0">
    <w:p w14:paraId="5EB16DA0" w14:textId="77777777" w:rsidR="00CD08AA" w:rsidRDefault="00CD08AA" w:rsidP="0094579C">
      <w:pPr>
        <w:spacing w:after="0" w:line="240" w:lineRule="auto"/>
      </w:pPr>
      <w:r>
        <w:continuationSeparator/>
      </w:r>
    </w:p>
  </w:footnote>
  <w:footnote w:type="continuationNotice" w:id="1">
    <w:p w14:paraId="1ACB58F6" w14:textId="77777777" w:rsidR="00CD08AA" w:rsidRDefault="00CD08AA">
      <w:pPr>
        <w:spacing w:after="0" w:line="240" w:lineRule="auto"/>
      </w:pPr>
    </w:p>
  </w:footnote>
  <w:footnote w:id="2">
    <w:p w14:paraId="59C09655" w14:textId="53557EFA" w:rsidR="00CD00D4" w:rsidRPr="00CD00D4" w:rsidRDefault="00CD00D4">
      <w:pPr>
        <w:pStyle w:val="Voetnoottekst"/>
      </w:pPr>
      <w:r>
        <w:rPr>
          <w:rStyle w:val="Voetnootmarkering"/>
        </w:rPr>
        <w:footnoteRef/>
      </w:r>
      <w:r>
        <w:t xml:space="preserve"> </w:t>
      </w:r>
      <w:hyperlink r:id="rId1" w:history="1">
        <w:r w:rsidRPr="00CD00D4">
          <w:rPr>
            <w:rStyle w:val="Hyperlink"/>
          </w:rPr>
          <w:t>Wie rijdt er elektrisch? | CBS</w:t>
        </w:r>
      </w:hyperlink>
      <w:r w:rsidR="008B5E1E">
        <w:t xml:space="preserve"> </w:t>
      </w:r>
      <w:r w:rsidR="008B5E1E" w:rsidRPr="008B5E1E">
        <w:rPr>
          <w:rFonts w:cstheme="minorHAnsi"/>
          <w:color w:val="2C307E"/>
        </w:rPr>
        <w:t>update 2025 op maat gemaakt voor dit onderzoek</w:t>
      </w:r>
    </w:p>
  </w:footnote>
  <w:footnote w:id="3">
    <w:p w14:paraId="22921227" w14:textId="4E9E5DB8" w:rsidR="00CD00D4" w:rsidRPr="00CD00D4" w:rsidRDefault="00CD00D4">
      <w:pPr>
        <w:pStyle w:val="Voetnoottekst"/>
      </w:pPr>
      <w:r>
        <w:rPr>
          <w:rStyle w:val="Voetnootmarkering"/>
        </w:rPr>
        <w:footnoteRef/>
      </w:r>
      <w:r>
        <w:t xml:space="preserve"> </w:t>
      </w:r>
      <w:hyperlink r:id="rId2" w:history="1">
        <w:r w:rsidRPr="00CD00D4">
          <w:rPr>
            <w:rStyle w:val="Hyperlink"/>
          </w:rPr>
          <w:t>Gemiddeld kilometrage personenauto’s per 365 dagen | CBS</w:t>
        </w:r>
      </w:hyperlink>
    </w:p>
  </w:footnote>
  <w:footnote w:id="4">
    <w:p w14:paraId="3B734AF6" w14:textId="79CB5263" w:rsidR="00CD00D4" w:rsidRPr="008B5E1E" w:rsidRDefault="00CD00D4">
      <w:pPr>
        <w:pStyle w:val="Voetnoottekst"/>
      </w:pPr>
      <w:r>
        <w:rPr>
          <w:rStyle w:val="Voetnootmarkering"/>
        </w:rPr>
        <w:footnoteRef/>
      </w:r>
      <w:r>
        <w:t xml:space="preserve"> </w:t>
      </w:r>
      <w:hyperlink r:id="rId3" w:history="1">
        <w:r w:rsidRPr="00CD00D4">
          <w:rPr>
            <w:rStyle w:val="Hyperlink"/>
          </w:rPr>
          <w:t>Documenten | Trendrapport Personenauto's | RVO dashboard</w:t>
        </w:r>
      </w:hyperlink>
    </w:p>
  </w:footnote>
  <w:footnote w:id="5">
    <w:p w14:paraId="7101E3AB" w14:textId="530A34F2" w:rsidR="004B17BB" w:rsidRDefault="004B17BB" w:rsidP="004B17BB">
      <w:pPr>
        <w:pStyle w:val="Voetnoottekst"/>
      </w:pPr>
      <w:r>
        <w:rPr>
          <w:rStyle w:val="Voetnootmarkering"/>
        </w:rPr>
        <w:footnoteRef/>
      </w:r>
      <w:r>
        <w:t xml:space="preserve"> </w:t>
      </w:r>
      <w:r w:rsidRPr="00567EC5">
        <w:rPr>
          <w:color w:val="2C307E"/>
        </w:rPr>
        <w:t xml:space="preserve">Bron: </w:t>
      </w:r>
      <w:hyperlink r:id="rId4" w:history="1">
        <w:r w:rsidRPr="007A2C84">
          <w:rPr>
            <w:rStyle w:val="Hyperlink"/>
          </w:rPr>
          <w:t>Netbeheer Nederland</w:t>
        </w:r>
      </w:hyperlink>
      <w:r w:rsidRPr="00567EC5">
        <w:rPr>
          <w:color w:val="2C307E"/>
        </w:rPr>
        <w:t xml:space="preserve"> </w:t>
      </w:r>
    </w:p>
  </w:footnote>
  <w:footnote w:id="6">
    <w:p w14:paraId="0F8B4299" w14:textId="19D9AB62" w:rsidR="00BA1C8D" w:rsidRPr="00BA1C8D" w:rsidRDefault="00BA1C8D">
      <w:pPr>
        <w:pStyle w:val="Voetnoottekst"/>
      </w:pPr>
      <w:r>
        <w:rPr>
          <w:rStyle w:val="Voetnootmarkering"/>
        </w:rPr>
        <w:footnoteRef/>
      </w:r>
      <w:r>
        <w:t xml:space="preserve"> </w:t>
      </w:r>
      <w:hyperlink r:id="rId5" w:anchor=":~:text=Op%20basis%20van%20de%20gebruikte,Eigen%20Terrein%2C%20bedrijven%206.2%20miljoen" w:history="1">
        <w:r w:rsidRPr="009E0EC3">
          <w:rPr>
            <w:rStyle w:val="Hyperlink"/>
          </w:rPr>
          <w:t>VEXPAN</w:t>
        </w:r>
      </w:hyperlink>
      <w:r>
        <w:t xml:space="preserve">; </w:t>
      </w:r>
      <w:hyperlink r:id="rId6" w:history="1">
        <w:r w:rsidRPr="009E0EC3">
          <w:rPr>
            <w:rStyle w:val="Hyperlink"/>
          </w:rPr>
          <w:t>Grip op parkeercapaciteiten – modelaanpak en data-analyse</w:t>
        </w:r>
      </w:hyperlink>
    </w:p>
  </w:footnote>
  <w:footnote w:id="7">
    <w:p w14:paraId="6C9BC746" w14:textId="3A500DB5" w:rsidR="008C334C" w:rsidRPr="008C334C" w:rsidRDefault="008C334C">
      <w:pPr>
        <w:pStyle w:val="Voetnoottekst"/>
      </w:pPr>
      <w:r>
        <w:rPr>
          <w:rStyle w:val="Voetnootmarkering"/>
        </w:rPr>
        <w:footnoteRef/>
      </w:r>
      <w:r>
        <w:t xml:space="preserve"> </w:t>
      </w:r>
      <w:hyperlink r:id="rId7" w:history="1">
        <w:r w:rsidRPr="00F66FD4">
          <w:rPr>
            <w:rStyle w:val="Hyperlink"/>
          </w:rPr>
          <w:t>Fit for 55: op weg naar duurzamer vervoer - Consilium</w:t>
        </w:r>
      </w:hyperlink>
    </w:p>
  </w:footnote>
  <w:footnote w:id="8">
    <w:p w14:paraId="4A8F1FB1" w14:textId="0628FE53" w:rsidR="00FA78D6" w:rsidRDefault="00FA78D6" w:rsidP="00FA78D6">
      <w:pPr>
        <w:pStyle w:val="Voetnoottekst"/>
      </w:pPr>
      <w:r>
        <w:rPr>
          <w:rStyle w:val="Voetnootmarkering"/>
        </w:rPr>
        <w:footnoteRef/>
      </w:r>
      <w:r>
        <w:t xml:space="preserve"> </w:t>
      </w:r>
      <w:hyperlink r:id="rId8" w:anchor="1">
        <w:r w:rsidR="00AE2F02" w:rsidRPr="00AE2F02">
          <w:rPr>
            <w:rStyle w:val="Hyperlink"/>
            <w:sz w:val="16"/>
            <w:szCs w:val="16"/>
          </w:rPr>
          <w:t>Monitor Consumentenmarkt Energie, ACM</w:t>
        </w:r>
      </w:hyperlink>
    </w:p>
  </w:footnote>
  <w:footnote w:id="9">
    <w:p w14:paraId="5F5A5039" w14:textId="77777777" w:rsidR="009863F2" w:rsidRPr="00B00E45" w:rsidRDefault="009863F2" w:rsidP="009863F2">
      <w:pPr>
        <w:pStyle w:val="Voetnoottekst"/>
      </w:pPr>
      <w:r w:rsidRPr="00B00E45">
        <w:rPr>
          <w:rStyle w:val="Voetnootmarkering"/>
          <w:color w:val="002060"/>
        </w:rPr>
        <w:footnoteRef/>
      </w:r>
      <w:r w:rsidRPr="00B00E45">
        <w:rPr>
          <w:color w:val="002060"/>
        </w:rPr>
        <w:t xml:space="preserve"> In eerdere onderzoeken werd hier gevraagd naar veiligheid en niet specifiek brandveiligheid</w:t>
      </w:r>
      <w:r>
        <w:rPr>
          <w:color w:val="002060"/>
        </w:rPr>
        <w:t>*</w:t>
      </w:r>
    </w:p>
  </w:footnote>
  <w:footnote w:id="10">
    <w:p w14:paraId="3D466F30" w14:textId="5D1915C8" w:rsidR="00EE4C6B" w:rsidRDefault="00EE4C6B">
      <w:pPr>
        <w:pStyle w:val="Voetnoottekst"/>
      </w:pPr>
      <w:r>
        <w:rPr>
          <w:rStyle w:val="Voetnootmarkering"/>
        </w:rPr>
        <w:footnoteRef/>
      </w:r>
      <w:r>
        <w:t xml:space="preserve"> </w:t>
      </w:r>
      <w:hyperlink r:id="rId9" w:anchor="1">
        <w:r>
          <w:rPr>
            <w:rStyle w:val="Hyperlink"/>
          </w:rPr>
          <w:t>Monitor Consumentenmarkt Energie, ACM</w:t>
        </w:r>
      </w:hyperlink>
    </w:p>
  </w:footnote>
  <w:footnote w:id="11">
    <w:p w14:paraId="5A1C38B5" w14:textId="77777777" w:rsidR="001A46C8" w:rsidRDefault="001A46C8" w:rsidP="001A46C8">
      <w:pPr>
        <w:pStyle w:val="Voetnoottekst"/>
      </w:pPr>
      <w:r>
        <w:rPr>
          <w:rStyle w:val="Voetnootmarkering"/>
        </w:rPr>
        <w:footnoteRef/>
      </w:r>
      <w:r>
        <w:t xml:space="preserve"> </w:t>
      </w:r>
      <w:hyperlink r:id="rId10" w:anchor="1" w:history="1">
        <w:r w:rsidRPr="00143A9C">
          <w:rPr>
            <w:rStyle w:val="Hyperlink"/>
          </w:rPr>
          <w:t>Monitor Consumentenmarkt Energie, ACM</w:t>
        </w:r>
      </w:hyperlink>
    </w:p>
  </w:footnote>
  <w:footnote w:id="12">
    <w:p w14:paraId="4C1E62A5" w14:textId="77777777" w:rsidR="0029189A" w:rsidRDefault="0029189A" w:rsidP="0029189A">
      <w:pPr>
        <w:pStyle w:val="Voetnoottekst"/>
      </w:pPr>
      <w:r>
        <w:rPr>
          <w:rStyle w:val="Voetnootmarkering"/>
        </w:rPr>
        <w:footnoteRef/>
      </w:r>
      <w:r>
        <w:t xml:space="preserve"> </w:t>
      </w:r>
      <w:hyperlink r:id="rId11" w:anchor="1">
        <w:r w:rsidRPr="00AE2F02">
          <w:rPr>
            <w:rStyle w:val="Hyperlink"/>
            <w:sz w:val="16"/>
            <w:szCs w:val="16"/>
          </w:rPr>
          <w:t>Monitor Consumentenmarkt Energie, ACM</w:t>
        </w:r>
      </w:hyperlink>
    </w:p>
  </w:footnote>
  <w:footnote w:id="13">
    <w:p w14:paraId="3B630D51" w14:textId="2656B586" w:rsidR="00F45A36" w:rsidRPr="00F45A36" w:rsidRDefault="00F45A36">
      <w:pPr>
        <w:pStyle w:val="Voetnoottekst"/>
      </w:pPr>
      <w:r>
        <w:rPr>
          <w:rStyle w:val="Voetnootmarkering"/>
        </w:rPr>
        <w:footnoteRef/>
      </w:r>
      <w:r>
        <w:t xml:space="preserve"> </w:t>
      </w:r>
      <w:r w:rsidRPr="00AE2F02">
        <w:rPr>
          <w:color w:val="2C307E"/>
          <w:sz w:val="16"/>
          <w:szCs w:val="16"/>
        </w:rPr>
        <w:t xml:space="preserve">Het aantal EV-rijders </w:t>
      </w:r>
      <w:r w:rsidR="007B4D64" w:rsidRPr="00AE2F02">
        <w:rPr>
          <w:color w:val="2C307E"/>
          <w:sz w:val="16"/>
          <w:szCs w:val="16"/>
        </w:rPr>
        <w:t xml:space="preserve">dat weleens bidirectioneel heeft geladen </w:t>
      </w:r>
      <w:r w:rsidR="00A343FB" w:rsidRPr="00AE2F02">
        <w:rPr>
          <w:color w:val="2C307E"/>
          <w:sz w:val="16"/>
          <w:szCs w:val="16"/>
        </w:rPr>
        <w:t>is te</w:t>
      </w:r>
      <w:r w:rsidR="007B4D64" w:rsidRPr="00AE2F02">
        <w:rPr>
          <w:color w:val="2C307E"/>
          <w:sz w:val="16"/>
          <w:szCs w:val="16"/>
        </w:rPr>
        <w:t xml:space="preserve"> klein om een betrouwbare ervaring te kunnen presenteren. Om deze reden is bidirecitoneel weggelaten in </w:t>
      </w:r>
      <w:r w:rsidR="00977552">
        <w:rPr>
          <w:color w:val="2C307E"/>
          <w:sz w:val="16"/>
          <w:szCs w:val="16"/>
        </w:rPr>
        <w:t>deze</w:t>
      </w:r>
      <w:r w:rsidR="00977552" w:rsidRPr="00AE2F02">
        <w:rPr>
          <w:color w:val="2C307E"/>
          <w:sz w:val="16"/>
          <w:szCs w:val="16"/>
        </w:rPr>
        <w:t xml:space="preserve"> </w:t>
      </w:r>
      <w:r w:rsidR="007B4D64" w:rsidRPr="00AE2F02">
        <w:rPr>
          <w:color w:val="2C307E"/>
          <w:sz w:val="16"/>
          <w:szCs w:val="16"/>
        </w:rPr>
        <w:t>figuur.</w:t>
      </w:r>
    </w:p>
  </w:footnote>
  <w:footnote w:id="14">
    <w:p w14:paraId="539F4EC9" w14:textId="069F3578" w:rsidR="00C40151" w:rsidRDefault="00C40151">
      <w:pPr>
        <w:pStyle w:val="Voetnoottekst"/>
      </w:pPr>
      <w:r>
        <w:rPr>
          <w:rStyle w:val="Voetnootmarkering"/>
        </w:rPr>
        <w:footnoteRef/>
      </w:r>
      <w:r>
        <w:t xml:space="preserve"> </w:t>
      </w:r>
      <w:hyperlink r:id="rId12" w:history="1">
        <w:r w:rsidRPr="00C40151">
          <w:rPr>
            <w:rStyle w:val="Hyperlink"/>
          </w:rPr>
          <w:t>Slim laden voor iedereen 2022 - 2025</w:t>
        </w:r>
      </w:hyperlink>
    </w:p>
  </w:footnote>
  <w:footnote w:id="15">
    <w:p w14:paraId="1E5C65AE" w14:textId="513EB317" w:rsidR="00313B92" w:rsidRPr="00F45A36" w:rsidRDefault="00313B92" w:rsidP="00313B92">
      <w:pPr>
        <w:pStyle w:val="Voetnoottekst"/>
      </w:pPr>
      <w:r>
        <w:rPr>
          <w:rStyle w:val="Voetnootmarkering"/>
        </w:rPr>
        <w:footnoteRef/>
      </w:r>
      <w:r>
        <w:t xml:space="preserve"> </w:t>
      </w:r>
      <w:r w:rsidRPr="00CA5F39">
        <w:rPr>
          <w:color w:val="2C307E"/>
          <w:sz w:val="16"/>
          <w:szCs w:val="16"/>
        </w:rPr>
        <w:t xml:space="preserve">Het aantal EV-rijders dat weleens bidirectioneel heeft geladen is te klein om een betrouwbare ervaring te kunnen presenteren. Om deze reden is bidirecitoneel weggelaten in </w:t>
      </w:r>
      <w:r w:rsidR="005A6F95">
        <w:rPr>
          <w:color w:val="2C307E"/>
          <w:sz w:val="16"/>
          <w:szCs w:val="16"/>
        </w:rPr>
        <w:t>deze</w:t>
      </w:r>
      <w:r w:rsidR="005A6F95" w:rsidRPr="00CA5F39">
        <w:rPr>
          <w:color w:val="2C307E"/>
          <w:sz w:val="16"/>
          <w:szCs w:val="16"/>
        </w:rPr>
        <w:t xml:space="preserve"> </w:t>
      </w:r>
      <w:r w:rsidRPr="00CA5F39">
        <w:rPr>
          <w:color w:val="2C307E"/>
          <w:sz w:val="16"/>
          <w:szCs w:val="16"/>
        </w:rPr>
        <w:t>figuur</w:t>
      </w:r>
      <w:r>
        <w:t>.</w:t>
      </w:r>
    </w:p>
    <w:p w14:paraId="346F3BDB" w14:textId="59B57450" w:rsidR="00313B92" w:rsidRPr="00313B92" w:rsidRDefault="00313B92">
      <w:pPr>
        <w:pStyle w:val="Voetnoottekst"/>
      </w:pPr>
    </w:p>
  </w:footnote>
  <w:footnote w:id="16">
    <w:p w14:paraId="35561042" w14:textId="2AC3A03E" w:rsidR="00F96998" w:rsidRPr="00802BC0" w:rsidRDefault="00F96998" w:rsidP="00F96998">
      <w:pPr>
        <w:jc w:val="both"/>
        <w:rPr>
          <w:noProof/>
          <w:color w:val="2C307E"/>
        </w:rPr>
      </w:pPr>
      <w:r>
        <w:rPr>
          <w:rStyle w:val="Voetnootmarkering"/>
        </w:rPr>
        <w:footnoteRef/>
      </w:r>
      <w:r>
        <w:t xml:space="preserve"> </w:t>
      </w:r>
      <w:r w:rsidRPr="00F96998">
        <w:rPr>
          <w:color w:val="2C307E"/>
          <w:sz w:val="16"/>
          <w:szCs w:val="16"/>
        </w:rPr>
        <w:t>Door een fout in de enquête heeft slechts een beperkte groep hun mening gegeven over slim laden</w:t>
      </w:r>
      <w:r w:rsidR="00313B92">
        <w:rPr>
          <w:color w:val="2C307E"/>
          <w:sz w:val="16"/>
          <w:szCs w:val="16"/>
        </w:rPr>
        <w:t xml:space="preserve"> op basis van </w:t>
      </w:r>
      <w:r w:rsidR="00E86B4A">
        <w:rPr>
          <w:color w:val="2C307E"/>
          <w:sz w:val="16"/>
          <w:szCs w:val="16"/>
        </w:rPr>
        <w:t>duurzame opwek</w:t>
      </w:r>
      <w:r w:rsidRPr="00F96998">
        <w:rPr>
          <w:color w:val="2C307E"/>
          <w:sz w:val="16"/>
          <w:szCs w:val="16"/>
        </w:rPr>
        <w:t>, waardoor geen betrouwbare conclusies te trekken zijn</w:t>
      </w:r>
      <w:r w:rsidR="00E86B4A">
        <w:rPr>
          <w:color w:val="2C307E"/>
          <w:sz w:val="16"/>
          <w:szCs w:val="16"/>
        </w:rPr>
        <w:t xml:space="preserve"> en dit inzicht </w:t>
      </w:r>
      <w:r w:rsidR="00CA5F39">
        <w:rPr>
          <w:color w:val="2C307E"/>
          <w:sz w:val="16"/>
          <w:szCs w:val="16"/>
        </w:rPr>
        <w:t>niet in onderstaand figuur wordt gepresenteerd.</w:t>
      </w:r>
      <w:r w:rsidRPr="00F96998">
        <w:rPr>
          <w:color w:val="2C307E"/>
          <w:sz w:val="16"/>
          <w:szCs w:val="16"/>
        </w:rPr>
        <w:t xml:space="preserve"> </w:t>
      </w:r>
    </w:p>
    <w:p w14:paraId="79689D5F" w14:textId="41BA8E7D" w:rsidR="00F96998" w:rsidRPr="00F96998" w:rsidRDefault="00F96998">
      <w:pPr>
        <w:pStyle w:val="Voetnoottekst"/>
      </w:pPr>
    </w:p>
  </w:footnote>
  <w:footnote w:id="17">
    <w:p w14:paraId="64823379" w14:textId="6D6964A6" w:rsidR="00CD014A" w:rsidRPr="005C3DBB" w:rsidRDefault="00CD014A">
      <w:pPr>
        <w:pStyle w:val="Voetnoottekst"/>
      </w:pPr>
      <w:r>
        <w:rPr>
          <w:rStyle w:val="Voetnootmarkering"/>
        </w:rPr>
        <w:footnoteRef/>
      </w:r>
      <w:r>
        <w:t xml:space="preserve"> </w:t>
      </w:r>
      <w:r w:rsidRPr="006E2735">
        <w:rPr>
          <w:color w:val="2C307E"/>
          <w:sz w:val="16"/>
          <w:szCs w:val="16"/>
        </w:rPr>
        <w:t xml:space="preserve">Het aantal EV-rijders dat weleens bidirectioneel heeft geladen is te klein om een betrouwbare ervaring te kunnen presenteren. Om deze reden is </w:t>
      </w:r>
      <w:r w:rsidR="00E85961" w:rsidRPr="006E2735">
        <w:rPr>
          <w:color w:val="2C307E"/>
          <w:sz w:val="16"/>
          <w:szCs w:val="16"/>
        </w:rPr>
        <w:t xml:space="preserve">bidirectioneel </w:t>
      </w:r>
      <w:r w:rsidRPr="006E2735">
        <w:rPr>
          <w:color w:val="2C307E"/>
          <w:sz w:val="16"/>
          <w:szCs w:val="16"/>
        </w:rPr>
        <w:t xml:space="preserve">weggelaten in </w:t>
      </w:r>
      <w:r w:rsidR="00E85961">
        <w:rPr>
          <w:color w:val="2C307E"/>
          <w:sz w:val="16"/>
          <w:szCs w:val="16"/>
        </w:rPr>
        <w:t>deze</w:t>
      </w:r>
      <w:r w:rsidR="00E85961" w:rsidRPr="006E2735">
        <w:rPr>
          <w:color w:val="2C307E"/>
          <w:sz w:val="16"/>
          <w:szCs w:val="16"/>
        </w:rPr>
        <w:t xml:space="preserve"> </w:t>
      </w:r>
      <w:r w:rsidRPr="006E2735">
        <w:rPr>
          <w:color w:val="2C307E"/>
          <w:sz w:val="16"/>
          <w:szCs w:val="16"/>
        </w:rPr>
        <w:t>figuur.</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67975"/>
    <w:multiLevelType w:val="hybridMultilevel"/>
    <w:tmpl w:val="C5A0FEF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1845D26"/>
    <w:multiLevelType w:val="hybridMultilevel"/>
    <w:tmpl w:val="7EF0507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 w15:restartNumberingAfterBreak="0">
    <w:nsid w:val="048B6B08"/>
    <w:multiLevelType w:val="hybridMultilevel"/>
    <w:tmpl w:val="A104869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 w15:restartNumberingAfterBreak="0">
    <w:nsid w:val="08CD615A"/>
    <w:multiLevelType w:val="multilevel"/>
    <w:tmpl w:val="9B5811C6"/>
    <w:lvl w:ilvl="0">
      <w:start w:val="1"/>
      <w:numFmt w:val="decimal"/>
      <w:lvlText w:val="%1."/>
      <w:lvlJc w:val="left"/>
      <w:pPr>
        <w:ind w:left="720" w:hanging="360"/>
      </w:pPr>
      <w:rPr>
        <w:rFonts w:hint="default"/>
      </w:rPr>
    </w:lvl>
    <w:lvl w:ilvl="1">
      <w:start w:val="5"/>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 w15:restartNumberingAfterBreak="0">
    <w:nsid w:val="0B0E471C"/>
    <w:multiLevelType w:val="hybridMultilevel"/>
    <w:tmpl w:val="5C14C0FC"/>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5" w15:restartNumberingAfterBreak="0">
    <w:nsid w:val="19173B63"/>
    <w:multiLevelType w:val="hybridMultilevel"/>
    <w:tmpl w:val="170813D8"/>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6" w15:restartNumberingAfterBreak="0">
    <w:nsid w:val="1F8D1645"/>
    <w:multiLevelType w:val="multilevel"/>
    <w:tmpl w:val="F4B0C770"/>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tabs>
          <w:tab w:val="num" w:pos="1080"/>
        </w:tabs>
        <w:ind w:left="1080" w:hanging="360"/>
      </w:pPr>
      <w:rPr>
        <w:rFonts w:ascii="Symbol" w:hAnsi="Symbol" w:hint="default"/>
        <w:sz w:val="20"/>
      </w:rPr>
    </w:lvl>
    <w:lvl w:ilvl="2">
      <w:start w:val="1"/>
      <w:numFmt w:val="bullet"/>
      <w:lvlText w:val=""/>
      <w:lvlJc w:val="left"/>
      <w:pPr>
        <w:tabs>
          <w:tab w:val="num" w:pos="1800"/>
        </w:tabs>
        <w:ind w:left="1800" w:hanging="360"/>
      </w:pPr>
      <w:rPr>
        <w:rFonts w:ascii="Symbol" w:hAnsi="Symbol" w:hint="default"/>
        <w:sz w:val="20"/>
      </w:rPr>
    </w:lvl>
    <w:lvl w:ilvl="3">
      <w:start w:val="1"/>
      <w:numFmt w:val="bullet"/>
      <w:lvlText w:val=""/>
      <w:lvlJc w:val="left"/>
      <w:pPr>
        <w:tabs>
          <w:tab w:val="num" w:pos="2520"/>
        </w:tabs>
        <w:ind w:left="2520" w:hanging="360"/>
      </w:pPr>
      <w:rPr>
        <w:rFonts w:ascii="Symbol" w:hAnsi="Symbol" w:hint="default"/>
        <w:sz w:val="20"/>
      </w:rPr>
    </w:lvl>
    <w:lvl w:ilvl="4">
      <w:start w:val="1"/>
      <w:numFmt w:val="bullet"/>
      <w:lvlText w:val=""/>
      <w:lvlJc w:val="left"/>
      <w:pPr>
        <w:tabs>
          <w:tab w:val="num" w:pos="3240"/>
        </w:tabs>
        <w:ind w:left="3240" w:hanging="360"/>
      </w:pPr>
      <w:rPr>
        <w:rFonts w:ascii="Symbol" w:hAnsi="Symbol" w:hint="default"/>
        <w:sz w:val="20"/>
      </w:rPr>
    </w:lvl>
    <w:lvl w:ilvl="5">
      <w:start w:val="1"/>
      <w:numFmt w:val="bullet"/>
      <w:lvlText w:val=""/>
      <w:lvlJc w:val="left"/>
      <w:pPr>
        <w:tabs>
          <w:tab w:val="num" w:pos="3960"/>
        </w:tabs>
        <w:ind w:left="3960" w:hanging="360"/>
      </w:pPr>
      <w:rPr>
        <w:rFonts w:ascii="Symbol" w:hAnsi="Symbol" w:hint="default"/>
        <w:sz w:val="20"/>
      </w:rPr>
    </w:lvl>
    <w:lvl w:ilvl="6">
      <w:start w:val="1"/>
      <w:numFmt w:val="bullet"/>
      <w:lvlText w:val=""/>
      <w:lvlJc w:val="left"/>
      <w:pPr>
        <w:tabs>
          <w:tab w:val="num" w:pos="4680"/>
        </w:tabs>
        <w:ind w:left="4680" w:hanging="360"/>
      </w:pPr>
      <w:rPr>
        <w:rFonts w:ascii="Symbol" w:hAnsi="Symbol" w:hint="default"/>
        <w:sz w:val="20"/>
      </w:rPr>
    </w:lvl>
    <w:lvl w:ilvl="7">
      <w:start w:val="1"/>
      <w:numFmt w:val="bullet"/>
      <w:lvlText w:val=""/>
      <w:lvlJc w:val="left"/>
      <w:pPr>
        <w:tabs>
          <w:tab w:val="num" w:pos="5400"/>
        </w:tabs>
        <w:ind w:left="5400" w:hanging="360"/>
      </w:pPr>
      <w:rPr>
        <w:rFonts w:ascii="Symbol" w:hAnsi="Symbol" w:hint="default"/>
        <w:sz w:val="20"/>
      </w:rPr>
    </w:lvl>
    <w:lvl w:ilvl="8">
      <w:start w:val="1"/>
      <w:numFmt w:val="bullet"/>
      <w:lvlText w:val=""/>
      <w:lvlJc w:val="left"/>
      <w:pPr>
        <w:tabs>
          <w:tab w:val="num" w:pos="6120"/>
        </w:tabs>
        <w:ind w:left="6120" w:hanging="360"/>
      </w:pPr>
      <w:rPr>
        <w:rFonts w:ascii="Symbol" w:hAnsi="Symbol" w:hint="default"/>
        <w:sz w:val="20"/>
      </w:rPr>
    </w:lvl>
  </w:abstractNum>
  <w:abstractNum w:abstractNumId="7" w15:restartNumberingAfterBreak="0">
    <w:nsid w:val="20A641E5"/>
    <w:multiLevelType w:val="hybridMultilevel"/>
    <w:tmpl w:val="602606E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8" w15:restartNumberingAfterBreak="0">
    <w:nsid w:val="21A6199E"/>
    <w:multiLevelType w:val="hybridMultilevel"/>
    <w:tmpl w:val="DA1E5EB4"/>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9" w15:restartNumberingAfterBreak="0">
    <w:nsid w:val="23593351"/>
    <w:multiLevelType w:val="hybridMultilevel"/>
    <w:tmpl w:val="2302639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0" w15:restartNumberingAfterBreak="0">
    <w:nsid w:val="3140293A"/>
    <w:multiLevelType w:val="hybridMultilevel"/>
    <w:tmpl w:val="8118F3A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1" w15:restartNumberingAfterBreak="0">
    <w:nsid w:val="31CD4D73"/>
    <w:multiLevelType w:val="hybridMultilevel"/>
    <w:tmpl w:val="F45ADFC2"/>
    <w:lvl w:ilvl="0" w:tplc="FFFFFFFF">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2" w15:restartNumberingAfterBreak="0">
    <w:nsid w:val="383758C5"/>
    <w:multiLevelType w:val="multilevel"/>
    <w:tmpl w:val="51328418"/>
    <w:lvl w:ilvl="0">
      <w:start w:val="3"/>
      <w:numFmt w:val="decimal"/>
      <w:lvlText w:val="%1."/>
      <w:lvlJc w:val="left"/>
      <w:pPr>
        <w:ind w:left="1080" w:hanging="360"/>
      </w:pPr>
      <w:rPr>
        <w:rFonts w:hint="default"/>
      </w:rPr>
    </w:lvl>
    <w:lvl w:ilvl="1">
      <w:start w:val="6"/>
      <w:numFmt w:val="decimal"/>
      <w:isLgl/>
      <w:lvlText w:val="%1.%2"/>
      <w:lvlJc w:val="left"/>
      <w:pPr>
        <w:ind w:left="1110" w:hanging="39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160" w:hanging="1440"/>
      </w:pPr>
      <w:rPr>
        <w:rFonts w:hint="default"/>
      </w:rPr>
    </w:lvl>
  </w:abstractNum>
  <w:abstractNum w:abstractNumId="13" w15:restartNumberingAfterBreak="0">
    <w:nsid w:val="45286529"/>
    <w:multiLevelType w:val="hybridMultilevel"/>
    <w:tmpl w:val="65B4236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47072C92"/>
    <w:multiLevelType w:val="hybridMultilevel"/>
    <w:tmpl w:val="B6FC713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5" w15:restartNumberingAfterBreak="0">
    <w:nsid w:val="4D2D7ED3"/>
    <w:multiLevelType w:val="hybridMultilevel"/>
    <w:tmpl w:val="FEB8A576"/>
    <w:lvl w:ilvl="0" w:tplc="FFFFFFFF">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6" w15:restartNumberingAfterBreak="0">
    <w:nsid w:val="4E09017A"/>
    <w:multiLevelType w:val="hybridMultilevel"/>
    <w:tmpl w:val="B32AF5A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7" w15:restartNumberingAfterBreak="0">
    <w:nsid w:val="64AF5505"/>
    <w:multiLevelType w:val="multilevel"/>
    <w:tmpl w:val="30B28C6A"/>
    <w:lvl w:ilvl="0">
      <w:start w:val="1"/>
      <w:numFmt w:val="decimal"/>
      <w:lvlText w:val="%1."/>
      <w:lvlJc w:val="left"/>
      <w:pPr>
        <w:ind w:left="720" w:hanging="360"/>
      </w:pPr>
      <w:rPr>
        <w:rFonts w:hint="default"/>
      </w:rPr>
    </w:lvl>
    <w:lvl w:ilvl="1">
      <w:start w:val="5"/>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6A9C3801"/>
    <w:multiLevelType w:val="hybridMultilevel"/>
    <w:tmpl w:val="093CC018"/>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9" w15:restartNumberingAfterBreak="0">
    <w:nsid w:val="70635808"/>
    <w:multiLevelType w:val="hybridMultilevel"/>
    <w:tmpl w:val="04B63B38"/>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0" w15:restartNumberingAfterBreak="0">
    <w:nsid w:val="731704AC"/>
    <w:multiLevelType w:val="hybridMultilevel"/>
    <w:tmpl w:val="C236102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74BC231B"/>
    <w:multiLevelType w:val="hybridMultilevel"/>
    <w:tmpl w:val="0802943C"/>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2" w15:restartNumberingAfterBreak="0">
    <w:nsid w:val="75AE5E05"/>
    <w:multiLevelType w:val="hybridMultilevel"/>
    <w:tmpl w:val="4C5E0698"/>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3" w15:restartNumberingAfterBreak="0">
    <w:nsid w:val="7BE8591E"/>
    <w:multiLevelType w:val="hybridMultilevel"/>
    <w:tmpl w:val="15B4DE1A"/>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4" w15:restartNumberingAfterBreak="0">
    <w:nsid w:val="7C593485"/>
    <w:multiLevelType w:val="multilevel"/>
    <w:tmpl w:val="0C845F60"/>
    <w:lvl w:ilvl="0">
      <w:start w:val="3"/>
      <w:numFmt w:val="decimal"/>
      <w:lvlText w:val="%1"/>
      <w:lvlJc w:val="left"/>
      <w:pPr>
        <w:ind w:left="360" w:hanging="360"/>
      </w:pPr>
      <w:rPr>
        <w:rFonts w:hint="default"/>
      </w:rPr>
    </w:lvl>
    <w:lvl w:ilvl="1">
      <w:start w:val="5"/>
      <w:numFmt w:val="decimal"/>
      <w:lvlText w:val="%1.%2"/>
      <w:lvlJc w:val="left"/>
      <w:pPr>
        <w:ind w:left="1080" w:hanging="360"/>
      </w:pPr>
      <w:rPr>
        <w:rFonts w:hint="default"/>
      </w:rPr>
    </w:lvl>
    <w:lvl w:ilvl="2">
      <w:start w:val="1"/>
      <w:numFmt w:val="lowerLetter"/>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num w:numId="1" w16cid:durableId="1352341878">
    <w:abstractNumId w:val="3"/>
  </w:num>
  <w:num w:numId="2" w16cid:durableId="1889147100">
    <w:abstractNumId w:val="13"/>
  </w:num>
  <w:num w:numId="3" w16cid:durableId="1639526249">
    <w:abstractNumId w:val="12"/>
  </w:num>
  <w:num w:numId="4" w16cid:durableId="2049642502">
    <w:abstractNumId w:val="6"/>
  </w:num>
  <w:num w:numId="5" w16cid:durableId="846673125">
    <w:abstractNumId w:val="24"/>
  </w:num>
  <w:num w:numId="6" w16cid:durableId="1626621254">
    <w:abstractNumId w:val="14"/>
  </w:num>
  <w:num w:numId="7" w16cid:durableId="1813013209">
    <w:abstractNumId w:val="22"/>
  </w:num>
  <w:num w:numId="8" w16cid:durableId="1997107274">
    <w:abstractNumId w:val="8"/>
  </w:num>
  <w:num w:numId="9" w16cid:durableId="561602155">
    <w:abstractNumId w:val="20"/>
  </w:num>
  <w:num w:numId="10" w16cid:durableId="1849518180">
    <w:abstractNumId w:val="5"/>
  </w:num>
  <w:num w:numId="11" w16cid:durableId="171797430">
    <w:abstractNumId w:val="23"/>
  </w:num>
  <w:num w:numId="12" w16cid:durableId="276185293">
    <w:abstractNumId w:val="10"/>
  </w:num>
  <w:num w:numId="13" w16cid:durableId="321586242">
    <w:abstractNumId w:val="1"/>
  </w:num>
  <w:num w:numId="14" w16cid:durableId="1823306142">
    <w:abstractNumId w:val="2"/>
  </w:num>
  <w:num w:numId="15" w16cid:durableId="384715444">
    <w:abstractNumId w:val="9"/>
  </w:num>
  <w:num w:numId="16" w16cid:durableId="217907503">
    <w:abstractNumId w:val="4"/>
  </w:num>
  <w:num w:numId="17" w16cid:durableId="952201288">
    <w:abstractNumId w:val="15"/>
  </w:num>
  <w:num w:numId="18" w16cid:durableId="1016229477">
    <w:abstractNumId w:val="21"/>
  </w:num>
  <w:num w:numId="19" w16cid:durableId="1707944706">
    <w:abstractNumId w:val="11"/>
  </w:num>
  <w:num w:numId="20" w16cid:durableId="1841120567">
    <w:abstractNumId w:val="7"/>
  </w:num>
  <w:num w:numId="21" w16cid:durableId="1681925891">
    <w:abstractNumId w:val="16"/>
  </w:num>
  <w:num w:numId="22" w16cid:durableId="1301229039">
    <w:abstractNumId w:val="17"/>
  </w:num>
  <w:num w:numId="23" w16cid:durableId="1092437579">
    <w:abstractNumId w:val="18"/>
  </w:num>
  <w:num w:numId="24" w16cid:durableId="794644368">
    <w:abstractNumId w:val="0"/>
  </w:num>
  <w:num w:numId="25" w16cid:durableId="1147624323">
    <w:abstractNumId w:val="19"/>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579C"/>
    <w:rsid w:val="00000115"/>
    <w:rsid w:val="000002A0"/>
    <w:rsid w:val="0000056D"/>
    <w:rsid w:val="00000C86"/>
    <w:rsid w:val="00001D25"/>
    <w:rsid w:val="000021D5"/>
    <w:rsid w:val="00002309"/>
    <w:rsid w:val="000025C5"/>
    <w:rsid w:val="0000263C"/>
    <w:rsid w:val="00003592"/>
    <w:rsid w:val="00003A44"/>
    <w:rsid w:val="00003A74"/>
    <w:rsid w:val="00003DCC"/>
    <w:rsid w:val="0000402C"/>
    <w:rsid w:val="000060C6"/>
    <w:rsid w:val="00006F77"/>
    <w:rsid w:val="0000797B"/>
    <w:rsid w:val="00007D38"/>
    <w:rsid w:val="00010309"/>
    <w:rsid w:val="0001091B"/>
    <w:rsid w:val="00010EFC"/>
    <w:rsid w:val="00011854"/>
    <w:rsid w:val="00011AA6"/>
    <w:rsid w:val="00011BFC"/>
    <w:rsid w:val="00011C4E"/>
    <w:rsid w:val="00012169"/>
    <w:rsid w:val="0001299F"/>
    <w:rsid w:val="0001399D"/>
    <w:rsid w:val="00013A78"/>
    <w:rsid w:val="000146AF"/>
    <w:rsid w:val="00015045"/>
    <w:rsid w:val="000201DE"/>
    <w:rsid w:val="00020277"/>
    <w:rsid w:val="00020594"/>
    <w:rsid w:val="000208EB"/>
    <w:rsid w:val="00021784"/>
    <w:rsid w:val="0002339B"/>
    <w:rsid w:val="0002346C"/>
    <w:rsid w:val="00023C9D"/>
    <w:rsid w:val="00023D96"/>
    <w:rsid w:val="00023F09"/>
    <w:rsid w:val="00024259"/>
    <w:rsid w:val="0002476C"/>
    <w:rsid w:val="00024E46"/>
    <w:rsid w:val="00025510"/>
    <w:rsid w:val="00025593"/>
    <w:rsid w:val="00025C4B"/>
    <w:rsid w:val="00026157"/>
    <w:rsid w:val="00026479"/>
    <w:rsid w:val="000266F2"/>
    <w:rsid w:val="00026A85"/>
    <w:rsid w:val="00027086"/>
    <w:rsid w:val="00027B47"/>
    <w:rsid w:val="00030C4C"/>
    <w:rsid w:val="000324A9"/>
    <w:rsid w:val="000326DE"/>
    <w:rsid w:val="000328A8"/>
    <w:rsid w:val="00032BAA"/>
    <w:rsid w:val="0003329B"/>
    <w:rsid w:val="00033340"/>
    <w:rsid w:val="00033345"/>
    <w:rsid w:val="00033D74"/>
    <w:rsid w:val="00034779"/>
    <w:rsid w:val="00034D99"/>
    <w:rsid w:val="00036FC7"/>
    <w:rsid w:val="00036FEE"/>
    <w:rsid w:val="0003742B"/>
    <w:rsid w:val="00037639"/>
    <w:rsid w:val="00037AC5"/>
    <w:rsid w:val="00037B6B"/>
    <w:rsid w:val="00040056"/>
    <w:rsid w:val="00040B4E"/>
    <w:rsid w:val="000413A8"/>
    <w:rsid w:val="00041536"/>
    <w:rsid w:val="000420B6"/>
    <w:rsid w:val="00043148"/>
    <w:rsid w:val="0004360C"/>
    <w:rsid w:val="00043BCD"/>
    <w:rsid w:val="000448E1"/>
    <w:rsid w:val="00044A2C"/>
    <w:rsid w:val="000451F6"/>
    <w:rsid w:val="000462F9"/>
    <w:rsid w:val="000466B5"/>
    <w:rsid w:val="000474E2"/>
    <w:rsid w:val="00047EB5"/>
    <w:rsid w:val="00050FB0"/>
    <w:rsid w:val="00051111"/>
    <w:rsid w:val="00051420"/>
    <w:rsid w:val="00051621"/>
    <w:rsid w:val="0005251F"/>
    <w:rsid w:val="000526D4"/>
    <w:rsid w:val="000528E7"/>
    <w:rsid w:val="00052F0E"/>
    <w:rsid w:val="000530E3"/>
    <w:rsid w:val="0005350C"/>
    <w:rsid w:val="000537BB"/>
    <w:rsid w:val="00053F5C"/>
    <w:rsid w:val="000545D4"/>
    <w:rsid w:val="00054F48"/>
    <w:rsid w:val="00055207"/>
    <w:rsid w:val="000554E9"/>
    <w:rsid w:val="000563B3"/>
    <w:rsid w:val="00056886"/>
    <w:rsid w:val="00056F2D"/>
    <w:rsid w:val="00057017"/>
    <w:rsid w:val="00057CBD"/>
    <w:rsid w:val="00060298"/>
    <w:rsid w:val="0006110F"/>
    <w:rsid w:val="000613C1"/>
    <w:rsid w:val="00063139"/>
    <w:rsid w:val="000635C1"/>
    <w:rsid w:val="000640D9"/>
    <w:rsid w:val="00064639"/>
    <w:rsid w:val="00064D70"/>
    <w:rsid w:val="000653CA"/>
    <w:rsid w:val="00065D07"/>
    <w:rsid w:val="000664A8"/>
    <w:rsid w:val="00066A05"/>
    <w:rsid w:val="000671BD"/>
    <w:rsid w:val="00067B6C"/>
    <w:rsid w:val="00070889"/>
    <w:rsid w:val="000709D4"/>
    <w:rsid w:val="00070A7B"/>
    <w:rsid w:val="00071F07"/>
    <w:rsid w:val="00072202"/>
    <w:rsid w:val="00072F6D"/>
    <w:rsid w:val="000730FA"/>
    <w:rsid w:val="00073417"/>
    <w:rsid w:val="00073540"/>
    <w:rsid w:val="000744B8"/>
    <w:rsid w:val="0007515B"/>
    <w:rsid w:val="00075572"/>
    <w:rsid w:val="00075FC3"/>
    <w:rsid w:val="000760B7"/>
    <w:rsid w:val="000767D7"/>
    <w:rsid w:val="000768D9"/>
    <w:rsid w:val="00076EC6"/>
    <w:rsid w:val="00076F3E"/>
    <w:rsid w:val="0007714B"/>
    <w:rsid w:val="00080200"/>
    <w:rsid w:val="0008069A"/>
    <w:rsid w:val="000806B9"/>
    <w:rsid w:val="000823DA"/>
    <w:rsid w:val="00082549"/>
    <w:rsid w:val="00082904"/>
    <w:rsid w:val="000859C5"/>
    <w:rsid w:val="000873AA"/>
    <w:rsid w:val="0008765D"/>
    <w:rsid w:val="00087D70"/>
    <w:rsid w:val="00091B2B"/>
    <w:rsid w:val="00091B69"/>
    <w:rsid w:val="00091EFB"/>
    <w:rsid w:val="00091FAE"/>
    <w:rsid w:val="00092391"/>
    <w:rsid w:val="0009317C"/>
    <w:rsid w:val="0009348B"/>
    <w:rsid w:val="00093B36"/>
    <w:rsid w:val="00093C35"/>
    <w:rsid w:val="00094250"/>
    <w:rsid w:val="00094F3B"/>
    <w:rsid w:val="0009578E"/>
    <w:rsid w:val="00096241"/>
    <w:rsid w:val="000963A5"/>
    <w:rsid w:val="0009655D"/>
    <w:rsid w:val="000967D1"/>
    <w:rsid w:val="00097160"/>
    <w:rsid w:val="000975DD"/>
    <w:rsid w:val="00097776"/>
    <w:rsid w:val="000A07F8"/>
    <w:rsid w:val="000A0D7B"/>
    <w:rsid w:val="000A1570"/>
    <w:rsid w:val="000A213C"/>
    <w:rsid w:val="000A3A29"/>
    <w:rsid w:val="000A3A9A"/>
    <w:rsid w:val="000A3CD9"/>
    <w:rsid w:val="000A4221"/>
    <w:rsid w:val="000A5CB6"/>
    <w:rsid w:val="000A61AA"/>
    <w:rsid w:val="000B0DC2"/>
    <w:rsid w:val="000B0FF8"/>
    <w:rsid w:val="000B1A3B"/>
    <w:rsid w:val="000B261C"/>
    <w:rsid w:val="000B2A8D"/>
    <w:rsid w:val="000B2C06"/>
    <w:rsid w:val="000B318F"/>
    <w:rsid w:val="000B33F9"/>
    <w:rsid w:val="000B3878"/>
    <w:rsid w:val="000B3B58"/>
    <w:rsid w:val="000B3E7E"/>
    <w:rsid w:val="000B41C5"/>
    <w:rsid w:val="000B4CD2"/>
    <w:rsid w:val="000B545D"/>
    <w:rsid w:val="000B5EB3"/>
    <w:rsid w:val="000B62A4"/>
    <w:rsid w:val="000B73D1"/>
    <w:rsid w:val="000B767C"/>
    <w:rsid w:val="000B7707"/>
    <w:rsid w:val="000B7BFF"/>
    <w:rsid w:val="000B7F8A"/>
    <w:rsid w:val="000C0003"/>
    <w:rsid w:val="000C03CD"/>
    <w:rsid w:val="000C0D36"/>
    <w:rsid w:val="000C0DAE"/>
    <w:rsid w:val="000C1795"/>
    <w:rsid w:val="000C1A2D"/>
    <w:rsid w:val="000C1A96"/>
    <w:rsid w:val="000C27A1"/>
    <w:rsid w:val="000C2B55"/>
    <w:rsid w:val="000C2D08"/>
    <w:rsid w:val="000C2D25"/>
    <w:rsid w:val="000C3931"/>
    <w:rsid w:val="000C3C77"/>
    <w:rsid w:val="000C4E38"/>
    <w:rsid w:val="000C4E57"/>
    <w:rsid w:val="000C5D9D"/>
    <w:rsid w:val="000C6B34"/>
    <w:rsid w:val="000C6D3A"/>
    <w:rsid w:val="000C71B2"/>
    <w:rsid w:val="000C7274"/>
    <w:rsid w:val="000C7661"/>
    <w:rsid w:val="000C78FC"/>
    <w:rsid w:val="000D1F86"/>
    <w:rsid w:val="000D256D"/>
    <w:rsid w:val="000D28C1"/>
    <w:rsid w:val="000D37BF"/>
    <w:rsid w:val="000D3BF7"/>
    <w:rsid w:val="000D6DED"/>
    <w:rsid w:val="000D6E49"/>
    <w:rsid w:val="000D7582"/>
    <w:rsid w:val="000D7E25"/>
    <w:rsid w:val="000D7FF9"/>
    <w:rsid w:val="000E21F7"/>
    <w:rsid w:val="000E360A"/>
    <w:rsid w:val="000E3C8F"/>
    <w:rsid w:val="000E40C4"/>
    <w:rsid w:val="000E4E0D"/>
    <w:rsid w:val="000E650E"/>
    <w:rsid w:val="000E6723"/>
    <w:rsid w:val="000E6944"/>
    <w:rsid w:val="000E6D04"/>
    <w:rsid w:val="000E6FF2"/>
    <w:rsid w:val="000E7096"/>
    <w:rsid w:val="000E76CF"/>
    <w:rsid w:val="000E7E27"/>
    <w:rsid w:val="000F09C0"/>
    <w:rsid w:val="000F105C"/>
    <w:rsid w:val="000F12BB"/>
    <w:rsid w:val="000F32E4"/>
    <w:rsid w:val="000F3621"/>
    <w:rsid w:val="000F3CC6"/>
    <w:rsid w:val="000F5930"/>
    <w:rsid w:val="000F72C3"/>
    <w:rsid w:val="00100F32"/>
    <w:rsid w:val="001013B0"/>
    <w:rsid w:val="00101C02"/>
    <w:rsid w:val="001028AF"/>
    <w:rsid w:val="001029A7"/>
    <w:rsid w:val="00102E8F"/>
    <w:rsid w:val="00103208"/>
    <w:rsid w:val="001036BF"/>
    <w:rsid w:val="00105134"/>
    <w:rsid w:val="00105EEC"/>
    <w:rsid w:val="00106514"/>
    <w:rsid w:val="00107225"/>
    <w:rsid w:val="00107956"/>
    <w:rsid w:val="00107966"/>
    <w:rsid w:val="00107B5D"/>
    <w:rsid w:val="00110030"/>
    <w:rsid w:val="00110319"/>
    <w:rsid w:val="001110CE"/>
    <w:rsid w:val="00111149"/>
    <w:rsid w:val="00111D6C"/>
    <w:rsid w:val="001129A3"/>
    <w:rsid w:val="00115356"/>
    <w:rsid w:val="00116920"/>
    <w:rsid w:val="001178CE"/>
    <w:rsid w:val="00117A36"/>
    <w:rsid w:val="00117D2C"/>
    <w:rsid w:val="0012027A"/>
    <w:rsid w:val="001203DE"/>
    <w:rsid w:val="00120953"/>
    <w:rsid w:val="00121B5C"/>
    <w:rsid w:val="001224BB"/>
    <w:rsid w:val="00122802"/>
    <w:rsid w:val="00122AB5"/>
    <w:rsid w:val="00122CCE"/>
    <w:rsid w:val="00123287"/>
    <w:rsid w:val="00123A96"/>
    <w:rsid w:val="00123C0E"/>
    <w:rsid w:val="00125281"/>
    <w:rsid w:val="00125555"/>
    <w:rsid w:val="00125DDF"/>
    <w:rsid w:val="00125E32"/>
    <w:rsid w:val="00126B41"/>
    <w:rsid w:val="00126E34"/>
    <w:rsid w:val="00126E47"/>
    <w:rsid w:val="001275B2"/>
    <w:rsid w:val="00130B70"/>
    <w:rsid w:val="00130C3B"/>
    <w:rsid w:val="00131C4C"/>
    <w:rsid w:val="00131D74"/>
    <w:rsid w:val="00132D92"/>
    <w:rsid w:val="00132E18"/>
    <w:rsid w:val="001332C5"/>
    <w:rsid w:val="0013334B"/>
    <w:rsid w:val="0013368E"/>
    <w:rsid w:val="001342D4"/>
    <w:rsid w:val="001356D0"/>
    <w:rsid w:val="001357FD"/>
    <w:rsid w:val="001361CA"/>
    <w:rsid w:val="001368B1"/>
    <w:rsid w:val="0013690F"/>
    <w:rsid w:val="00136D47"/>
    <w:rsid w:val="001376B2"/>
    <w:rsid w:val="00137B69"/>
    <w:rsid w:val="00141668"/>
    <w:rsid w:val="00141D31"/>
    <w:rsid w:val="00141DD4"/>
    <w:rsid w:val="0014208F"/>
    <w:rsid w:val="001422E6"/>
    <w:rsid w:val="00142573"/>
    <w:rsid w:val="00142C52"/>
    <w:rsid w:val="00142DED"/>
    <w:rsid w:val="0014383E"/>
    <w:rsid w:val="0014399E"/>
    <w:rsid w:val="00143A50"/>
    <w:rsid w:val="00143A9C"/>
    <w:rsid w:val="001440C8"/>
    <w:rsid w:val="001443D5"/>
    <w:rsid w:val="0014471B"/>
    <w:rsid w:val="00144CDF"/>
    <w:rsid w:val="0014533E"/>
    <w:rsid w:val="00145E51"/>
    <w:rsid w:val="001466CB"/>
    <w:rsid w:val="0014770C"/>
    <w:rsid w:val="00150241"/>
    <w:rsid w:val="00150514"/>
    <w:rsid w:val="0015089C"/>
    <w:rsid w:val="00150C57"/>
    <w:rsid w:val="00151019"/>
    <w:rsid w:val="00151569"/>
    <w:rsid w:val="0015228A"/>
    <w:rsid w:val="001541EC"/>
    <w:rsid w:val="00154A36"/>
    <w:rsid w:val="00160897"/>
    <w:rsid w:val="00160978"/>
    <w:rsid w:val="00160A69"/>
    <w:rsid w:val="00160BDA"/>
    <w:rsid w:val="00161625"/>
    <w:rsid w:val="001619B4"/>
    <w:rsid w:val="00161D4A"/>
    <w:rsid w:val="001629E3"/>
    <w:rsid w:val="00163549"/>
    <w:rsid w:val="001636EC"/>
    <w:rsid w:val="001636F6"/>
    <w:rsid w:val="00163B9F"/>
    <w:rsid w:val="00164447"/>
    <w:rsid w:val="001649AB"/>
    <w:rsid w:val="00164AA4"/>
    <w:rsid w:val="00164D85"/>
    <w:rsid w:val="001651DB"/>
    <w:rsid w:val="001654BC"/>
    <w:rsid w:val="001659AC"/>
    <w:rsid w:val="00165B59"/>
    <w:rsid w:val="00165DF9"/>
    <w:rsid w:val="00167E15"/>
    <w:rsid w:val="00171658"/>
    <w:rsid w:val="001718B8"/>
    <w:rsid w:val="001719B3"/>
    <w:rsid w:val="00172620"/>
    <w:rsid w:val="0017268F"/>
    <w:rsid w:val="001733A9"/>
    <w:rsid w:val="00173B1E"/>
    <w:rsid w:val="00174298"/>
    <w:rsid w:val="001745FB"/>
    <w:rsid w:val="00174BC8"/>
    <w:rsid w:val="00177E35"/>
    <w:rsid w:val="001811B5"/>
    <w:rsid w:val="0018172E"/>
    <w:rsid w:val="001819D7"/>
    <w:rsid w:val="00182144"/>
    <w:rsid w:val="00182C72"/>
    <w:rsid w:val="0018418B"/>
    <w:rsid w:val="001845B7"/>
    <w:rsid w:val="001849BA"/>
    <w:rsid w:val="00184D6B"/>
    <w:rsid w:val="00186A36"/>
    <w:rsid w:val="0019199E"/>
    <w:rsid w:val="00191F87"/>
    <w:rsid w:val="00193026"/>
    <w:rsid w:val="00193FAA"/>
    <w:rsid w:val="00194CB7"/>
    <w:rsid w:val="00194F7B"/>
    <w:rsid w:val="001953C0"/>
    <w:rsid w:val="00196CDE"/>
    <w:rsid w:val="00196F8A"/>
    <w:rsid w:val="00197990"/>
    <w:rsid w:val="001A065C"/>
    <w:rsid w:val="001A1B5A"/>
    <w:rsid w:val="001A1F5F"/>
    <w:rsid w:val="001A25FA"/>
    <w:rsid w:val="001A26FA"/>
    <w:rsid w:val="001A2EBC"/>
    <w:rsid w:val="001A3761"/>
    <w:rsid w:val="001A3A86"/>
    <w:rsid w:val="001A3EA1"/>
    <w:rsid w:val="001A3F6C"/>
    <w:rsid w:val="001A46C8"/>
    <w:rsid w:val="001A4E2F"/>
    <w:rsid w:val="001A52F9"/>
    <w:rsid w:val="001A53B9"/>
    <w:rsid w:val="001A5603"/>
    <w:rsid w:val="001A5910"/>
    <w:rsid w:val="001A7329"/>
    <w:rsid w:val="001A7BCA"/>
    <w:rsid w:val="001B071E"/>
    <w:rsid w:val="001B0EDA"/>
    <w:rsid w:val="001B27A8"/>
    <w:rsid w:val="001B3BF4"/>
    <w:rsid w:val="001B3FDF"/>
    <w:rsid w:val="001B3FFB"/>
    <w:rsid w:val="001B4FAD"/>
    <w:rsid w:val="001B5968"/>
    <w:rsid w:val="001B5A78"/>
    <w:rsid w:val="001B5C26"/>
    <w:rsid w:val="001B6327"/>
    <w:rsid w:val="001B737F"/>
    <w:rsid w:val="001B7387"/>
    <w:rsid w:val="001B7389"/>
    <w:rsid w:val="001B7F21"/>
    <w:rsid w:val="001C0FE1"/>
    <w:rsid w:val="001C13B0"/>
    <w:rsid w:val="001C1770"/>
    <w:rsid w:val="001C1A9C"/>
    <w:rsid w:val="001C1AA1"/>
    <w:rsid w:val="001C3B44"/>
    <w:rsid w:val="001C3DBB"/>
    <w:rsid w:val="001C4079"/>
    <w:rsid w:val="001C5780"/>
    <w:rsid w:val="001C58AE"/>
    <w:rsid w:val="001C5A11"/>
    <w:rsid w:val="001C5EF7"/>
    <w:rsid w:val="001C64A1"/>
    <w:rsid w:val="001C6A08"/>
    <w:rsid w:val="001D08AD"/>
    <w:rsid w:val="001D13F4"/>
    <w:rsid w:val="001D19C1"/>
    <w:rsid w:val="001D19CC"/>
    <w:rsid w:val="001D19D7"/>
    <w:rsid w:val="001D1D93"/>
    <w:rsid w:val="001D23AD"/>
    <w:rsid w:val="001D3E21"/>
    <w:rsid w:val="001D4415"/>
    <w:rsid w:val="001D44F7"/>
    <w:rsid w:val="001D4BAF"/>
    <w:rsid w:val="001D53D9"/>
    <w:rsid w:val="001E1DA4"/>
    <w:rsid w:val="001E1FAE"/>
    <w:rsid w:val="001E20E1"/>
    <w:rsid w:val="001E2573"/>
    <w:rsid w:val="001E283C"/>
    <w:rsid w:val="001E28D2"/>
    <w:rsid w:val="001E36E6"/>
    <w:rsid w:val="001E3DCF"/>
    <w:rsid w:val="001E3E62"/>
    <w:rsid w:val="001E3F5B"/>
    <w:rsid w:val="001E41B7"/>
    <w:rsid w:val="001E4403"/>
    <w:rsid w:val="001E4971"/>
    <w:rsid w:val="001E5C5D"/>
    <w:rsid w:val="001E5EFD"/>
    <w:rsid w:val="001E638C"/>
    <w:rsid w:val="001E6486"/>
    <w:rsid w:val="001E7431"/>
    <w:rsid w:val="001E7678"/>
    <w:rsid w:val="001E7B1E"/>
    <w:rsid w:val="001E7B3E"/>
    <w:rsid w:val="001F03BE"/>
    <w:rsid w:val="001F08BE"/>
    <w:rsid w:val="001F1CEA"/>
    <w:rsid w:val="001F22FB"/>
    <w:rsid w:val="001F3243"/>
    <w:rsid w:val="001F47FD"/>
    <w:rsid w:val="001F5058"/>
    <w:rsid w:val="001F53AE"/>
    <w:rsid w:val="001F575C"/>
    <w:rsid w:val="001F57DD"/>
    <w:rsid w:val="001F6042"/>
    <w:rsid w:val="001F6AFB"/>
    <w:rsid w:val="001F7A32"/>
    <w:rsid w:val="001F7E16"/>
    <w:rsid w:val="0020051F"/>
    <w:rsid w:val="002005D3"/>
    <w:rsid w:val="00200EBD"/>
    <w:rsid w:val="00200F5F"/>
    <w:rsid w:val="0020433B"/>
    <w:rsid w:val="00204E79"/>
    <w:rsid w:val="002055ED"/>
    <w:rsid w:val="00206AAD"/>
    <w:rsid w:val="00207942"/>
    <w:rsid w:val="00207E7C"/>
    <w:rsid w:val="00212B38"/>
    <w:rsid w:val="00213421"/>
    <w:rsid w:val="00214B71"/>
    <w:rsid w:val="00215EB1"/>
    <w:rsid w:val="0021642F"/>
    <w:rsid w:val="0021654A"/>
    <w:rsid w:val="00217831"/>
    <w:rsid w:val="00217B8C"/>
    <w:rsid w:val="00220CE0"/>
    <w:rsid w:val="00221417"/>
    <w:rsid w:val="00221530"/>
    <w:rsid w:val="002215FF"/>
    <w:rsid w:val="00221C2B"/>
    <w:rsid w:val="002223C9"/>
    <w:rsid w:val="002225CE"/>
    <w:rsid w:val="00222859"/>
    <w:rsid w:val="002228C8"/>
    <w:rsid w:val="0022293E"/>
    <w:rsid w:val="002241E6"/>
    <w:rsid w:val="00224E23"/>
    <w:rsid w:val="00225286"/>
    <w:rsid w:val="0022569B"/>
    <w:rsid w:val="002264D9"/>
    <w:rsid w:val="002269AE"/>
    <w:rsid w:val="002270CA"/>
    <w:rsid w:val="00230113"/>
    <w:rsid w:val="002308B7"/>
    <w:rsid w:val="00230AE5"/>
    <w:rsid w:val="0023307C"/>
    <w:rsid w:val="00233532"/>
    <w:rsid w:val="002335B7"/>
    <w:rsid w:val="002354B1"/>
    <w:rsid w:val="002356A4"/>
    <w:rsid w:val="0023570F"/>
    <w:rsid w:val="00235883"/>
    <w:rsid w:val="00236B69"/>
    <w:rsid w:val="00237456"/>
    <w:rsid w:val="00237AD0"/>
    <w:rsid w:val="00237E65"/>
    <w:rsid w:val="002413E6"/>
    <w:rsid w:val="00242F9A"/>
    <w:rsid w:val="00244D56"/>
    <w:rsid w:val="002510CE"/>
    <w:rsid w:val="0025192E"/>
    <w:rsid w:val="0025209A"/>
    <w:rsid w:val="002539C7"/>
    <w:rsid w:val="002540EB"/>
    <w:rsid w:val="00254B03"/>
    <w:rsid w:val="00255659"/>
    <w:rsid w:val="00256044"/>
    <w:rsid w:val="00256374"/>
    <w:rsid w:val="0025660D"/>
    <w:rsid w:val="00256787"/>
    <w:rsid w:val="0025691C"/>
    <w:rsid w:val="00256AED"/>
    <w:rsid w:val="00256D40"/>
    <w:rsid w:val="002572DF"/>
    <w:rsid w:val="00257E07"/>
    <w:rsid w:val="00257F6E"/>
    <w:rsid w:val="00261BBA"/>
    <w:rsid w:val="002623CD"/>
    <w:rsid w:val="00262A53"/>
    <w:rsid w:val="00263865"/>
    <w:rsid w:val="00263A87"/>
    <w:rsid w:val="00264123"/>
    <w:rsid w:val="00264571"/>
    <w:rsid w:val="00264880"/>
    <w:rsid w:val="00264DFA"/>
    <w:rsid w:val="00265D0A"/>
    <w:rsid w:val="00265FAD"/>
    <w:rsid w:val="00265FC5"/>
    <w:rsid w:val="00266C99"/>
    <w:rsid w:val="0026703E"/>
    <w:rsid w:val="00267B08"/>
    <w:rsid w:val="0027063D"/>
    <w:rsid w:val="00270BEB"/>
    <w:rsid w:val="00270FDD"/>
    <w:rsid w:val="00271E95"/>
    <w:rsid w:val="00271F6F"/>
    <w:rsid w:val="002723F2"/>
    <w:rsid w:val="00275483"/>
    <w:rsid w:val="00276683"/>
    <w:rsid w:val="00276EAC"/>
    <w:rsid w:val="00276F9C"/>
    <w:rsid w:val="00277000"/>
    <w:rsid w:val="0027735F"/>
    <w:rsid w:val="0028007B"/>
    <w:rsid w:val="002805D6"/>
    <w:rsid w:val="00280D7A"/>
    <w:rsid w:val="002818C0"/>
    <w:rsid w:val="00281FEC"/>
    <w:rsid w:val="0028288F"/>
    <w:rsid w:val="0028321E"/>
    <w:rsid w:val="00283627"/>
    <w:rsid w:val="00283A91"/>
    <w:rsid w:val="00283AF0"/>
    <w:rsid w:val="0028410E"/>
    <w:rsid w:val="00284CFD"/>
    <w:rsid w:val="00285297"/>
    <w:rsid w:val="002853FD"/>
    <w:rsid w:val="00285448"/>
    <w:rsid w:val="002856CC"/>
    <w:rsid w:val="00286A7D"/>
    <w:rsid w:val="00287B28"/>
    <w:rsid w:val="002912E2"/>
    <w:rsid w:val="0029189A"/>
    <w:rsid w:val="00291DEC"/>
    <w:rsid w:val="00291E65"/>
    <w:rsid w:val="002929F2"/>
    <w:rsid w:val="00293477"/>
    <w:rsid w:val="002937D6"/>
    <w:rsid w:val="002939DE"/>
    <w:rsid w:val="00294E27"/>
    <w:rsid w:val="00294EE1"/>
    <w:rsid w:val="002957E2"/>
    <w:rsid w:val="00295A7A"/>
    <w:rsid w:val="00297498"/>
    <w:rsid w:val="0029791E"/>
    <w:rsid w:val="00297A64"/>
    <w:rsid w:val="002A01CE"/>
    <w:rsid w:val="002A0E96"/>
    <w:rsid w:val="002A10DE"/>
    <w:rsid w:val="002A180F"/>
    <w:rsid w:val="002A1963"/>
    <w:rsid w:val="002A284F"/>
    <w:rsid w:val="002A2DBF"/>
    <w:rsid w:val="002A3200"/>
    <w:rsid w:val="002A3CD6"/>
    <w:rsid w:val="002A4081"/>
    <w:rsid w:val="002A4F83"/>
    <w:rsid w:val="002A5048"/>
    <w:rsid w:val="002A5D82"/>
    <w:rsid w:val="002A6550"/>
    <w:rsid w:val="002A69C7"/>
    <w:rsid w:val="002A6FB1"/>
    <w:rsid w:val="002A7E2F"/>
    <w:rsid w:val="002A7FC5"/>
    <w:rsid w:val="002B0081"/>
    <w:rsid w:val="002B010D"/>
    <w:rsid w:val="002B358E"/>
    <w:rsid w:val="002B3714"/>
    <w:rsid w:val="002B4D2E"/>
    <w:rsid w:val="002B5CAF"/>
    <w:rsid w:val="002B5E20"/>
    <w:rsid w:val="002B64BF"/>
    <w:rsid w:val="002B6AE1"/>
    <w:rsid w:val="002B6B73"/>
    <w:rsid w:val="002B6D5A"/>
    <w:rsid w:val="002B6FD7"/>
    <w:rsid w:val="002B7F29"/>
    <w:rsid w:val="002C07A1"/>
    <w:rsid w:val="002C0FFD"/>
    <w:rsid w:val="002C10C7"/>
    <w:rsid w:val="002C1248"/>
    <w:rsid w:val="002C1645"/>
    <w:rsid w:val="002C1A66"/>
    <w:rsid w:val="002C21C7"/>
    <w:rsid w:val="002C2A09"/>
    <w:rsid w:val="002C2FA2"/>
    <w:rsid w:val="002C4124"/>
    <w:rsid w:val="002C490B"/>
    <w:rsid w:val="002C4DC5"/>
    <w:rsid w:val="002C4E18"/>
    <w:rsid w:val="002C53AF"/>
    <w:rsid w:val="002C5B4F"/>
    <w:rsid w:val="002C5D67"/>
    <w:rsid w:val="002C605C"/>
    <w:rsid w:val="002C624B"/>
    <w:rsid w:val="002C7245"/>
    <w:rsid w:val="002C7D19"/>
    <w:rsid w:val="002D041D"/>
    <w:rsid w:val="002D04D4"/>
    <w:rsid w:val="002D0DAE"/>
    <w:rsid w:val="002D1510"/>
    <w:rsid w:val="002D1CF3"/>
    <w:rsid w:val="002D2361"/>
    <w:rsid w:val="002D34D6"/>
    <w:rsid w:val="002D35A4"/>
    <w:rsid w:val="002D35DD"/>
    <w:rsid w:val="002D4213"/>
    <w:rsid w:val="002D4265"/>
    <w:rsid w:val="002D46E2"/>
    <w:rsid w:val="002D4817"/>
    <w:rsid w:val="002D5445"/>
    <w:rsid w:val="002D5EEB"/>
    <w:rsid w:val="002D63B4"/>
    <w:rsid w:val="002D6A2C"/>
    <w:rsid w:val="002D6D1B"/>
    <w:rsid w:val="002D79F9"/>
    <w:rsid w:val="002D7C20"/>
    <w:rsid w:val="002E0588"/>
    <w:rsid w:val="002E0CDA"/>
    <w:rsid w:val="002E1871"/>
    <w:rsid w:val="002E3AA7"/>
    <w:rsid w:val="002E41D0"/>
    <w:rsid w:val="002E41D7"/>
    <w:rsid w:val="002E426F"/>
    <w:rsid w:val="002E4818"/>
    <w:rsid w:val="002E577E"/>
    <w:rsid w:val="002E583C"/>
    <w:rsid w:val="002E585F"/>
    <w:rsid w:val="002E5AC7"/>
    <w:rsid w:val="002E6038"/>
    <w:rsid w:val="002E6ED4"/>
    <w:rsid w:val="002F082D"/>
    <w:rsid w:val="002F084B"/>
    <w:rsid w:val="002F0871"/>
    <w:rsid w:val="002F091D"/>
    <w:rsid w:val="002F19D9"/>
    <w:rsid w:val="002F1BD8"/>
    <w:rsid w:val="002F2043"/>
    <w:rsid w:val="002F3EC9"/>
    <w:rsid w:val="002F4590"/>
    <w:rsid w:val="002F64CB"/>
    <w:rsid w:val="002F6CE6"/>
    <w:rsid w:val="002F7510"/>
    <w:rsid w:val="002F75A9"/>
    <w:rsid w:val="00301C35"/>
    <w:rsid w:val="003022DF"/>
    <w:rsid w:val="00304305"/>
    <w:rsid w:val="00304364"/>
    <w:rsid w:val="00304AB9"/>
    <w:rsid w:val="0030517F"/>
    <w:rsid w:val="00305303"/>
    <w:rsid w:val="0030549E"/>
    <w:rsid w:val="00305862"/>
    <w:rsid w:val="0030645D"/>
    <w:rsid w:val="00306A08"/>
    <w:rsid w:val="00307664"/>
    <w:rsid w:val="00307E28"/>
    <w:rsid w:val="003112DC"/>
    <w:rsid w:val="00311357"/>
    <w:rsid w:val="00311C29"/>
    <w:rsid w:val="00311CB0"/>
    <w:rsid w:val="00312782"/>
    <w:rsid w:val="0031323C"/>
    <w:rsid w:val="00313411"/>
    <w:rsid w:val="00313B92"/>
    <w:rsid w:val="003164F4"/>
    <w:rsid w:val="00316828"/>
    <w:rsid w:val="00316974"/>
    <w:rsid w:val="003170C3"/>
    <w:rsid w:val="00317B47"/>
    <w:rsid w:val="00320624"/>
    <w:rsid w:val="0032077E"/>
    <w:rsid w:val="00321323"/>
    <w:rsid w:val="003217A8"/>
    <w:rsid w:val="00322006"/>
    <w:rsid w:val="003220E1"/>
    <w:rsid w:val="00322329"/>
    <w:rsid w:val="003224B5"/>
    <w:rsid w:val="0032338D"/>
    <w:rsid w:val="00324434"/>
    <w:rsid w:val="00324574"/>
    <w:rsid w:val="00324827"/>
    <w:rsid w:val="003251B1"/>
    <w:rsid w:val="00325C98"/>
    <w:rsid w:val="00325D12"/>
    <w:rsid w:val="0032609C"/>
    <w:rsid w:val="0032635C"/>
    <w:rsid w:val="0033063F"/>
    <w:rsid w:val="00330F93"/>
    <w:rsid w:val="003321F4"/>
    <w:rsid w:val="00332421"/>
    <w:rsid w:val="00332558"/>
    <w:rsid w:val="003329A6"/>
    <w:rsid w:val="00332B54"/>
    <w:rsid w:val="00332B70"/>
    <w:rsid w:val="0033319B"/>
    <w:rsid w:val="00333F1D"/>
    <w:rsid w:val="00334665"/>
    <w:rsid w:val="00334EBF"/>
    <w:rsid w:val="0033549A"/>
    <w:rsid w:val="003357C0"/>
    <w:rsid w:val="003358EF"/>
    <w:rsid w:val="00336E06"/>
    <w:rsid w:val="00336FD4"/>
    <w:rsid w:val="00337725"/>
    <w:rsid w:val="00337771"/>
    <w:rsid w:val="00337B2A"/>
    <w:rsid w:val="00340662"/>
    <w:rsid w:val="00340F95"/>
    <w:rsid w:val="00341019"/>
    <w:rsid w:val="003412A6"/>
    <w:rsid w:val="0034175B"/>
    <w:rsid w:val="00341835"/>
    <w:rsid w:val="00342AFE"/>
    <w:rsid w:val="00343EA2"/>
    <w:rsid w:val="003442E5"/>
    <w:rsid w:val="0034504C"/>
    <w:rsid w:val="00345A13"/>
    <w:rsid w:val="003460BC"/>
    <w:rsid w:val="00346AF9"/>
    <w:rsid w:val="003473EA"/>
    <w:rsid w:val="00350A6B"/>
    <w:rsid w:val="00350E9E"/>
    <w:rsid w:val="00351DF1"/>
    <w:rsid w:val="00351EA6"/>
    <w:rsid w:val="00352348"/>
    <w:rsid w:val="00353876"/>
    <w:rsid w:val="00355DAD"/>
    <w:rsid w:val="003560E1"/>
    <w:rsid w:val="00356716"/>
    <w:rsid w:val="00357954"/>
    <w:rsid w:val="00360783"/>
    <w:rsid w:val="003607D1"/>
    <w:rsid w:val="00360AFD"/>
    <w:rsid w:val="003630D9"/>
    <w:rsid w:val="00363910"/>
    <w:rsid w:val="00363955"/>
    <w:rsid w:val="00363DA8"/>
    <w:rsid w:val="00364000"/>
    <w:rsid w:val="0036486A"/>
    <w:rsid w:val="003649B3"/>
    <w:rsid w:val="0036509E"/>
    <w:rsid w:val="00365317"/>
    <w:rsid w:val="003653D4"/>
    <w:rsid w:val="0036561A"/>
    <w:rsid w:val="00365640"/>
    <w:rsid w:val="00365A9A"/>
    <w:rsid w:val="00366475"/>
    <w:rsid w:val="0036683F"/>
    <w:rsid w:val="003674E6"/>
    <w:rsid w:val="003677F8"/>
    <w:rsid w:val="00370B18"/>
    <w:rsid w:val="00371992"/>
    <w:rsid w:val="00373A51"/>
    <w:rsid w:val="00373AC9"/>
    <w:rsid w:val="00374002"/>
    <w:rsid w:val="00374D93"/>
    <w:rsid w:val="003758A1"/>
    <w:rsid w:val="00377098"/>
    <w:rsid w:val="00377224"/>
    <w:rsid w:val="00377CBE"/>
    <w:rsid w:val="00380AFC"/>
    <w:rsid w:val="00380E94"/>
    <w:rsid w:val="00381962"/>
    <w:rsid w:val="00381CFE"/>
    <w:rsid w:val="00381DEB"/>
    <w:rsid w:val="00382296"/>
    <w:rsid w:val="00382773"/>
    <w:rsid w:val="0038279D"/>
    <w:rsid w:val="00382808"/>
    <w:rsid w:val="0038333F"/>
    <w:rsid w:val="00383C99"/>
    <w:rsid w:val="00385023"/>
    <w:rsid w:val="003864E0"/>
    <w:rsid w:val="003865FF"/>
    <w:rsid w:val="0038730F"/>
    <w:rsid w:val="00387616"/>
    <w:rsid w:val="00387737"/>
    <w:rsid w:val="00387A17"/>
    <w:rsid w:val="00387BA2"/>
    <w:rsid w:val="00390147"/>
    <w:rsid w:val="00390595"/>
    <w:rsid w:val="003907AE"/>
    <w:rsid w:val="00390828"/>
    <w:rsid w:val="00390A98"/>
    <w:rsid w:val="00391214"/>
    <w:rsid w:val="00391444"/>
    <w:rsid w:val="00391CC4"/>
    <w:rsid w:val="00391CE6"/>
    <w:rsid w:val="00392018"/>
    <w:rsid w:val="0039497D"/>
    <w:rsid w:val="00394DD3"/>
    <w:rsid w:val="003958B3"/>
    <w:rsid w:val="00396BC7"/>
    <w:rsid w:val="00397280"/>
    <w:rsid w:val="00397369"/>
    <w:rsid w:val="003A0278"/>
    <w:rsid w:val="003A031B"/>
    <w:rsid w:val="003A1A45"/>
    <w:rsid w:val="003A262F"/>
    <w:rsid w:val="003A2A76"/>
    <w:rsid w:val="003A2EE1"/>
    <w:rsid w:val="003A2FC3"/>
    <w:rsid w:val="003A33B4"/>
    <w:rsid w:val="003A4965"/>
    <w:rsid w:val="003A5220"/>
    <w:rsid w:val="003A5A64"/>
    <w:rsid w:val="003A5D82"/>
    <w:rsid w:val="003A5E0C"/>
    <w:rsid w:val="003A6641"/>
    <w:rsid w:val="003A6DAE"/>
    <w:rsid w:val="003A6DF6"/>
    <w:rsid w:val="003A7132"/>
    <w:rsid w:val="003B083F"/>
    <w:rsid w:val="003B177F"/>
    <w:rsid w:val="003B19C1"/>
    <w:rsid w:val="003B1B49"/>
    <w:rsid w:val="003B2051"/>
    <w:rsid w:val="003B2670"/>
    <w:rsid w:val="003B2AC8"/>
    <w:rsid w:val="003B2D4D"/>
    <w:rsid w:val="003B346A"/>
    <w:rsid w:val="003B3A30"/>
    <w:rsid w:val="003B3D10"/>
    <w:rsid w:val="003B52D4"/>
    <w:rsid w:val="003B60AC"/>
    <w:rsid w:val="003B6277"/>
    <w:rsid w:val="003B6383"/>
    <w:rsid w:val="003B6D82"/>
    <w:rsid w:val="003C04EA"/>
    <w:rsid w:val="003C0662"/>
    <w:rsid w:val="003C0C6C"/>
    <w:rsid w:val="003C17BD"/>
    <w:rsid w:val="003C1D88"/>
    <w:rsid w:val="003C2231"/>
    <w:rsid w:val="003C2301"/>
    <w:rsid w:val="003C2FB2"/>
    <w:rsid w:val="003C3BDF"/>
    <w:rsid w:val="003C3DA9"/>
    <w:rsid w:val="003C4326"/>
    <w:rsid w:val="003C4407"/>
    <w:rsid w:val="003C44FF"/>
    <w:rsid w:val="003C49E3"/>
    <w:rsid w:val="003C4C59"/>
    <w:rsid w:val="003C4E2E"/>
    <w:rsid w:val="003C5191"/>
    <w:rsid w:val="003C66B4"/>
    <w:rsid w:val="003C7E6F"/>
    <w:rsid w:val="003D022E"/>
    <w:rsid w:val="003D0F65"/>
    <w:rsid w:val="003D1783"/>
    <w:rsid w:val="003D2335"/>
    <w:rsid w:val="003D2940"/>
    <w:rsid w:val="003D309A"/>
    <w:rsid w:val="003D3137"/>
    <w:rsid w:val="003D3A16"/>
    <w:rsid w:val="003D4477"/>
    <w:rsid w:val="003D5427"/>
    <w:rsid w:val="003D6166"/>
    <w:rsid w:val="003D737C"/>
    <w:rsid w:val="003E01D3"/>
    <w:rsid w:val="003E040C"/>
    <w:rsid w:val="003E0817"/>
    <w:rsid w:val="003E0909"/>
    <w:rsid w:val="003E0AD4"/>
    <w:rsid w:val="003E119B"/>
    <w:rsid w:val="003E16FC"/>
    <w:rsid w:val="003E2677"/>
    <w:rsid w:val="003E3214"/>
    <w:rsid w:val="003E33EA"/>
    <w:rsid w:val="003E3487"/>
    <w:rsid w:val="003E3B45"/>
    <w:rsid w:val="003E3FF3"/>
    <w:rsid w:val="003E439F"/>
    <w:rsid w:val="003E4412"/>
    <w:rsid w:val="003E577A"/>
    <w:rsid w:val="003E580B"/>
    <w:rsid w:val="003E5CD9"/>
    <w:rsid w:val="003E5E20"/>
    <w:rsid w:val="003E6BD8"/>
    <w:rsid w:val="003E796A"/>
    <w:rsid w:val="003E7D48"/>
    <w:rsid w:val="003E7DDB"/>
    <w:rsid w:val="003F0281"/>
    <w:rsid w:val="003F1041"/>
    <w:rsid w:val="003F15F9"/>
    <w:rsid w:val="003F1F88"/>
    <w:rsid w:val="003F24CC"/>
    <w:rsid w:val="003F2878"/>
    <w:rsid w:val="003F2F62"/>
    <w:rsid w:val="003F31A6"/>
    <w:rsid w:val="003F33E6"/>
    <w:rsid w:val="003F3B4D"/>
    <w:rsid w:val="003F4DED"/>
    <w:rsid w:val="003F576E"/>
    <w:rsid w:val="003F6059"/>
    <w:rsid w:val="003F6706"/>
    <w:rsid w:val="003F77BC"/>
    <w:rsid w:val="00400C46"/>
    <w:rsid w:val="00400C55"/>
    <w:rsid w:val="00400C8A"/>
    <w:rsid w:val="0040114C"/>
    <w:rsid w:val="00404C44"/>
    <w:rsid w:val="00404CF5"/>
    <w:rsid w:val="00404EA3"/>
    <w:rsid w:val="00405032"/>
    <w:rsid w:val="0040690B"/>
    <w:rsid w:val="00406995"/>
    <w:rsid w:val="0040721D"/>
    <w:rsid w:val="00410662"/>
    <w:rsid w:val="00410A79"/>
    <w:rsid w:val="00410D0C"/>
    <w:rsid w:val="00410D8A"/>
    <w:rsid w:val="00410FF1"/>
    <w:rsid w:val="0041221C"/>
    <w:rsid w:val="004123FE"/>
    <w:rsid w:val="00412665"/>
    <w:rsid w:val="004127C5"/>
    <w:rsid w:val="00412A63"/>
    <w:rsid w:val="00412FC8"/>
    <w:rsid w:val="00413372"/>
    <w:rsid w:val="0041373F"/>
    <w:rsid w:val="0041381D"/>
    <w:rsid w:val="00413BAC"/>
    <w:rsid w:val="00413EB4"/>
    <w:rsid w:val="0041595F"/>
    <w:rsid w:val="00415C6E"/>
    <w:rsid w:val="00415D2F"/>
    <w:rsid w:val="0041625F"/>
    <w:rsid w:val="00416630"/>
    <w:rsid w:val="00416644"/>
    <w:rsid w:val="00416AB8"/>
    <w:rsid w:val="00416F43"/>
    <w:rsid w:val="004171BE"/>
    <w:rsid w:val="0041745B"/>
    <w:rsid w:val="00417551"/>
    <w:rsid w:val="004176FB"/>
    <w:rsid w:val="00417887"/>
    <w:rsid w:val="00417CA6"/>
    <w:rsid w:val="00420333"/>
    <w:rsid w:val="00421011"/>
    <w:rsid w:val="004213FB"/>
    <w:rsid w:val="00421823"/>
    <w:rsid w:val="00422282"/>
    <w:rsid w:val="00422D31"/>
    <w:rsid w:val="00423187"/>
    <w:rsid w:val="00423A08"/>
    <w:rsid w:val="00423B24"/>
    <w:rsid w:val="0042442D"/>
    <w:rsid w:val="00424AA3"/>
    <w:rsid w:val="00425BCE"/>
    <w:rsid w:val="00426382"/>
    <w:rsid w:val="00426538"/>
    <w:rsid w:val="00427636"/>
    <w:rsid w:val="00427789"/>
    <w:rsid w:val="00430498"/>
    <w:rsid w:val="00431059"/>
    <w:rsid w:val="004313F4"/>
    <w:rsid w:val="0043162F"/>
    <w:rsid w:val="0043176E"/>
    <w:rsid w:val="00431D68"/>
    <w:rsid w:val="00432620"/>
    <w:rsid w:val="004326A9"/>
    <w:rsid w:val="00432948"/>
    <w:rsid w:val="00432DBC"/>
    <w:rsid w:val="00433053"/>
    <w:rsid w:val="0043313F"/>
    <w:rsid w:val="004341AE"/>
    <w:rsid w:val="004347BD"/>
    <w:rsid w:val="00434807"/>
    <w:rsid w:val="00434A10"/>
    <w:rsid w:val="00435D0D"/>
    <w:rsid w:val="0043698F"/>
    <w:rsid w:val="00437C00"/>
    <w:rsid w:val="00437C7F"/>
    <w:rsid w:val="00437F1A"/>
    <w:rsid w:val="004401FD"/>
    <w:rsid w:val="00441669"/>
    <w:rsid w:val="0044235E"/>
    <w:rsid w:val="00442CF8"/>
    <w:rsid w:val="004430F4"/>
    <w:rsid w:val="0044375E"/>
    <w:rsid w:val="00444DA6"/>
    <w:rsid w:val="00444FEC"/>
    <w:rsid w:val="00445014"/>
    <w:rsid w:val="00445484"/>
    <w:rsid w:val="00445566"/>
    <w:rsid w:val="004455EC"/>
    <w:rsid w:val="00445986"/>
    <w:rsid w:val="00445DBA"/>
    <w:rsid w:val="004465BF"/>
    <w:rsid w:val="0044660E"/>
    <w:rsid w:val="004468CA"/>
    <w:rsid w:val="00446AC1"/>
    <w:rsid w:val="00446B5C"/>
    <w:rsid w:val="00446C3C"/>
    <w:rsid w:val="00447462"/>
    <w:rsid w:val="00450774"/>
    <w:rsid w:val="00451506"/>
    <w:rsid w:val="00451E59"/>
    <w:rsid w:val="00452050"/>
    <w:rsid w:val="0045294F"/>
    <w:rsid w:val="00453D19"/>
    <w:rsid w:val="004541A2"/>
    <w:rsid w:val="004543AA"/>
    <w:rsid w:val="00454413"/>
    <w:rsid w:val="004546AE"/>
    <w:rsid w:val="00455FE9"/>
    <w:rsid w:val="00457DEB"/>
    <w:rsid w:val="00457E68"/>
    <w:rsid w:val="00457F3F"/>
    <w:rsid w:val="004626A0"/>
    <w:rsid w:val="00462E7F"/>
    <w:rsid w:val="00464352"/>
    <w:rsid w:val="004643EA"/>
    <w:rsid w:val="00464EDE"/>
    <w:rsid w:val="00465B02"/>
    <w:rsid w:val="00466648"/>
    <w:rsid w:val="00467518"/>
    <w:rsid w:val="00467A30"/>
    <w:rsid w:val="004703C2"/>
    <w:rsid w:val="00470B7B"/>
    <w:rsid w:val="0047119D"/>
    <w:rsid w:val="00471B77"/>
    <w:rsid w:val="00471C0E"/>
    <w:rsid w:val="00471F8C"/>
    <w:rsid w:val="00472800"/>
    <w:rsid w:val="00473604"/>
    <w:rsid w:val="0047467C"/>
    <w:rsid w:val="00474AD4"/>
    <w:rsid w:val="00474EC1"/>
    <w:rsid w:val="00475172"/>
    <w:rsid w:val="0047563C"/>
    <w:rsid w:val="004756F8"/>
    <w:rsid w:val="004758C1"/>
    <w:rsid w:val="00475F7A"/>
    <w:rsid w:val="00476396"/>
    <w:rsid w:val="004763A5"/>
    <w:rsid w:val="00476A91"/>
    <w:rsid w:val="0047779C"/>
    <w:rsid w:val="004806C5"/>
    <w:rsid w:val="00480BDC"/>
    <w:rsid w:val="00480CC0"/>
    <w:rsid w:val="00481681"/>
    <w:rsid w:val="0048229B"/>
    <w:rsid w:val="004824CD"/>
    <w:rsid w:val="00483515"/>
    <w:rsid w:val="00483B8C"/>
    <w:rsid w:val="004849CE"/>
    <w:rsid w:val="00484C2F"/>
    <w:rsid w:val="00485028"/>
    <w:rsid w:val="00485372"/>
    <w:rsid w:val="004854D6"/>
    <w:rsid w:val="00485D41"/>
    <w:rsid w:val="0048648B"/>
    <w:rsid w:val="00486A9E"/>
    <w:rsid w:val="00486FC6"/>
    <w:rsid w:val="00487F1A"/>
    <w:rsid w:val="004905B9"/>
    <w:rsid w:val="00490C01"/>
    <w:rsid w:val="00490EEF"/>
    <w:rsid w:val="004914C7"/>
    <w:rsid w:val="004915B5"/>
    <w:rsid w:val="00492C9A"/>
    <w:rsid w:val="004933CB"/>
    <w:rsid w:val="004935FE"/>
    <w:rsid w:val="00493FEA"/>
    <w:rsid w:val="0049561F"/>
    <w:rsid w:val="00495961"/>
    <w:rsid w:val="0049761F"/>
    <w:rsid w:val="004978DA"/>
    <w:rsid w:val="004A0180"/>
    <w:rsid w:val="004A1094"/>
    <w:rsid w:val="004A10FF"/>
    <w:rsid w:val="004A1C66"/>
    <w:rsid w:val="004A27B8"/>
    <w:rsid w:val="004A2A12"/>
    <w:rsid w:val="004A300E"/>
    <w:rsid w:val="004A3293"/>
    <w:rsid w:val="004A4DAA"/>
    <w:rsid w:val="004A54DA"/>
    <w:rsid w:val="004A57C2"/>
    <w:rsid w:val="004A6058"/>
    <w:rsid w:val="004A6D7E"/>
    <w:rsid w:val="004A7D86"/>
    <w:rsid w:val="004B017D"/>
    <w:rsid w:val="004B0D0A"/>
    <w:rsid w:val="004B149B"/>
    <w:rsid w:val="004B17BB"/>
    <w:rsid w:val="004B1B5A"/>
    <w:rsid w:val="004B3B84"/>
    <w:rsid w:val="004B4173"/>
    <w:rsid w:val="004B53F4"/>
    <w:rsid w:val="004B5659"/>
    <w:rsid w:val="004B6514"/>
    <w:rsid w:val="004B774A"/>
    <w:rsid w:val="004C023B"/>
    <w:rsid w:val="004C075F"/>
    <w:rsid w:val="004C0B05"/>
    <w:rsid w:val="004C0F35"/>
    <w:rsid w:val="004C1254"/>
    <w:rsid w:val="004C23EF"/>
    <w:rsid w:val="004C2F3B"/>
    <w:rsid w:val="004C328E"/>
    <w:rsid w:val="004C3397"/>
    <w:rsid w:val="004C3482"/>
    <w:rsid w:val="004C35D6"/>
    <w:rsid w:val="004C3CC4"/>
    <w:rsid w:val="004C4159"/>
    <w:rsid w:val="004C5FFB"/>
    <w:rsid w:val="004D1587"/>
    <w:rsid w:val="004D1750"/>
    <w:rsid w:val="004D1E59"/>
    <w:rsid w:val="004D3BB0"/>
    <w:rsid w:val="004D4481"/>
    <w:rsid w:val="004D6154"/>
    <w:rsid w:val="004D7A59"/>
    <w:rsid w:val="004D7F71"/>
    <w:rsid w:val="004E15DC"/>
    <w:rsid w:val="004E2C20"/>
    <w:rsid w:val="004E44DF"/>
    <w:rsid w:val="004E530E"/>
    <w:rsid w:val="004E5DE9"/>
    <w:rsid w:val="004E6D9D"/>
    <w:rsid w:val="004E7690"/>
    <w:rsid w:val="004E7D25"/>
    <w:rsid w:val="004E7E40"/>
    <w:rsid w:val="004F06AA"/>
    <w:rsid w:val="004F0D15"/>
    <w:rsid w:val="004F1247"/>
    <w:rsid w:val="004F2456"/>
    <w:rsid w:val="004F339E"/>
    <w:rsid w:val="004F37D2"/>
    <w:rsid w:val="004F4EF2"/>
    <w:rsid w:val="004F62EF"/>
    <w:rsid w:val="004F64E3"/>
    <w:rsid w:val="004F65D3"/>
    <w:rsid w:val="004F6A96"/>
    <w:rsid w:val="004F6DD5"/>
    <w:rsid w:val="004F71A8"/>
    <w:rsid w:val="004F7318"/>
    <w:rsid w:val="004F77C9"/>
    <w:rsid w:val="00501A5D"/>
    <w:rsid w:val="00501D53"/>
    <w:rsid w:val="0050228E"/>
    <w:rsid w:val="0050230C"/>
    <w:rsid w:val="005027E7"/>
    <w:rsid w:val="005032FC"/>
    <w:rsid w:val="005035DA"/>
    <w:rsid w:val="00504444"/>
    <w:rsid w:val="00505F37"/>
    <w:rsid w:val="00510840"/>
    <w:rsid w:val="0051088E"/>
    <w:rsid w:val="005108E5"/>
    <w:rsid w:val="005114B5"/>
    <w:rsid w:val="00511FD3"/>
    <w:rsid w:val="0051214E"/>
    <w:rsid w:val="00512357"/>
    <w:rsid w:val="005124BD"/>
    <w:rsid w:val="0051287C"/>
    <w:rsid w:val="005129D2"/>
    <w:rsid w:val="00513567"/>
    <w:rsid w:val="00513623"/>
    <w:rsid w:val="00514343"/>
    <w:rsid w:val="00514AA4"/>
    <w:rsid w:val="00514EAE"/>
    <w:rsid w:val="00516EF8"/>
    <w:rsid w:val="0051798F"/>
    <w:rsid w:val="00517A7E"/>
    <w:rsid w:val="00517C2A"/>
    <w:rsid w:val="005204A3"/>
    <w:rsid w:val="0052070D"/>
    <w:rsid w:val="00520864"/>
    <w:rsid w:val="00520911"/>
    <w:rsid w:val="00521E08"/>
    <w:rsid w:val="00521F84"/>
    <w:rsid w:val="0052296A"/>
    <w:rsid w:val="00523542"/>
    <w:rsid w:val="00523AD5"/>
    <w:rsid w:val="00525D9C"/>
    <w:rsid w:val="00527575"/>
    <w:rsid w:val="00527EFD"/>
    <w:rsid w:val="00527F1A"/>
    <w:rsid w:val="00530D42"/>
    <w:rsid w:val="00532088"/>
    <w:rsid w:val="0053270C"/>
    <w:rsid w:val="00532B3C"/>
    <w:rsid w:val="00532C74"/>
    <w:rsid w:val="00533234"/>
    <w:rsid w:val="00534604"/>
    <w:rsid w:val="00534C82"/>
    <w:rsid w:val="005355C3"/>
    <w:rsid w:val="005357EF"/>
    <w:rsid w:val="0053627A"/>
    <w:rsid w:val="00536C41"/>
    <w:rsid w:val="00536C90"/>
    <w:rsid w:val="00536FFA"/>
    <w:rsid w:val="00537190"/>
    <w:rsid w:val="00537E65"/>
    <w:rsid w:val="00540BD0"/>
    <w:rsid w:val="0054121B"/>
    <w:rsid w:val="00543C83"/>
    <w:rsid w:val="00543CDF"/>
    <w:rsid w:val="00543F9B"/>
    <w:rsid w:val="005444F4"/>
    <w:rsid w:val="00545359"/>
    <w:rsid w:val="005459B7"/>
    <w:rsid w:val="0054691C"/>
    <w:rsid w:val="00547A46"/>
    <w:rsid w:val="00550C16"/>
    <w:rsid w:val="00551921"/>
    <w:rsid w:val="00551ADD"/>
    <w:rsid w:val="00551F21"/>
    <w:rsid w:val="005521CE"/>
    <w:rsid w:val="005522A2"/>
    <w:rsid w:val="005523E7"/>
    <w:rsid w:val="00553470"/>
    <w:rsid w:val="00553A92"/>
    <w:rsid w:val="00554983"/>
    <w:rsid w:val="00554D08"/>
    <w:rsid w:val="00554DC7"/>
    <w:rsid w:val="00555195"/>
    <w:rsid w:val="00555898"/>
    <w:rsid w:val="0055669B"/>
    <w:rsid w:val="00556B46"/>
    <w:rsid w:val="00556E73"/>
    <w:rsid w:val="00557E4E"/>
    <w:rsid w:val="00560038"/>
    <w:rsid w:val="00560A38"/>
    <w:rsid w:val="00560C16"/>
    <w:rsid w:val="00560C3E"/>
    <w:rsid w:val="005618C2"/>
    <w:rsid w:val="00561F54"/>
    <w:rsid w:val="00562E8C"/>
    <w:rsid w:val="005631C9"/>
    <w:rsid w:val="00563E07"/>
    <w:rsid w:val="00564325"/>
    <w:rsid w:val="005648CF"/>
    <w:rsid w:val="0056565F"/>
    <w:rsid w:val="00565811"/>
    <w:rsid w:val="00565875"/>
    <w:rsid w:val="00565FBB"/>
    <w:rsid w:val="00566260"/>
    <w:rsid w:val="0056638C"/>
    <w:rsid w:val="00566718"/>
    <w:rsid w:val="005679B6"/>
    <w:rsid w:val="0057009D"/>
    <w:rsid w:val="005704CF"/>
    <w:rsid w:val="00570F21"/>
    <w:rsid w:val="00571C53"/>
    <w:rsid w:val="00571CCA"/>
    <w:rsid w:val="00572CC0"/>
    <w:rsid w:val="00573321"/>
    <w:rsid w:val="005739AE"/>
    <w:rsid w:val="00573E66"/>
    <w:rsid w:val="00573FA5"/>
    <w:rsid w:val="005746CE"/>
    <w:rsid w:val="00575473"/>
    <w:rsid w:val="00575CF1"/>
    <w:rsid w:val="0057619E"/>
    <w:rsid w:val="005810CD"/>
    <w:rsid w:val="005812CD"/>
    <w:rsid w:val="00581C9C"/>
    <w:rsid w:val="00581E24"/>
    <w:rsid w:val="00581F50"/>
    <w:rsid w:val="00582148"/>
    <w:rsid w:val="00582415"/>
    <w:rsid w:val="00582F6B"/>
    <w:rsid w:val="00583BBF"/>
    <w:rsid w:val="00583FBF"/>
    <w:rsid w:val="005840E1"/>
    <w:rsid w:val="005844C7"/>
    <w:rsid w:val="005845E1"/>
    <w:rsid w:val="005852C3"/>
    <w:rsid w:val="00586BEB"/>
    <w:rsid w:val="00587CEC"/>
    <w:rsid w:val="005900D9"/>
    <w:rsid w:val="005905E3"/>
    <w:rsid w:val="005918DD"/>
    <w:rsid w:val="00591E48"/>
    <w:rsid w:val="00592020"/>
    <w:rsid w:val="00592768"/>
    <w:rsid w:val="00592C1D"/>
    <w:rsid w:val="00593405"/>
    <w:rsid w:val="00593E95"/>
    <w:rsid w:val="0059495F"/>
    <w:rsid w:val="005958A1"/>
    <w:rsid w:val="005971A9"/>
    <w:rsid w:val="00597954"/>
    <w:rsid w:val="005A01ED"/>
    <w:rsid w:val="005A06D9"/>
    <w:rsid w:val="005A10AE"/>
    <w:rsid w:val="005A2612"/>
    <w:rsid w:val="005A2711"/>
    <w:rsid w:val="005A2A05"/>
    <w:rsid w:val="005A30F9"/>
    <w:rsid w:val="005A4230"/>
    <w:rsid w:val="005A458C"/>
    <w:rsid w:val="005A5EF7"/>
    <w:rsid w:val="005A6F95"/>
    <w:rsid w:val="005A7200"/>
    <w:rsid w:val="005B04D5"/>
    <w:rsid w:val="005B0672"/>
    <w:rsid w:val="005B14C2"/>
    <w:rsid w:val="005B160E"/>
    <w:rsid w:val="005B2A53"/>
    <w:rsid w:val="005B2C04"/>
    <w:rsid w:val="005B3AAE"/>
    <w:rsid w:val="005B3BF2"/>
    <w:rsid w:val="005B3D68"/>
    <w:rsid w:val="005B532D"/>
    <w:rsid w:val="005B58E4"/>
    <w:rsid w:val="005B5958"/>
    <w:rsid w:val="005B5D47"/>
    <w:rsid w:val="005B696F"/>
    <w:rsid w:val="005B6B4D"/>
    <w:rsid w:val="005B74B7"/>
    <w:rsid w:val="005B77EB"/>
    <w:rsid w:val="005B7A23"/>
    <w:rsid w:val="005B7EDF"/>
    <w:rsid w:val="005C0172"/>
    <w:rsid w:val="005C0860"/>
    <w:rsid w:val="005C0B45"/>
    <w:rsid w:val="005C0F8B"/>
    <w:rsid w:val="005C19F4"/>
    <w:rsid w:val="005C328D"/>
    <w:rsid w:val="005C38D5"/>
    <w:rsid w:val="005C3DBB"/>
    <w:rsid w:val="005C502F"/>
    <w:rsid w:val="005C5759"/>
    <w:rsid w:val="005C6632"/>
    <w:rsid w:val="005C7144"/>
    <w:rsid w:val="005C76AD"/>
    <w:rsid w:val="005D0024"/>
    <w:rsid w:val="005D0176"/>
    <w:rsid w:val="005D0C3E"/>
    <w:rsid w:val="005D12C6"/>
    <w:rsid w:val="005D159A"/>
    <w:rsid w:val="005D16D0"/>
    <w:rsid w:val="005D24D6"/>
    <w:rsid w:val="005D2947"/>
    <w:rsid w:val="005D2BB6"/>
    <w:rsid w:val="005D2F75"/>
    <w:rsid w:val="005D4A6C"/>
    <w:rsid w:val="005D4BB2"/>
    <w:rsid w:val="005D4CEF"/>
    <w:rsid w:val="005D51D9"/>
    <w:rsid w:val="005D62F1"/>
    <w:rsid w:val="005D7078"/>
    <w:rsid w:val="005D74F9"/>
    <w:rsid w:val="005E0B5E"/>
    <w:rsid w:val="005E1204"/>
    <w:rsid w:val="005E1FAD"/>
    <w:rsid w:val="005E3287"/>
    <w:rsid w:val="005E3343"/>
    <w:rsid w:val="005E3396"/>
    <w:rsid w:val="005E3B2B"/>
    <w:rsid w:val="005E3C55"/>
    <w:rsid w:val="005E495E"/>
    <w:rsid w:val="005E54DE"/>
    <w:rsid w:val="005E598E"/>
    <w:rsid w:val="005E62B3"/>
    <w:rsid w:val="005E6596"/>
    <w:rsid w:val="005E6959"/>
    <w:rsid w:val="005E744D"/>
    <w:rsid w:val="005E7964"/>
    <w:rsid w:val="005E799E"/>
    <w:rsid w:val="005F029E"/>
    <w:rsid w:val="005F09A5"/>
    <w:rsid w:val="005F15B5"/>
    <w:rsid w:val="005F3EC7"/>
    <w:rsid w:val="005F3EDB"/>
    <w:rsid w:val="005F4ADB"/>
    <w:rsid w:val="005F528C"/>
    <w:rsid w:val="005F77D1"/>
    <w:rsid w:val="005F79EC"/>
    <w:rsid w:val="005F7FF5"/>
    <w:rsid w:val="0060002B"/>
    <w:rsid w:val="00600B32"/>
    <w:rsid w:val="00600B6A"/>
    <w:rsid w:val="006010CC"/>
    <w:rsid w:val="00602001"/>
    <w:rsid w:val="0060239B"/>
    <w:rsid w:val="00602981"/>
    <w:rsid w:val="00602A95"/>
    <w:rsid w:val="00602FB3"/>
    <w:rsid w:val="00604107"/>
    <w:rsid w:val="006046CB"/>
    <w:rsid w:val="00604C90"/>
    <w:rsid w:val="0060543F"/>
    <w:rsid w:val="006055E2"/>
    <w:rsid w:val="00605D68"/>
    <w:rsid w:val="006061F6"/>
    <w:rsid w:val="006072B4"/>
    <w:rsid w:val="006116C4"/>
    <w:rsid w:val="006128A0"/>
    <w:rsid w:val="00612DF0"/>
    <w:rsid w:val="00612F87"/>
    <w:rsid w:val="0061389A"/>
    <w:rsid w:val="006144CB"/>
    <w:rsid w:val="00615054"/>
    <w:rsid w:val="00615D85"/>
    <w:rsid w:val="00616486"/>
    <w:rsid w:val="0061726A"/>
    <w:rsid w:val="006212FA"/>
    <w:rsid w:val="0062134A"/>
    <w:rsid w:val="00621528"/>
    <w:rsid w:val="0062160B"/>
    <w:rsid w:val="006221F2"/>
    <w:rsid w:val="006226FB"/>
    <w:rsid w:val="00622CF9"/>
    <w:rsid w:val="0062340E"/>
    <w:rsid w:val="006234D3"/>
    <w:rsid w:val="00623DCD"/>
    <w:rsid w:val="00624106"/>
    <w:rsid w:val="00624168"/>
    <w:rsid w:val="006249AA"/>
    <w:rsid w:val="00625015"/>
    <w:rsid w:val="006250E1"/>
    <w:rsid w:val="00626ECA"/>
    <w:rsid w:val="0062754C"/>
    <w:rsid w:val="00627675"/>
    <w:rsid w:val="006277B2"/>
    <w:rsid w:val="006300B8"/>
    <w:rsid w:val="0063010F"/>
    <w:rsid w:val="0063068E"/>
    <w:rsid w:val="00630AFF"/>
    <w:rsid w:val="006313C4"/>
    <w:rsid w:val="006317BD"/>
    <w:rsid w:val="006340B6"/>
    <w:rsid w:val="006340BE"/>
    <w:rsid w:val="0063498A"/>
    <w:rsid w:val="00634DD3"/>
    <w:rsid w:val="0063523F"/>
    <w:rsid w:val="0063633D"/>
    <w:rsid w:val="00636528"/>
    <w:rsid w:val="0063740B"/>
    <w:rsid w:val="006377CF"/>
    <w:rsid w:val="006406F2"/>
    <w:rsid w:val="00640C25"/>
    <w:rsid w:val="00641F05"/>
    <w:rsid w:val="00642883"/>
    <w:rsid w:val="00643241"/>
    <w:rsid w:val="006434F3"/>
    <w:rsid w:val="00643BDD"/>
    <w:rsid w:val="00643CC5"/>
    <w:rsid w:val="0064467E"/>
    <w:rsid w:val="006446D3"/>
    <w:rsid w:val="006446F5"/>
    <w:rsid w:val="00644A3F"/>
    <w:rsid w:val="00644F5B"/>
    <w:rsid w:val="0064504A"/>
    <w:rsid w:val="006457EC"/>
    <w:rsid w:val="00645D18"/>
    <w:rsid w:val="0064620F"/>
    <w:rsid w:val="0064712F"/>
    <w:rsid w:val="006475E6"/>
    <w:rsid w:val="00650112"/>
    <w:rsid w:val="006509CF"/>
    <w:rsid w:val="00650FCB"/>
    <w:rsid w:val="006528C8"/>
    <w:rsid w:val="00652B4A"/>
    <w:rsid w:val="006545C8"/>
    <w:rsid w:val="006545D9"/>
    <w:rsid w:val="00654672"/>
    <w:rsid w:val="00654B86"/>
    <w:rsid w:val="006562FE"/>
    <w:rsid w:val="00656682"/>
    <w:rsid w:val="006569B2"/>
    <w:rsid w:val="00656AF5"/>
    <w:rsid w:val="006573D8"/>
    <w:rsid w:val="00657865"/>
    <w:rsid w:val="0066053D"/>
    <w:rsid w:val="0066082C"/>
    <w:rsid w:val="00660E4E"/>
    <w:rsid w:val="00660F48"/>
    <w:rsid w:val="00660F4E"/>
    <w:rsid w:val="00661F21"/>
    <w:rsid w:val="00662C1F"/>
    <w:rsid w:val="00663608"/>
    <w:rsid w:val="006648D7"/>
    <w:rsid w:val="0066513C"/>
    <w:rsid w:val="0066586E"/>
    <w:rsid w:val="006659CF"/>
    <w:rsid w:val="00665B90"/>
    <w:rsid w:val="00665CD6"/>
    <w:rsid w:val="00667693"/>
    <w:rsid w:val="00667BBD"/>
    <w:rsid w:val="00670813"/>
    <w:rsid w:val="00670C9E"/>
    <w:rsid w:val="00672271"/>
    <w:rsid w:val="0067244B"/>
    <w:rsid w:val="00672CB7"/>
    <w:rsid w:val="00673459"/>
    <w:rsid w:val="0067390E"/>
    <w:rsid w:val="00673DC7"/>
    <w:rsid w:val="00675A97"/>
    <w:rsid w:val="006761B8"/>
    <w:rsid w:val="00676941"/>
    <w:rsid w:val="00677017"/>
    <w:rsid w:val="00677049"/>
    <w:rsid w:val="0067709C"/>
    <w:rsid w:val="00677912"/>
    <w:rsid w:val="00680709"/>
    <w:rsid w:val="00680F00"/>
    <w:rsid w:val="00681CB2"/>
    <w:rsid w:val="00681FEE"/>
    <w:rsid w:val="006822F7"/>
    <w:rsid w:val="00682435"/>
    <w:rsid w:val="00682786"/>
    <w:rsid w:val="00682C24"/>
    <w:rsid w:val="006833D5"/>
    <w:rsid w:val="0068344D"/>
    <w:rsid w:val="006834AC"/>
    <w:rsid w:val="00683618"/>
    <w:rsid w:val="00684384"/>
    <w:rsid w:val="00685090"/>
    <w:rsid w:val="0068555F"/>
    <w:rsid w:val="00685E4B"/>
    <w:rsid w:val="00687C96"/>
    <w:rsid w:val="00687DE9"/>
    <w:rsid w:val="00690901"/>
    <w:rsid w:val="00690AE1"/>
    <w:rsid w:val="00690DDB"/>
    <w:rsid w:val="00690F26"/>
    <w:rsid w:val="006916F6"/>
    <w:rsid w:val="00691A2C"/>
    <w:rsid w:val="006921AF"/>
    <w:rsid w:val="00692AA5"/>
    <w:rsid w:val="0069368E"/>
    <w:rsid w:val="00693978"/>
    <w:rsid w:val="00693ACB"/>
    <w:rsid w:val="006943CF"/>
    <w:rsid w:val="00694C8C"/>
    <w:rsid w:val="0069501F"/>
    <w:rsid w:val="006956BB"/>
    <w:rsid w:val="00695BCB"/>
    <w:rsid w:val="00697070"/>
    <w:rsid w:val="006971C8"/>
    <w:rsid w:val="006979BF"/>
    <w:rsid w:val="00697E6C"/>
    <w:rsid w:val="006A0000"/>
    <w:rsid w:val="006A1046"/>
    <w:rsid w:val="006A13A6"/>
    <w:rsid w:val="006A1889"/>
    <w:rsid w:val="006A1F61"/>
    <w:rsid w:val="006A3E2D"/>
    <w:rsid w:val="006A412A"/>
    <w:rsid w:val="006A4C12"/>
    <w:rsid w:val="006A5148"/>
    <w:rsid w:val="006A5EA7"/>
    <w:rsid w:val="006B0F29"/>
    <w:rsid w:val="006B0F4F"/>
    <w:rsid w:val="006B0F7D"/>
    <w:rsid w:val="006B17E8"/>
    <w:rsid w:val="006B20D4"/>
    <w:rsid w:val="006B284F"/>
    <w:rsid w:val="006B2A8E"/>
    <w:rsid w:val="006B3C30"/>
    <w:rsid w:val="006B46CD"/>
    <w:rsid w:val="006B4BAE"/>
    <w:rsid w:val="006B5164"/>
    <w:rsid w:val="006B5258"/>
    <w:rsid w:val="006B7335"/>
    <w:rsid w:val="006B7635"/>
    <w:rsid w:val="006B7764"/>
    <w:rsid w:val="006B7861"/>
    <w:rsid w:val="006B7938"/>
    <w:rsid w:val="006B7DA2"/>
    <w:rsid w:val="006C0640"/>
    <w:rsid w:val="006C1B98"/>
    <w:rsid w:val="006C2255"/>
    <w:rsid w:val="006C2D14"/>
    <w:rsid w:val="006C30CC"/>
    <w:rsid w:val="006C3C44"/>
    <w:rsid w:val="006C3E98"/>
    <w:rsid w:val="006C4C81"/>
    <w:rsid w:val="006C5274"/>
    <w:rsid w:val="006C52B0"/>
    <w:rsid w:val="006C5D92"/>
    <w:rsid w:val="006C62F3"/>
    <w:rsid w:val="006C6D20"/>
    <w:rsid w:val="006C6F9D"/>
    <w:rsid w:val="006C7E15"/>
    <w:rsid w:val="006D07B1"/>
    <w:rsid w:val="006D139A"/>
    <w:rsid w:val="006D168E"/>
    <w:rsid w:val="006D1839"/>
    <w:rsid w:val="006D1DFD"/>
    <w:rsid w:val="006D235B"/>
    <w:rsid w:val="006D24DD"/>
    <w:rsid w:val="006D2975"/>
    <w:rsid w:val="006D2C55"/>
    <w:rsid w:val="006D312A"/>
    <w:rsid w:val="006D461C"/>
    <w:rsid w:val="006D4F7C"/>
    <w:rsid w:val="006D50FE"/>
    <w:rsid w:val="006D656F"/>
    <w:rsid w:val="006D6CA5"/>
    <w:rsid w:val="006D6D85"/>
    <w:rsid w:val="006D7235"/>
    <w:rsid w:val="006D7873"/>
    <w:rsid w:val="006E0D89"/>
    <w:rsid w:val="006E1A1D"/>
    <w:rsid w:val="006E1EDB"/>
    <w:rsid w:val="006E2786"/>
    <w:rsid w:val="006E2A47"/>
    <w:rsid w:val="006E381B"/>
    <w:rsid w:val="006E3925"/>
    <w:rsid w:val="006E3D55"/>
    <w:rsid w:val="006E3F06"/>
    <w:rsid w:val="006E42E3"/>
    <w:rsid w:val="006E4ACE"/>
    <w:rsid w:val="006E5062"/>
    <w:rsid w:val="006E58B4"/>
    <w:rsid w:val="006E5907"/>
    <w:rsid w:val="006E7F0F"/>
    <w:rsid w:val="006F0A95"/>
    <w:rsid w:val="006F0D16"/>
    <w:rsid w:val="006F1881"/>
    <w:rsid w:val="006F1C36"/>
    <w:rsid w:val="006F274D"/>
    <w:rsid w:val="006F3170"/>
    <w:rsid w:val="006F3209"/>
    <w:rsid w:val="006F3FE9"/>
    <w:rsid w:val="006F589D"/>
    <w:rsid w:val="006F6ACA"/>
    <w:rsid w:val="006F6C40"/>
    <w:rsid w:val="006F6D75"/>
    <w:rsid w:val="006F757C"/>
    <w:rsid w:val="006F7844"/>
    <w:rsid w:val="00701632"/>
    <w:rsid w:val="007017FC"/>
    <w:rsid w:val="00701CF6"/>
    <w:rsid w:val="00702265"/>
    <w:rsid w:val="007028EF"/>
    <w:rsid w:val="00702A75"/>
    <w:rsid w:val="00702AE6"/>
    <w:rsid w:val="00702D68"/>
    <w:rsid w:val="007032EE"/>
    <w:rsid w:val="00704108"/>
    <w:rsid w:val="00704212"/>
    <w:rsid w:val="0070479B"/>
    <w:rsid w:val="007064C6"/>
    <w:rsid w:val="00706C1F"/>
    <w:rsid w:val="007079BC"/>
    <w:rsid w:val="00707A69"/>
    <w:rsid w:val="00707AA4"/>
    <w:rsid w:val="00710101"/>
    <w:rsid w:val="0071034A"/>
    <w:rsid w:val="00710B01"/>
    <w:rsid w:val="00710F52"/>
    <w:rsid w:val="00711F89"/>
    <w:rsid w:val="00712417"/>
    <w:rsid w:val="0071278E"/>
    <w:rsid w:val="0071323E"/>
    <w:rsid w:val="007134F4"/>
    <w:rsid w:val="00714AE2"/>
    <w:rsid w:val="007153C9"/>
    <w:rsid w:val="0071576C"/>
    <w:rsid w:val="00716B00"/>
    <w:rsid w:val="00716BB4"/>
    <w:rsid w:val="007171E3"/>
    <w:rsid w:val="007174D3"/>
    <w:rsid w:val="007178ED"/>
    <w:rsid w:val="00717AEA"/>
    <w:rsid w:val="00717C33"/>
    <w:rsid w:val="00720D78"/>
    <w:rsid w:val="00720F20"/>
    <w:rsid w:val="00721170"/>
    <w:rsid w:val="0072178C"/>
    <w:rsid w:val="00721F2E"/>
    <w:rsid w:val="007236FD"/>
    <w:rsid w:val="00725980"/>
    <w:rsid w:val="00725B6B"/>
    <w:rsid w:val="007264D4"/>
    <w:rsid w:val="00726707"/>
    <w:rsid w:val="0072694F"/>
    <w:rsid w:val="007277E5"/>
    <w:rsid w:val="00727841"/>
    <w:rsid w:val="00727DE4"/>
    <w:rsid w:val="0073004F"/>
    <w:rsid w:val="00730771"/>
    <w:rsid w:val="00730F75"/>
    <w:rsid w:val="00731309"/>
    <w:rsid w:val="00731DC0"/>
    <w:rsid w:val="00732C28"/>
    <w:rsid w:val="00732F69"/>
    <w:rsid w:val="007340F2"/>
    <w:rsid w:val="0073529A"/>
    <w:rsid w:val="00735B65"/>
    <w:rsid w:val="007364F7"/>
    <w:rsid w:val="00736740"/>
    <w:rsid w:val="00736A05"/>
    <w:rsid w:val="00736F6E"/>
    <w:rsid w:val="00737053"/>
    <w:rsid w:val="007375DD"/>
    <w:rsid w:val="00740E33"/>
    <w:rsid w:val="007414A1"/>
    <w:rsid w:val="00741558"/>
    <w:rsid w:val="00742273"/>
    <w:rsid w:val="00742496"/>
    <w:rsid w:val="007434D8"/>
    <w:rsid w:val="00743630"/>
    <w:rsid w:val="00743C63"/>
    <w:rsid w:val="00743F8A"/>
    <w:rsid w:val="00744474"/>
    <w:rsid w:val="007447EB"/>
    <w:rsid w:val="007456AA"/>
    <w:rsid w:val="007458D4"/>
    <w:rsid w:val="00747065"/>
    <w:rsid w:val="007477BC"/>
    <w:rsid w:val="00750371"/>
    <w:rsid w:val="00750D03"/>
    <w:rsid w:val="0075167F"/>
    <w:rsid w:val="00751FB4"/>
    <w:rsid w:val="007522B2"/>
    <w:rsid w:val="007529D4"/>
    <w:rsid w:val="0075360A"/>
    <w:rsid w:val="00753663"/>
    <w:rsid w:val="0075388F"/>
    <w:rsid w:val="00754576"/>
    <w:rsid w:val="00754CB2"/>
    <w:rsid w:val="00754DE1"/>
    <w:rsid w:val="007561E0"/>
    <w:rsid w:val="007569C2"/>
    <w:rsid w:val="00756A2F"/>
    <w:rsid w:val="00756C01"/>
    <w:rsid w:val="007572D0"/>
    <w:rsid w:val="007573EC"/>
    <w:rsid w:val="00757502"/>
    <w:rsid w:val="007577F5"/>
    <w:rsid w:val="00757805"/>
    <w:rsid w:val="00757BD3"/>
    <w:rsid w:val="00757CF6"/>
    <w:rsid w:val="0076024B"/>
    <w:rsid w:val="00760543"/>
    <w:rsid w:val="00760C1B"/>
    <w:rsid w:val="00761E33"/>
    <w:rsid w:val="0076282F"/>
    <w:rsid w:val="00762BC0"/>
    <w:rsid w:val="00762C02"/>
    <w:rsid w:val="007636F0"/>
    <w:rsid w:val="0076380F"/>
    <w:rsid w:val="007638BF"/>
    <w:rsid w:val="00764480"/>
    <w:rsid w:val="00764C87"/>
    <w:rsid w:val="007652CD"/>
    <w:rsid w:val="007654C2"/>
    <w:rsid w:val="007658B5"/>
    <w:rsid w:val="00766199"/>
    <w:rsid w:val="00766386"/>
    <w:rsid w:val="00766C73"/>
    <w:rsid w:val="007676D0"/>
    <w:rsid w:val="007700A1"/>
    <w:rsid w:val="00770AF0"/>
    <w:rsid w:val="00770CE7"/>
    <w:rsid w:val="00770CF4"/>
    <w:rsid w:val="0077127D"/>
    <w:rsid w:val="00771336"/>
    <w:rsid w:val="007716AB"/>
    <w:rsid w:val="007718A4"/>
    <w:rsid w:val="007725B6"/>
    <w:rsid w:val="00772A65"/>
    <w:rsid w:val="00772A88"/>
    <w:rsid w:val="007740AB"/>
    <w:rsid w:val="00774C5C"/>
    <w:rsid w:val="00775C92"/>
    <w:rsid w:val="00775DF4"/>
    <w:rsid w:val="007763FD"/>
    <w:rsid w:val="00777075"/>
    <w:rsid w:val="0077776C"/>
    <w:rsid w:val="00777BF8"/>
    <w:rsid w:val="00780CA2"/>
    <w:rsid w:val="00781249"/>
    <w:rsid w:val="00781703"/>
    <w:rsid w:val="00781B23"/>
    <w:rsid w:val="00781C76"/>
    <w:rsid w:val="00782567"/>
    <w:rsid w:val="0078271C"/>
    <w:rsid w:val="007832C3"/>
    <w:rsid w:val="00783563"/>
    <w:rsid w:val="00784036"/>
    <w:rsid w:val="007841DB"/>
    <w:rsid w:val="007846B2"/>
    <w:rsid w:val="00786722"/>
    <w:rsid w:val="0078767A"/>
    <w:rsid w:val="007876FA"/>
    <w:rsid w:val="00787D58"/>
    <w:rsid w:val="00787F56"/>
    <w:rsid w:val="00787FB9"/>
    <w:rsid w:val="0079020E"/>
    <w:rsid w:val="0079145F"/>
    <w:rsid w:val="00792517"/>
    <w:rsid w:val="00792D42"/>
    <w:rsid w:val="00793291"/>
    <w:rsid w:val="007935F3"/>
    <w:rsid w:val="0079386F"/>
    <w:rsid w:val="00793F46"/>
    <w:rsid w:val="00794A99"/>
    <w:rsid w:val="0079521D"/>
    <w:rsid w:val="00795463"/>
    <w:rsid w:val="0079561C"/>
    <w:rsid w:val="00795B38"/>
    <w:rsid w:val="00795DD8"/>
    <w:rsid w:val="007961E3"/>
    <w:rsid w:val="007964A0"/>
    <w:rsid w:val="00796CB9"/>
    <w:rsid w:val="00796E18"/>
    <w:rsid w:val="00797238"/>
    <w:rsid w:val="00797E88"/>
    <w:rsid w:val="00797E9C"/>
    <w:rsid w:val="007A0508"/>
    <w:rsid w:val="007A0854"/>
    <w:rsid w:val="007A0A06"/>
    <w:rsid w:val="007A15AE"/>
    <w:rsid w:val="007A1642"/>
    <w:rsid w:val="007A1B66"/>
    <w:rsid w:val="007A1B8E"/>
    <w:rsid w:val="007A2078"/>
    <w:rsid w:val="007A21C6"/>
    <w:rsid w:val="007A2A03"/>
    <w:rsid w:val="007A2CD0"/>
    <w:rsid w:val="007A30A7"/>
    <w:rsid w:val="007A318D"/>
    <w:rsid w:val="007A340D"/>
    <w:rsid w:val="007A392B"/>
    <w:rsid w:val="007A45A9"/>
    <w:rsid w:val="007A5CCA"/>
    <w:rsid w:val="007A6018"/>
    <w:rsid w:val="007A6946"/>
    <w:rsid w:val="007A6B08"/>
    <w:rsid w:val="007A747A"/>
    <w:rsid w:val="007A75DC"/>
    <w:rsid w:val="007A7922"/>
    <w:rsid w:val="007B18CF"/>
    <w:rsid w:val="007B195A"/>
    <w:rsid w:val="007B32D5"/>
    <w:rsid w:val="007B35CD"/>
    <w:rsid w:val="007B4D64"/>
    <w:rsid w:val="007B57B0"/>
    <w:rsid w:val="007B61F2"/>
    <w:rsid w:val="007B670D"/>
    <w:rsid w:val="007B71B1"/>
    <w:rsid w:val="007B73AD"/>
    <w:rsid w:val="007B7B41"/>
    <w:rsid w:val="007C0E8D"/>
    <w:rsid w:val="007C11B9"/>
    <w:rsid w:val="007C19ED"/>
    <w:rsid w:val="007C1C1A"/>
    <w:rsid w:val="007C2C0E"/>
    <w:rsid w:val="007C396C"/>
    <w:rsid w:val="007C3E75"/>
    <w:rsid w:val="007C4197"/>
    <w:rsid w:val="007C51C4"/>
    <w:rsid w:val="007C52AC"/>
    <w:rsid w:val="007C561D"/>
    <w:rsid w:val="007C57B9"/>
    <w:rsid w:val="007C58E0"/>
    <w:rsid w:val="007C7064"/>
    <w:rsid w:val="007C788B"/>
    <w:rsid w:val="007C7D6F"/>
    <w:rsid w:val="007D0653"/>
    <w:rsid w:val="007D0971"/>
    <w:rsid w:val="007D0A13"/>
    <w:rsid w:val="007D1972"/>
    <w:rsid w:val="007D2831"/>
    <w:rsid w:val="007D3702"/>
    <w:rsid w:val="007D45CF"/>
    <w:rsid w:val="007D5B46"/>
    <w:rsid w:val="007D5D7E"/>
    <w:rsid w:val="007D63AD"/>
    <w:rsid w:val="007D69AC"/>
    <w:rsid w:val="007D760A"/>
    <w:rsid w:val="007E014B"/>
    <w:rsid w:val="007E0896"/>
    <w:rsid w:val="007E127D"/>
    <w:rsid w:val="007E13A9"/>
    <w:rsid w:val="007E13D3"/>
    <w:rsid w:val="007E17F8"/>
    <w:rsid w:val="007E1E93"/>
    <w:rsid w:val="007E2E96"/>
    <w:rsid w:val="007E3060"/>
    <w:rsid w:val="007E333B"/>
    <w:rsid w:val="007E3459"/>
    <w:rsid w:val="007E3926"/>
    <w:rsid w:val="007E3B14"/>
    <w:rsid w:val="007E4184"/>
    <w:rsid w:val="007E5220"/>
    <w:rsid w:val="007E5348"/>
    <w:rsid w:val="007E575C"/>
    <w:rsid w:val="007E70D4"/>
    <w:rsid w:val="007F1A1B"/>
    <w:rsid w:val="007F2F5B"/>
    <w:rsid w:val="007F30A9"/>
    <w:rsid w:val="007F3904"/>
    <w:rsid w:val="007F3E82"/>
    <w:rsid w:val="007F4211"/>
    <w:rsid w:val="007F430C"/>
    <w:rsid w:val="007F4420"/>
    <w:rsid w:val="007F4EA1"/>
    <w:rsid w:val="007F5740"/>
    <w:rsid w:val="007F58DA"/>
    <w:rsid w:val="007F5949"/>
    <w:rsid w:val="007F6093"/>
    <w:rsid w:val="007F6564"/>
    <w:rsid w:val="007F69A4"/>
    <w:rsid w:val="007F6B1B"/>
    <w:rsid w:val="007F7C2C"/>
    <w:rsid w:val="007F7FB9"/>
    <w:rsid w:val="008007F4"/>
    <w:rsid w:val="00800983"/>
    <w:rsid w:val="00800ED0"/>
    <w:rsid w:val="0080126A"/>
    <w:rsid w:val="008013ED"/>
    <w:rsid w:val="00801DE4"/>
    <w:rsid w:val="00803A1E"/>
    <w:rsid w:val="00804342"/>
    <w:rsid w:val="00805034"/>
    <w:rsid w:val="008065C6"/>
    <w:rsid w:val="00806BF1"/>
    <w:rsid w:val="00806D64"/>
    <w:rsid w:val="008079E3"/>
    <w:rsid w:val="00807AC5"/>
    <w:rsid w:val="00807D14"/>
    <w:rsid w:val="008100EE"/>
    <w:rsid w:val="0081179B"/>
    <w:rsid w:val="0081277C"/>
    <w:rsid w:val="00812FEC"/>
    <w:rsid w:val="0081316E"/>
    <w:rsid w:val="00814796"/>
    <w:rsid w:val="0081495E"/>
    <w:rsid w:val="00814A0F"/>
    <w:rsid w:val="00815565"/>
    <w:rsid w:val="00815BAD"/>
    <w:rsid w:val="008164FE"/>
    <w:rsid w:val="00816889"/>
    <w:rsid w:val="00816F02"/>
    <w:rsid w:val="008174D8"/>
    <w:rsid w:val="0082029B"/>
    <w:rsid w:val="008206D8"/>
    <w:rsid w:val="008208D7"/>
    <w:rsid w:val="00820ED1"/>
    <w:rsid w:val="00820EED"/>
    <w:rsid w:val="00820FC9"/>
    <w:rsid w:val="0082111D"/>
    <w:rsid w:val="008215B9"/>
    <w:rsid w:val="00823592"/>
    <w:rsid w:val="008238A5"/>
    <w:rsid w:val="00823F8C"/>
    <w:rsid w:val="00824261"/>
    <w:rsid w:val="00824634"/>
    <w:rsid w:val="00825601"/>
    <w:rsid w:val="00825AB1"/>
    <w:rsid w:val="0082610E"/>
    <w:rsid w:val="008263CD"/>
    <w:rsid w:val="00826801"/>
    <w:rsid w:val="00826883"/>
    <w:rsid w:val="00826D3C"/>
    <w:rsid w:val="00827AA2"/>
    <w:rsid w:val="00827EEB"/>
    <w:rsid w:val="00827F9B"/>
    <w:rsid w:val="00827FC9"/>
    <w:rsid w:val="008305AF"/>
    <w:rsid w:val="0083094D"/>
    <w:rsid w:val="008319BB"/>
    <w:rsid w:val="008321EC"/>
    <w:rsid w:val="0083233F"/>
    <w:rsid w:val="008326B5"/>
    <w:rsid w:val="008336E8"/>
    <w:rsid w:val="0083585F"/>
    <w:rsid w:val="0083591F"/>
    <w:rsid w:val="00835E20"/>
    <w:rsid w:val="008364A4"/>
    <w:rsid w:val="00837254"/>
    <w:rsid w:val="0083C3AA"/>
    <w:rsid w:val="008400D4"/>
    <w:rsid w:val="00840BBD"/>
    <w:rsid w:val="0084158B"/>
    <w:rsid w:val="00842649"/>
    <w:rsid w:val="00842ABC"/>
    <w:rsid w:val="00843153"/>
    <w:rsid w:val="00843308"/>
    <w:rsid w:val="00843706"/>
    <w:rsid w:val="00843C56"/>
    <w:rsid w:val="008440A1"/>
    <w:rsid w:val="00844425"/>
    <w:rsid w:val="0084463B"/>
    <w:rsid w:val="00844640"/>
    <w:rsid w:val="00845A1A"/>
    <w:rsid w:val="0084619E"/>
    <w:rsid w:val="00846F88"/>
    <w:rsid w:val="008477FC"/>
    <w:rsid w:val="00851A09"/>
    <w:rsid w:val="00851F7D"/>
    <w:rsid w:val="00851FAA"/>
    <w:rsid w:val="00852CF3"/>
    <w:rsid w:val="008539F2"/>
    <w:rsid w:val="0085583D"/>
    <w:rsid w:val="0085644E"/>
    <w:rsid w:val="00856D2D"/>
    <w:rsid w:val="008571BE"/>
    <w:rsid w:val="008571CF"/>
    <w:rsid w:val="00857219"/>
    <w:rsid w:val="008572BB"/>
    <w:rsid w:val="0085799D"/>
    <w:rsid w:val="00860AFE"/>
    <w:rsid w:val="008610FD"/>
    <w:rsid w:val="00861BE3"/>
    <w:rsid w:val="00863191"/>
    <w:rsid w:val="008640F0"/>
    <w:rsid w:val="0086410E"/>
    <w:rsid w:val="00864209"/>
    <w:rsid w:val="00864846"/>
    <w:rsid w:val="008648D2"/>
    <w:rsid w:val="00865313"/>
    <w:rsid w:val="0086553F"/>
    <w:rsid w:val="00865B1B"/>
    <w:rsid w:val="008660AC"/>
    <w:rsid w:val="008666CF"/>
    <w:rsid w:val="00866752"/>
    <w:rsid w:val="008674CE"/>
    <w:rsid w:val="008675B6"/>
    <w:rsid w:val="00867C58"/>
    <w:rsid w:val="008701B0"/>
    <w:rsid w:val="0087046D"/>
    <w:rsid w:val="00870E74"/>
    <w:rsid w:val="00870FBD"/>
    <w:rsid w:val="008710D5"/>
    <w:rsid w:val="00871857"/>
    <w:rsid w:val="0087340A"/>
    <w:rsid w:val="00873FC8"/>
    <w:rsid w:val="00874450"/>
    <w:rsid w:val="00874B72"/>
    <w:rsid w:val="00874DC2"/>
    <w:rsid w:val="00874F6E"/>
    <w:rsid w:val="00875002"/>
    <w:rsid w:val="00875619"/>
    <w:rsid w:val="008757AB"/>
    <w:rsid w:val="00875E4F"/>
    <w:rsid w:val="00876A73"/>
    <w:rsid w:val="008773F6"/>
    <w:rsid w:val="00877E2B"/>
    <w:rsid w:val="00880334"/>
    <w:rsid w:val="00880387"/>
    <w:rsid w:val="0088075F"/>
    <w:rsid w:val="00880A06"/>
    <w:rsid w:val="008816A0"/>
    <w:rsid w:val="00881782"/>
    <w:rsid w:val="00882106"/>
    <w:rsid w:val="00882D68"/>
    <w:rsid w:val="00884211"/>
    <w:rsid w:val="008843B0"/>
    <w:rsid w:val="00885DF1"/>
    <w:rsid w:val="008869EA"/>
    <w:rsid w:val="00886F03"/>
    <w:rsid w:val="00887C09"/>
    <w:rsid w:val="008914D9"/>
    <w:rsid w:val="00891A9E"/>
    <w:rsid w:val="00891B68"/>
    <w:rsid w:val="00892BAF"/>
    <w:rsid w:val="00892D22"/>
    <w:rsid w:val="00892E99"/>
    <w:rsid w:val="008932E4"/>
    <w:rsid w:val="00893B57"/>
    <w:rsid w:val="0089453D"/>
    <w:rsid w:val="0089494B"/>
    <w:rsid w:val="00894E91"/>
    <w:rsid w:val="0089514F"/>
    <w:rsid w:val="00895429"/>
    <w:rsid w:val="00895770"/>
    <w:rsid w:val="00895A01"/>
    <w:rsid w:val="00896775"/>
    <w:rsid w:val="00897B7E"/>
    <w:rsid w:val="008A010A"/>
    <w:rsid w:val="008A02F4"/>
    <w:rsid w:val="008A118F"/>
    <w:rsid w:val="008A1648"/>
    <w:rsid w:val="008A1F66"/>
    <w:rsid w:val="008A2095"/>
    <w:rsid w:val="008A2509"/>
    <w:rsid w:val="008A2C80"/>
    <w:rsid w:val="008A3342"/>
    <w:rsid w:val="008A3646"/>
    <w:rsid w:val="008A3E6C"/>
    <w:rsid w:val="008A3FBC"/>
    <w:rsid w:val="008A45C0"/>
    <w:rsid w:val="008A4C2B"/>
    <w:rsid w:val="008A5FB7"/>
    <w:rsid w:val="008A7976"/>
    <w:rsid w:val="008B0516"/>
    <w:rsid w:val="008B0820"/>
    <w:rsid w:val="008B13CE"/>
    <w:rsid w:val="008B1B66"/>
    <w:rsid w:val="008B1D5A"/>
    <w:rsid w:val="008B304E"/>
    <w:rsid w:val="008B315F"/>
    <w:rsid w:val="008B406B"/>
    <w:rsid w:val="008B476C"/>
    <w:rsid w:val="008B4865"/>
    <w:rsid w:val="008B5BA1"/>
    <w:rsid w:val="008B5E1E"/>
    <w:rsid w:val="008B64EB"/>
    <w:rsid w:val="008B651D"/>
    <w:rsid w:val="008B6E87"/>
    <w:rsid w:val="008B76F0"/>
    <w:rsid w:val="008B7B87"/>
    <w:rsid w:val="008B7DE0"/>
    <w:rsid w:val="008C147D"/>
    <w:rsid w:val="008C1C74"/>
    <w:rsid w:val="008C334C"/>
    <w:rsid w:val="008C3499"/>
    <w:rsid w:val="008C3937"/>
    <w:rsid w:val="008C397E"/>
    <w:rsid w:val="008C3C8E"/>
    <w:rsid w:val="008C3F9B"/>
    <w:rsid w:val="008C5434"/>
    <w:rsid w:val="008C5472"/>
    <w:rsid w:val="008C5704"/>
    <w:rsid w:val="008C6FEA"/>
    <w:rsid w:val="008C7290"/>
    <w:rsid w:val="008C76B4"/>
    <w:rsid w:val="008C7B08"/>
    <w:rsid w:val="008D033B"/>
    <w:rsid w:val="008D1034"/>
    <w:rsid w:val="008D2420"/>
    <w:rsid w:val="008D3051"/>
    <w:rsid w:val="008D3982"/>
    <w:rsid w:val="008D4580"/>
    <w:rsid w:val="008D4E41"/>
    <w:rsid w:val="008D56DD"/>
    <w:rsid w:val="008D60E3"/>
    <w:rsid w:val="008D7B04"/>
    <w:rsid w:val="008D7D93"/>
    <w:rsid w:val="008E00FD"/>
    <w:rsid w:val="008E076E"/>
    <w:rsid w:val="008E1140"/>
    <w:rsid w:val="008E1454"/>
    <w:rsid w:val="008E2673"/>
    <w:rsid w:val="008E26FD"/>
    <w:rsid w:val="008E2FCE"/>
    <w:rsid w:val="008E3741"/>
    <w:rsid w:val="008E425B"/>
    <w:rsid w:val="008E4F5C"/>
    <w:rsid w:val="008E5E22"/>
    <w:rsid w:val="008E6320"/>
    <w:rsid w:val="008F04C4"/>
    <w:rsid w:val="008F0572"/>
    <w:rsid w:val="008F08B9"/>
    <w:rsid w:val="008F21B4"/>
    <w:rsid w:val="008F333C"/>
    <w:rsid w:val="008F347F"/>
    <w:rsid w:val="008F3694"/>
    <w:rsid w:val="008F3BF4"/>
    <w:rsid w:val="008F3EB1"/>
    <w:rsid w:val="008F4C8A"/>
    <w:rsid w:val="008F528D"/>
    <w:rsid w:val="008F5C03"/>
    <w:rsid w:val="008F5FB2"/>
    <w:rsid w:val="008F6CE5"/>
    <w:rsid w:val="00901091"/>
    <w:rsid w:val="009010C0"/>
    <w:rsid w:val="00901CB0"/>
    <w:rsid w:val="00903408"/>
    <w:rsid w:val="00903D71"/>
    <w:rsid w:val="00903EA8"/>
    <w:rsid w:val="0090472B"/>
    <w:rsid w:val="00904AE3"/>
    <w:rsid w:val="009051EA"/>
    <w:rsid w:val="009062E4"/>
    <w:rsid w:val="00906398"/>
    <w:rsid w:val="009071F7"/>
    <w:rsid w:val="00907C54"/>
    <w:rsid w:val="00910621"/>
    <w:rsid w:val="0091071D"/>
    <w:rsid w:val="009115A1"/>
    <w:rsid w:val="00911A4F"/>
    <w:rsid w:val="0091350C"/>
    <w:rsid w:val="009151D9"/>
    <w:rsid w:val="009154CC"/>
    <w:rsid w:val="00915AC0"/>
    <w:rsid w:val="00916206"/>
    <w:rsid w:val="00916981"/>
    <w:rsid w:val="00917137"/>
    <w:rsid w:val="0092051D"/>
    <w:rsid w:val="00920675"/>
    <w:rsid w:val="00920957"/>
    <w:rsid w:val="00920DD9"/>
    <w:rsid w:val="00921332"/>
    <w:rsid w:val="00921434"/>
    <w:rsid w:val="0092204F"/>
    <w:rsid w:val="00922445"/>
    <w:rsid w:val="00922448"/>
    <w:rsid w:val="00923AC7"/>
    <w:rsid w:val="009246B9"/>
    <w:rsid w:val="009252AC"/>
    <w:rsid w:val="009253B4"/>
    <w:rsid w:val="0092601F"/>
    <w:rsid w:val="009268A2"/>
    <w:rsid w:val="00933D2A"/>
    <w:rsid w:val="00933ED4"/>
    <w:rsid w:val="00934E4E"/>
    <w:rsid w:val="00935FF4"/>
    <w:rsid w:val="0093642A"/>
    <w:rsid w:val="00936700"/>
    <w:rsid w:val="009368A2"/>
    <w:rsid w:val="00936FDC"/>
    <w:rsid w:val="009370BE"/>
    <w:rsid w:val="00937930"/>
    <w:rsid w:val="009405BB"/>
    <w:rsid w:val="00941852"/>
    <w:rsid w:val="009427F7"/>
    <w:rsid w:val="009438BD"/>
    <w:rsid w:val="009439E6"/>
    <w:rsid w:val="00944004"/>
    <w:rsid w:val="0094539A"/>
    <w:rsid w:val="0094579C"/>
    <w:rsid w:val="00945DF2"/>
    <w:rsid w:val="009465BD"/>
    <w:rsid w:val="00946699"/>
    <w:rsid w:val="00947705"/>
    <w:rsid w:val="0094795B"/>
    <w:rsid w:val="00947B68"/>
    <w:rsid w:val="00950553"/>
    <w:rsid w:val="00950AC6"/>
    <w:rsid w:val="009510FB"/>
    <w:rsid w:val="009521A7"/>
    <w:rsid w:val="00953054"/>
    <w:rsid w:val="00953130"/>
    <w:rsid w:val="00954085"/>
    <w:rsid w:val="00954FE1"/>
    <w:rsid w:val="0095584E"/>
    <w:rsid w:val="00955B16"/>
    <w:rsid w:val="00955D33"/>
    <w:rsid w:val="00955FC5"/>
    <w:rsid w:val="00956C4D"/>
    <w:rsid w:val="00956D79"/>
    <w:rsid w:val="00957ABA"/>
    <w:rsid w:val="00957BB4"/>
    <w:rsid w:val="0096019C"/>
    <w:rsid w:val="00960B1E"/>
    <w:rsid w:val="00960D13"/>
    <w:rsid w:val="00961028"/>
    <w:rsid w:val="0096111C"/>
    <w:rsid w:val="00961463"/>
    <w:rsid w:val="00961565"/>
    <w:rsid w:val="00962CCA"/>
    <w:rsid w:val="00963227"/>
    <w:rsid w:val="00963584"/>
    <w:rsid w:val="00963588"/>
    <w:rsid w:val="009638F6"/>
    <w:rsid w:val="009639C5"/>
    <w:rsid w:val="009647E0"/>
    <w:rsid w:val="00964DC3"/>
    <w:rsid w:val="00965494"/>
    <w:rsid w:val="00965A04"/>
    <w:rsid w:val="00965A87"/>
    <w:rsid w:val="0097051A"/>
    <w:rsid w:val="00970B1B"/>
    <w:rsid w:val="00971D0C"/>
    <w:rsid w:val="0097200C"/>
    <w:rsid w:val="009721A6"/>
    <w:rsid w:val="009728F5"/>
    <w:rsid w:val="00973F8D"/>
    <w:rsid w:val="009740D1"/>
    <w:rsid w:val="00974AAC"/>
    <w:rsid w:val="009761C3"/>
    <w:rsid w:val="009770A2"/>
    <w:rsid w:val="00977552"/>
    <w:rsid w:val="00977D3D"/>
    <w:rsid w:val="009804A6"/>
    <w:rsid w:val="00980546"/>
    <w:rsid w:val="00980BB5"/>
    <w:rsid w:val="00981489"/>
    <w:rsid w:val="009821F8"/>
    <w:rsid w:val="00982D2A"/>
    <w:rsid w:val="00982E62"/>
    <w:rsid w:val="00983621"/>
    <w:rsid w:val="00983A5B"/>
    <w:rsid w:val="009840E8"/>
    <w:rsid w:val="00985608"/>
    <w:rsid w:val="00985ECB"/>
    <w:rsid w:val="009863F2"/>
    <w:rsid w:val="00987205"/>
    <w:rsid w:val="00987420"/>
    <w:rsid w:val="00987876"/>
    <w:rsid w:val="00990020"/>
    <w:rsid w:val="00990178"/>
    <w:rsid w:val="00990A5A"/>
    <w:rsid w:val="00990E14"/>
    <w:rsid w:val="00991668"/>
    <w:rsid w:val="00991817"/>
    <w:rsid w:val="009923C9"/>
    <w:rsid w:val="00992861"/>
    <w:rsid w:val="009939B8"/>
    <w:rsid w:val="009946D0"/>
    <w:rsid w:val="00995560"/>
    <w:rsid w:val="009959B5"/>
    <w:rsid w:val="00995A7C"/>
    <w:rsid w:val="0099698F"/>
    <w:rsid w:val="0099708B"/>
    <w:rsid w:val="009973C9"/>
    <w:rsid w:val="00997F8C"/>
    <w:rsid w:val="009A00D8"/>
    <w:rsid w:val="009A162E"/>
    <w:rsid w:val="009A1C35"/>
    <w:rsid w:val="009A1E9B"/>
    <w:rsid w:val="009A3539"/>
    <w:rsid w:val="009A43E0"/>
    <w:rsid w:val="009A48BB"/>
    <w:rsid w:val="009A4EC7"/>
    <w:rsid w:val="009A4F3F"/>
    <w:rsid w:val="009A55BA"/>
    <w:rsid w:val="009A66E3"/>
    <w:rsid w:val="009A792E"/>
    <w:rsid w:val="009A7F73"/>
    <w:rsid w:val="009B1174"/>
    <w:rsid w:val="009B185B"/>
    <w:rsid w:val="009B1971"/>
    <w:rsid w:val="009B2031"/>
    <w:rsid w:val="009B2392"/>
    <w:rsid w:val="009B2CD4"/>
    <w:rsid w:val="009B2FBD"/>
    <w:rsid w:val="009B33DA"/>
    <w:rsid w:val="009B3835"/>
    <w:rsid w:val="009B4A7A"/>
    <w:rsid w:val="009B57E5"/>
    <w:rsid w:val="009B6762"/>
    <w:rsid w:val="009B6E2D"/>
    <w:rsid w:val="009B70EC"/>
    <w:rsid w:val="009B71D4"/>
    <w:rsid w:val="009B7353"/>
    <w:rsid w:val="009B76C3"/>
    <w:rsid w:val="009B7B5D"/>
    <w:rsid w:val="009C0060"/>
    <w:rsid w:val="009C01B9"/>
    <w:rsid w:val="009C1212"/>
    <w:rsid w:val="009C2482"/>
    <w:rsid w:val="009C32CB"/>
    <w:rsid w:val="009C3DEE"/>
    <w:rsid w:val="009C3E90"/>
    <w:rsid w:val="009C50EB"/>
    <w:rsid w:val="009C521F"/>
    <w:rsid w:val="009C5ECA"/>
    <w:rsid w:val="009C64C6"/>
    <w:rsid w:val="009C6DEC"/>
    <w:rsid w:val="009C6FAC"/>
    <w:rsid w:val="009C7D96"/>
    <w:rsid w:val="009C7FD3"/>
    <w:rsid w:val="009D1685"/>
    <w:rsid w:val="009D180D"/>
    <w:rsid w:val="009D1B34"/>
    <w:rsid w:val="009D1E58"/>
    <w:rsid w:val="009D2F80"/>
    <w:rsid w:val="009D392F"/>
    <w:rsid w:val="009D579B"/>
    <w:rsid w:val="009D6977"/>
    <w:rsid w:val="009D7586"/>
    <w:rsid w:val="009D77AF"/>
    <w:rsid w:val="009D7CDA"/>
    <w:rsid w:val="009E0457"/>
    <w:rsid w:val="009E0EC3"/>
    <w:rsid w:val="009E12F3"/>
    <w:rsid w:val="009E1330"/>
    <w:rsid w:val="009E1A82"/>
    <w:rsid w:val="009E227C"/>
    <w:rsid w:val="009E2D3A"/>
    <w:rsid w:val="009E3AAF"/>
    <w:rsid w:val="009E40E1"/>
    <w:rsid w:val="009E4214"/>
    <w:rsid w:val="009E4D1F"/>
    <w:rsid w:val="009E52D8"/>
    <w:rsid w:val="009E6587"/>
    <w:rsid w:val="009E67F1"/>
    <w:rsid w:val="009E6D02"/>
    <w:rsid w:val="009E6E62"/>
    <w:rsid w:val="009E7770"/>
    <w:rsid w:val="009E77DC"/>
    <w:rsid w:val="009F0BC4"/>
    <w:rsid w:val="009F0F1D"/>
    <w:rsid w:val="009F1052"/>
    <w:rsid w:val="009F1742"/>
    <w:rsid w:val="009F1A15"/>
    <w:rsid w:val="009F1AF5"/>
    <w:rsid w:val="009F1E3A"/>
    <w:rsid w:val="009F3300"/>
    <w:rsid w:val="009F3464"/>
    <w:rsid w:val="009F379E"/>
    <w:rsid w:val="009F39A2"/>
    <w:rsid w:val="009F4D9F"/>
    <w:rsid w:val="009F5A06"/>
    <w:rsid w:val="009F6770"/>
    <w:rsid w:val="009F7629"/>
    <w:rsid w:val="009F7712"/>
    <w:rsid w:val="00A000F6"/>
    <w:rsid w:val="00A00535"/>
    <w:rsid w:val="00A03A47"/>
    <w:rsid w:val="00A0499E"/>
    <w:rsid w:val="00A04ED1"/>
    <w:rsid w:val="00A06819"/>
    <w:rsid w:val="00A10877"/>
    <w:rsid w:val="00A10B6A"/>
    <w:rsid w:val="00A11187"/>
    <w:rsid w:val="00A12298"/>
    <w:rsid w:val="00A12704"/>
    <w:rsid w:val="00A13F79"/>
    <w:rsid w:val="00A14288"/>
    <w:rsid w:val="00A14BF3"/>
    <w:rsid w:val="00A1525E"/>
    <w:rsid w:val="00A20EAE"/>
    <w:rsid w:val="00A218C7"/>
    <w:rsid w:val="00A21BFF"/>
    <w:rsid w:val="00A22D83"/>
    <w:rsid w:val="00A2319A"/>
    <w:rsid w:val="00A236AA"/>
    <w:rsid w:val="00A23C2C"/>
    <w:rsid w:val="00A23D11"/>
    <w:rsid w:val="00A240FD"/>
    <w:rsid w:val="00A2430F"/>
    <w:rsid w:val="00A25999"/>
    <w:rsid w:val="00A25E05"/>
    <w:rsid w:val="00A26028"/>
    <w:rsid w:val="00A26094"/>
    <w:rsid w:val="00A266CA"/>
    <w:rsid w:val="00A268EF"/>
    <w:rsid w:val="00A26991"/>
    <w:rsid w:val="00A300B8"/>
    <w:rsid w:val="00A30DA9"/>
    <w:rsid w:val="00A30DC9"/>
    <w:rsid w:val="00A31276"/>
    <w:rsid w:val="00A3130D"/>
    <w:rsid w:val="00A31C2B"/>
    <w:rsid w:val="00A321A2"/>
    <w:rsid w:val="00A32D8F"/>
    <w:rsid w:val="00A32F4E"/>
    <w:rsid w:val="00A33100"/>
    <w:rsid w:val="00A331C1"/>
    <w:rsid w:val="00A33C8A"/>
    <w:rsid w:val="00A343FB"/>
    <w:rsid w:val="00A34C58"/>
    <w:rsid w:val="00A35304"/>
    <w:rsid w:val="00A358B3"/>
    <w:rsid w:val="00A36694"/>
    <w:rsid w:val="00A37666"/>
    <w:rsid w:val="00A37782"/>
    <w:rsid w:val="00A378D9"/>
    <w:rsid w:val="00A40A88"/>
    <w:rsid w:val="00A40CFD"/>
    <w:rsid w:val="00A41542"/>
    <w:rsid w:val="00A41C47"/>
    <w:rsid w:val="00A4200C"/>
    <w:rsid w:val="00A42359"/>
    <w:rsid w:val="00A425D4"/>
    <w:rsid w:val="00A4282E"/>
    <w:rsid w:val="00A42CD9"/>
    <w:rsid w:val="00A43E2E"/>
    <w:rsid w:val="00A4486E"/>
    <w:rsid w:val="00A463C6"/>
    <w:rsid w:val="00A46768"/>
    <w:rsid w:val="00A4735C"/>
    <w:rsid w:val="00A477A8"/>
    <w:rsid w:val="00A47CDE"/>
    <w:rsid w:val="00A5116D"/>
    <w:rsid w:val="00A516F6"/>
    <w:rsid w:val="00A51EBB"/>
    <w:rsid w:val="00A525BA"/>
    <w:rsid w:val="00A52750"/>
    <w:rsid w:val="00A5320A"/>
    <w:rsid w:val="00A53D71"/>
    <w:rsid w:val="00A53F05"/>
    <w:rsid w:val="00A5458C"/>
    <w:rsid w:val="00A547DD"/>
    <w:rsid w:val="00A552D6"/>
    <w:rsid w:val="00A558B4"/>
    <w:rsid w:val="00A55B65"/>
    <w:rsid w:val="00A55D69"/>
    <w:rsid w:val="00A560DF"/>
    <w:rsid w:val="00A57A7A"/>
    <w:rsid w:val="00A60B13"/>
    <w:rsid w:val="00A611E2"/>
    <w:rsid w:val="00A6148D"/>
    <w:rsid w:val="00A61BD7"/>
    <w:rsid w:val="00A6230A"/>
    <w:rsid w:val="00A6248F"/>
    <w:rsid w:val="00A62582"/>
    <w:rsid w:val="00A62A94"/>
    <w:rsid w:val="00A64143"/>
    <w:rsid w:val="00A642E5"/>
    <w:rsid w:val="00A643A3"/>
    <w:rsid w:val="00A64896"/>
    <w:rsid w:val="00A6512B"/>
    <w:rsid w:val="00A65323"/>
    <w:rsid w:val="00A65376"/>
    <w:rsid w:val="00A65609"/>
    <w:rsid w:val="00A6581C"/>
    <w:rsid w:val="00A65EBA"/>
    <w:rsid w:val="00A706F9"/>
    <w:rsid w:val="00A707E0"/>
    <w:rsid w:val="00A70924"/>
    <w:rsid w:val="00A709FA"/>
    <w:rsid w:val="00A70B6C"/>
    <w:rsid w:val="00A71436"/>
    <w:rsid w:val="00A72498"/>
    <w:rsid w:val="00A731CE"/>
    <w:rsid w:val="00A7398A"/>
    <w:rsid w:val="00A73A61"/>
    <w:rsid w:val="00A73CE6"/>
    <w:rsid w:val="00A740C0"/>
    <w:rsid w:val="00A74172"/>
    <w:rsid w:val="00A74716"/>
    <w:rsid w:val="00A74985"/>
    <w:rsid w:val="00A756EA"/>
    <w:rsid w:val="00A75D2A"/>
    <w:rsid w:val="00A76186"/>
    <w:rsid w:val="00A76348"/>
    <w:rsid w:val="00A76559"/>
    <w:rsid w:val="00A77191"/>
    <w:rsid w:val="00A80349"/>
    <w:rsid w:val="00A8064E"/>
    <w:rsid w:val="00A80740"/>
    <w:rsid w:val="00A80A94"/>
    <w:rsid w:val="00A81643"/>
    <w:rsid w:val="00A81FCC"/>
    <w:rsid w:val="00A8271F"/>
    <w:rsid w:val="00A82B5A"/>
    <w:rsid w:val="00A82F96"/>
    <w:rsid w:val="00A83B9A"/>
    <w:rsid w:val="00A84718"/>
    <w:rsid w:val="00A84FE3"/>
    <w:rsid w:val="00A8540E"/>
    <w:rsid w:val="00A85E67"/>
    <w:rsid w:val="00A86C99"/>
    <w:rsid w:val="00A86D3C"/>
    <w:rsid w:val="00A86D4D"/>
    <w:rsid w:val="00A87642"/>
    <w:rsid w:val="00A87AE8"/>
    <w:rsid w:val="00A90234"/>
    <w:rsid w:val="00A9029D"/>
    <w:rsid w:val="00A9037D"/>
    <w:rsid w:val="00A90DEC"/>
    <w:rsid w:val="00A90E06"/>
    <w:rsid w:val="00A91180"/>
    <w:rsid w:val="00A91524"/>
    <w:rsid w:val="00A91822"/>
    <w:rsid w:val="00A9320E"/>
    <w:rsid w:val="00A94AB9"/>
    <w:rsid w:val="00A94D27"/>
    <w:rsid w:val="00A94E64"/>
    <w:rsid w:val="00A95F43"/>
    <w:rsid w:val="00A97520"/>
    <w:rsid w:val="00A978A1"/>
    <w:rsid w:val="00A97D10"/>
    <w:rsid w:val="00AA0D97"/>
    <w:rsid w:val="00AA1715"/>
    <w:rsid w:val="00AA19F6"/>
    <w:rsid w:val="00AA1DAD"/>
    <w:rsid w:val="00AA2354"/>
    <w:rsid w:val="00AA2401"/>
    <w:rsid w:val="00AA326E"/>
    <w:rsid w:val="00AA394E"/>
    <w:rsid w:val="00AA3ACF"/>
    <w:rsid w:val="00AA463E"/>
    <w:rsid w:val="00AA5278"/>
    <w:rsid w:val="00AA5386"/>
    <w:rsid w:val="00AA6982"/>
    <w:rsid w:val="00AA75C5"/>
    <w:rsid w:val="00AA764B"/>
    <w:rsid w:val="00AA7DE5"/>
    <w:rsid w:val="00AB0388"/>
    <w:rsid w:val="00AB0EBD"/>
    <w:rsid w:val="00AB0F67"/>
    <w:rsid w:val="00AB2644"/>
    <w:rsid w:val="00AB33B1"/>
    <w:rsid w:val="00AB4146"/>
    <w:rsid w:val="00AB42ED"/>
    <w:rsid w:val="00AB43A6"/>
    <w:rsid w:val="00AB53BD"/>
    <w:rsid w:val="00AB5B31"/>
    <w:rsid w:val="00AB6124"/>
    <w:rsid w:val="00AB7042"/>
    <w:rsid w:val="00AB73AA"/>
    <w:rsid w:val="00AC0216"/>
    <w:rsid w:val="00AC02AB"/>
    <w:rsid w:val="00AC0C22"/>
    <w:rsid w:val="00AC1076"/>
    <w:rsid w:val="00AC18F5"/>
    <w:rsid w:val="00AC242C"/>
    <w:rsid w:val="00AC2829"/>
    <w:rsid w:val="00AC2E3B"/>
    <w:rsid w:val="00AC3E98"/>
    <w:rsid w:val="00AC436D"/>
    <w:rsid w:val="00AC4F46"/>
    <w:rsid w:val="00AC5A59"/>
    <w:rsid w:val="00AC5AA0"/>
    <w:rsid w:val="00AC5ACE"/>
    <w:rsid w:val="00AC5B74"/>
    <w:rsid w:val="00AC6303"/>
    <w:rsid w:val="00AC6C5A"/>
    <w:rsid w:val="00AD220B"/>
    <w:rsid w:val="00AD25E9"/>
    <w:rsid w:val="00AD2B13"/>
    <w:rsid w:val="00AD2E55"/>
    <w:rsid w:val="00AD309A"/>
    <w:rsid w:val="00AD399E"/>
    <w:rsid w:val="00AD3AB0"/>
    <w:rsid w:val="00AD47E9"/>
    <w:rsid w:val="00AD4BEB"/>
    <w:rsid w:val="00AD5E32"/>
    <w:rsid w:val="00AD66F3"/>
    <w:rsid w:val="00AD7925"/>
    <w:rsid w:val="00AE0676"/>
    <w:rsid w:val="00AE0B41"/>
    <w:rsid w:val="00AE1CFA"/>
    <w:rsid w:val="00AE263B"/>
    <w:rsid w:val="00AE2795"/>
    <w:rsid w:val="00AE2C28"/>
    <w:rsid w:val="00AE2F02"/>
    <w:rsid w:val="00AE31A6"/>
    <w:rsid w:val="00AE419C"/>
    <w:rsid w:val="00AE4B4A"/>
    <w:rsid w:val="00AE52AD"/>
    <w:rsid w:val="00AE60B5"/>
    <w:rsid w:val="00AE6435"/>
    <w:rsid w:val="00AE66DC"/>
    <w:rsid w:val="00AE6B1A"/>
    <w:rsid w:val="00AE776C"/>
    <w:rsid w:val="00AE7AF1"/>
    <w:rsid w:val="00AE7B36"/>
    <w:rsid w:val="00AE7E69"/>
    <w:rsid w:val="00AF021C"/>
    <w:rsid w:val="00AF0521"/>
    <w:rsid w:val="00AF120E"/>
    <w:rsid w:val="00AF12DF"/>
    <w:rsid w:val="00AF1B85"/>
    <w:rsid w:val="00AF1F30"/>
    <w:rsid w:val="00AF2AF1"/>
    <w:rsid w:val="00AF41A7"/>
    <w:rsid w:val="00AF4DB5"/>
    <w:rsid w:val="00AF63BE"/>
    <w:rsid w:val="00AF63CF"/>
    <w:rsid w:val="00AF749B"/>
    <w:rsid w:val="00AF7AFF"/>
    <w:rsid w:val="00B00D77"/>
    <w:rsid w:val="00B00E45"/>
    <w:rsid w:val="00B01453"/>
    <w:rsid w:val="00B01510"/>
    <w:rsid w:val="00B01682"/>
    <w:rsid w:val="00B01955"/>
    <w:rsid w:val="00B01AC4"/>
    <w:rsid w:val="00B01F25"/>
    <w:rsid w:val="00B02CE7"/>
    <w:rsid w:val="00B03F19"/>
    <w:rsid w:val="00B04206"/>
    <w:rsid w:val="00B042D7"/>
    <w:rsid w:val="00B0475A"/>
    <w:rsid w:val="00B05351"/>
    <w:rsid w:val="00B056E9"/>
    <w:rsid w:val="00B05721"/>
    <w:rsid w:val="00B05CA1"/>
    <w:rsid w:val="00B06462"/>
    <w:rsid w:val="00B07BB7"/>
    <w:rsid w:val="00B10FCF"/>
    <w:rsid w:val="00B11126"/>
    <w:rsid w:val="00B11A15"/>
    <w:rsid w:val="00B12B70"/>
    <w:rsid w:val="00B134C8"/>
    <w:rsid w:val="00B148D5"/>
    <w:rsid w:val="00B14D6B"/>
    <w:rsid w:val="00B15364"/>
    <w:rsid w:val="00B16E94"/>
    <w:rsid w:val="00B1701D"/>
    <w:rsid w:val="00B1768D"/>
    <w:rsid w:val="00B2104D"/>
    <w:rsid w:val="00B212E9"/>
    <w:rsid w:val="00B217E4"/>
    <w:rsid w:val="00B21803"/>
    <w:rsid w:val="00B21A29"/>
    <w:rsid w:val="00B2226E"/>
    <w:rsid w:val="00B22D28"/>
    <w:rsid w:val="00B23C80"/>
    <w:rsid w:val="00B241C0"/>
    <w:rsid w:val="00B2531C"/>
    <w:rsid w:val="00B25B0C"/>
    <w:rsid w:val="00B26083"/>
    <w:rsid w:val="00B263FD"/>
    <w:rsid w:val="00B27D73"/>
    <w:rsid w:val="00B303C7"/>
    <w:rsid w:val="00B31406"/>
    <w:rsid w:val="00B31516"/>
    <w:rsid w:val="00B3217D"/>
    <w:rsid w:val="00B33125"/>
    <w:rsid w:val="00B33E7C"/>
    <w:rsid w:val="00B340CE"/>
    <w:rsid w:val="00B35EB5"/>
    <w:rsid w:val="00B36820"/>
    <w:rsid w:val="00B37493"/>
    <w:rsid w:val="00B377DC"/>
    <w:rsid w:val="00B40057"/>
    <w:rsid w:val="00B410EB"/>
    <w:rsid w:val="00B413F0"/>
    <w:rsid w:val="00B41EE4"/>
    <w:rsid w:val="00B421CF"/>
    <w:rsid w:val="00B433F7"/>
    <w:rsid w:val="00B437C1"/>
    <w:rsid w:val="00B43AFC"/>
    <w:rsid w:val="00B442CD"/>
    <w:rsid w:val="00B442D5"/>
    <w:rsid w:val="00B451AC"/>
    <w:rsid w:val="00B4599A"/>
    <w:rsid w:val="00B45BA8"/>
    <w:rsid w:val="00B46A74"/>
    <w:rsid w:val="00B46DF2"/>
    <w:rsid w:val="00B46E0F"/>
    <w:rsid w:val="00B4755A"/>
    <w:rsid w:val="00B479F2"/>
    <w:rsid w:val="00B47F4A"/>
    <w:rsid w:val="00B52A03"/>
    <w:rsid w:val="00B53961"/>
    <w:rsid w:val="00B53DBB"/>
    <w:rsid w:val="00B5448A"/>
    <w:rsid w:val="00B54AB5"/>
    <w:rsid w:val="00B55171"/>
    <w:rsid w:val="00B566D9"/>
    <w:rsid w:val="00B569B1"/>
    <w:rsid w:val="00B571AF"/>
    <w:rsid w:val="00B57C3B"/>
    <w:rsid w:val="00B60244"/>
    <w:rsid w:val="00B61C46"/>
    <w:rsid w:val="00B62A5C"/>
    <w:rsid w:val="00B6312F"/>
    <w:rsid w:val="00B63232"/>
    <w:rsid w:val="00B63F8B"/>
    <w:rsid w:val="00B6449E"/>
    <w:rsid w:val="00B658E2"/>
    <w:rsid w:val="00B65A3D"/>
    <w:rsid w:val="00B671BF"/>
    <w:rsid w:val="00B67992"/>
    <w:rsid w:val="00B67AF1"/>
    <w:rsid w:val="00B70380"/>
    <w:rsid w:val="00B70408"/>
    <w:rsid w:val="00B705E4"/>
    <w:rsid w:val="00B70C0A"/>
    <w:rsid w:val="00B71BFE"/>
    <w:rsid w:val="00B720BF"/>
    <w:rsid w:val="00B72202"/>
    <w:rsid w:val="00B72833"/>
    <w:rsid w:val="00B734B8"/>
    <w:rsid w:val="00B73746"/>
    <w:rsid w:val="00B73BDE"/>
    <w:rsid w:val="00B73E70"/>
    <w:rsid w:val="00B74131"/>
    <w:rsid w:val="00B74989"/>
    <w:rsid w:val="00B74A0A"/>
    <w:rsid w:val="00B75ADF"/>
    <w:rsid w:val="00B76892"/>
    <w:rsid w:val="00B77F9D"/>
    <w:rsid w:val="00B81C96"/>
    <w:rsid w:val="00B81DE3"/>
    <w:rsid w:val="00B826F0"/>
    <w:rsid w:val="00B82EAA"/>
    <w:rsid w:val="00B832AF"/>
    <w:rsid w:val="00B8355A"/>
    <w:rsid w:val="00B83928"/>
    <w:rsid w:val="00B86561"/>
    <w:rsid w:val="00B86D6A"/>
    <w:rsid w:val="00B87C7E"/>
    <w:rsid w:val="00B908BB"/>
    <w:rsid w:val="00B90D27"/>
    <w:rsid w:val="00B90E3D"/>
    <w:rsid w:val="00B90F47"/>
    <w:rsid w:val="00B92229"/>
    <w:rsid w:val="00B9278B"/>
    <w:rsid w:val="00B92EDD"/>
    <w:rsid w:val="00B93072"/>
    <w:rsid w:val="00B9315E"/>
    <w:rsid w:val="00B93437"/>
    <w:rsid w:val="00B938C1"/>
    <w:rsid w:val="00B93D68"/>
    <w:rsid w:val="00B95E8A"/>
    <w:rsid w:val="00B96015"/>
    <w:rsid w:val="00B96B4A"/>
    <w:rsid w:val="00BA0F6F"/>
    <w:rsid w:val="00BA12CE"/>
    <w:rsid w:val="00BA1AD0"/>
    <w:rsid w:val="00BA1C8D"/>
    <w:rsid w:val="00BA21A6"/>
    <w:rsid w:val="00BA3492"/>
    <w:rsid w:val="00BA4AFA"/>
    <w:rsid w:val="00BA5889"/>
    <w:rsid w:val="00BA61E4"/>
    <w:rsid w:val="00BA7782"/>
    <w:rsid w:val="00BB0187"/>
    <w:rsid w:val="00BB0607"/>
    <w:rsid w:val="00BB09F5"/>
    <w:rsid w:val="00BB1744"/>
    <w:rsid w:val="00BB2059"/>
    <w:rsid w:val="00BB2827"/>
    <w:rsid w:val="00BB342A"/>
    <w:rsid w:val="00BB4153"/>
    <w:rsid w:val="00BB41F9"/>
    <w:rsid w:val="00BB4761"/>
    <w:rsid w:val="00BB489A"/>
    <w:rsid w:val="00BB4D7C"/>
    <w:rsid w:val="00BB50D0"/>
    <w:rsid w:val="00BB53DD"/>
    <w:rsid w:val="00BB56C0"/>
    <w:rsid w:val="00BB5820"/>
    <w:rsid w:val="00BB5B37"/>
    <w:rsid w:val="00BB5D24"/>
    <w:rsid w:val="00BB6134"/>
    <w:rsid w:val="00BB6949"/>
    <w:rsid w:val="00BB72C6"/>
    <w:rsid w:val="00BB7548"/>
    <w:rsid w:val="00BB78A2"/>
    <w:rsid w:val="00BB79C4"/>
    <w:rsid w:val="00BC027B"/>
    <w:rsid w:val="00BC04DD"/>
    <w:rsid w:val="00BC0F85"/>
    <w:rsid w:val="00BC227C"/>
    <w:rsid w:val="00BC3525"/>
    <w:rsid w:val="00BC37EB"/>
    <w:rsid w:val="00BC4999"/>
    <w:rsid w:val="00BC4E12"/>
    <w:rsid w:val="00BC4FF6"/>
    <w:rsid w:val="00BC527E"/>
    <w:rsid w:val="00BC59F2"/>
    <w:rsid w:val="00BC60EA"/>
    <w:rsid w:val="00BC6105"/>
    <w:rsid w:val="00BC681B"/>
    <w:rsid w:val="00BC7FC3"/>
    <w:rsid w:val="00BD07F4"/>
    <w:rsid w:val="00BD0B08"/>
    <w:rsid w:val="00BD0F8B"/>
    <w:rsid w:val="00BD219F"/>
    <w:rsid w:val="00BD2479"/>
    <w:rsid w:val="00BD285F"/>
    <w:rsid w:val="00BD2F95"/>
    <w:rsid w:val="00BD4ADF"/>
    <w:rsid w:val="00BD5613"/>
    <w:rsid w:val="00BD5915"/>
    <w:rsid w:val="00BD5E31"/>
    <w:rsid w:val="00BD62A6"/>
    <w:rsid w:val="00BD726E"/>
    <w:rsid w:val="00BD7CCE"/>
    <w:rsid w:val="00BE0A89"/>
    <w:rsid w:val="00BE0F6D"/>
    <w:rsid w:val="00BE122B"/>
    <w:rsid w:val="00BE22B4"/>
    <w:rsid w:val="00BE23AC"/>
    <w:rsid w:val="00BE2D63"/>
    <w:rsid w:val="00BE2E9C"/>
    <w:rsid w:val="00BE3467"/>
    <w:rsid w:val="00BE3612"/>
    <w:rsid w:val="00BE3DF8"/>
    <w:rsid w:val="00BE453A"/>
    <w:rsid w:val="00BE48D2"/>
    <w:rsid w:val="00BE4AE5"/>
    <w:rsid w:val="00BE67CB"/>
    <w:rsid w:val="00BE70AF"/>
    <w:rsid w:val="00BE7252"/>
    <w:rsid w:val="00BE7800"/>
    <w:rsid w:val="00BF056F"/>
    <w:rsid w:val="00BF0BC6"/>
    <w:rsid w:val="00BF180D"/>
    <w:rsid w:val="00BF248C"/>
    <w:rsid w:val="00BF254E"/>
    <w:rsid w:val="00BF29BF"/>
    <w:rsid w:val="00BF2AAB"/>
    <w:rsid w:val="00BF306A"/>
    <w:rsid w:val="00BF60DF"/>
    <w:rsid w:val="00BF6333"/>
    <w:rsid w:val="00BF63C9"/>
    <w:rsid w:val="00BF65D1"/>
    <w:rsid w:val="00BF69DB"/>
    <w:rsid w:val="00BF6BC1"/>
    <w:rsid w:val="00C0044A"/>
    <w:rsid w:val="00C008FE"/>
    <w:rsid w:val="00C00988"/>
    <w:rsid w:val="00C00FBC"/>
    <w:rsid w:val="00C01748"/>
    <w:rsid w:val="00C01E5E"/>
    <w:rsid w:val="00C024BE"/>
    <w:rsid w:val="00C02E11"/>
    <w:rsid w:val="00C04B5A"/>
    <w:rsid w:val="00C04BCD"/>
    <w:rsid w:val="00C05190"/>
    <w:rsid w:val="00C0584E"/>
    <w:rsid w:val="00C0640C"/>
    <w:rsid w:val="00C0656F"/>
    <w:rsid w:val="00C06621"/>
    <w:rsid w:val="00C07B9D"/>
    <w:rsid w:val="00C10B16"/>
    <w:rsid w:val="00C11363"/>
    <w:rsid w:val="00C11D66"/>
    <w:rsid w:val="00C11EA2"/>
    <w:rsid w:val="00C1389F"/>
    <w:rsid w:val="00C13925"/>
    <w:rsid w:val="00C14216"/>
    <w:rsid w:val="00C14DE4"/>
    <w:rsid w:val="00C15569"/>
    <w:rsid w:val="00C15A8B"/>
    <w:rsid w:val="00C15C5A"/>
    <w:rsid w:val="00C16FFE"/>
    <w:rsid w:val="00C176BD"/>
    <w:rsid w:val="00C20756"/>
    <w:rsid w:val="00C20AC1"/>
    <w:rsid w:val="00C20EBB"/>
    <w:rsid w:val="00C22BE5"/>
    <w:rsid w:val="00C22C66"/>
    <w:rsid w:val="00C22DD9"/>
    <w:rsid w:val="00C2308A"/>
    <w:rsid w:val="00C24104"/>
    <w:rsid w:val="00C245F8"/>
    <w:rsid w:val="00C24659"/>
    <w:rsid w:val="00C24980"/>
    <w:rsid w:val="00C24E9E"/>
    <w:rsid w:val="00C2509C"/>
    <w:rsid w:val="00C25FBC"/>
    <w:rsid w:val="00C26129"/>
    <w:rsid w:val="00C26AF8"/>
    <w:rsid w:val="00C30071"/>
    <w:rsid w:val="00C30967"/>
    <w:rsid w:val="00C30EC2"/>
    <w:rsid w:val="00C31FEE"/>
    <w:rsid w:val="00C33162"/>
    <w:rsid w:val="00C33D27"/>
    <w:rsid w:val="00C358CD"/>
    <w:rsid w:val="00C35CB4"/>
    <w:rsid w:val="00C361EB"/>
    <w:rsid w:val="00C36208"/>
    <w:rsid w:val="00C362E6"/>
    <w:rsid w:val="00C36B92"/>
    <w:rsid w:val="00C37097"/>
    <w:rsid w:val="00C40151"/>
    <w:rsid w:val="00C4050E"/>
    <w:rsid w:val="00C405D9"/>
    <w:rsid w:val="00C40F21"/>
    <w:rsid w:val="00C41739"/>
    <w:rsid w:val="00C41C27"/>
    <w:rsid w:val="00C42083"/>
    <w:rsid w:val="00C4675D"/>
    <w:rsid w:val="00C47677"/>
    <w:rsid w:val="00C52C5B"/>
    <w:rsid w:val="00C52E31"/>
    <w:rsid w:val="00C533CD"/>
    <w:rsid w:val="00C53E31"/>
    <w:rsid w:val="00C544E1"/>
    <w:rsid w:val="00C558DD"/>
    <w:rsid w:val="00C56C47"/>
    <w:rsid w:val="00C57ED5"/>
    <w:rsid w:val="00C6069C"/>
    <w:rsid w:val="00C60931"/>
    <w:rsid w:val="00C63313"/>
    <w:rsid w:val="00C63A42"/>
    <w:rsid w:val="00C63B2E"/>
    <w:rsid w:val="00C63EFB"/>
    <w:rsid w:val="00C64275"/>
    <w:rsid w:val="00C6460A"/>
    <w:rsid w:val="00C6472A"/>
    <w:rsid w:val="00C653A2"/>
    <w:rsid w:val="00C66162"/>
    <w:rsid w:val="00C66864"/>
    <w:rsid w:val="00C701B5"/>
    <w:rsid w:val="00C7100D"/>
    <w:rsid w:val="00C71C95"/>
    <w:rsid w:val="00C7259A"/>
    <w:rsid w:val="00C741DE"/>
    <w:rsid w:val="00C745D2"/>
    <w:rsid w:val="00C754CF"/>
    <w:rsid w:val="00C76098"/>
    <w:rsid w:val="00C77FF1"/>
    <w:rsid w:val="00C80523"/>
    <w:rsid w:val="00C809B4"/>
    <w:rsid w:val="00C80A5B"/>
    <w:rsid w:val="00C8107A"/>
    <w:rsid w:val="00C813F0"/>
    <w:rsid w:val="00C820E4"/>
    <w:rsid w:val="00C82196"/>
    <w:rsid w:val="00C83081"/>
    <w:rsid w:val="00C84496"/>
    <w:rsid w:val="00C84AF9"/>
    <w:rsid w:val="00C84BED"/>
    <w:rsid w:val="00C85300"/>
    <w:rsid w:val="00C858F5"/>
    <w:rsid w:val="00C8590D"/>
    <w:rsid w:val="00C86358"/>
    <w:rsid w:val="00C86623"/>
    <w:rsid w:val="00C870A2"/>
    <w:rsid w:val="00C9043C"/>
    <w:rsid w:val="00C90F09"/>
    <w:rsid w:val="00C91669"/>
    <w:rsid w:val="00C91B7F"/>
    <w:rsid w:val="00C93119"/>
    <w:rsid w:val="00C933EE"/>
    <w:rsid w:val="00C93B08"/>
    <w:rsid w:val="00C93B31"/>
    <w:rsid w:val="00C93C43"/>
    <w:rsid w:val="00C949A1"/>
    <w:rsid w:val="00C9664F"/>
    <w:rsid w:val="00C96DC3"/>
    <w:rsid w:val="00CA0C86"/>
    <w:rsid w:val="00CA123A"/>
    <w:rsid w:val="00CA1485"/>
    <w:rsid w:val="00CA1E77"/>
    <w:rsid w:val="00CA2BB6"/>
    <w:rsid w:val="00CA3214"/>
    <w:rsid w:val="00CA4692"/>
    <w:rsid w:val="00CA590A"/>
    <w:rsid w:val="00CA59F9"/>
    <w:rsid w:val="00CA5B78"/>
    <w:rsid w:val="00CA5F39"/>
    <w:rsid w:val="00CA62E7"/>
    <w:rsid w:val="00CA6430"/>
    <w:rsid w:val="00CA6A12"/>
    <w:rsid w:val="00CA6AE3"/>
    <w:rsid w:val="00CA6F8C"/>
    <w:rsid w:val="00CB0746"/>
    <w:rsid w:val="00CB1D69"/>
    <w:rsid w:val="00CB1DFC"/>
    <w:rsid w:val="00CB1E9D"/>
    <w:rsid w:val="00CB23F1"/>
    <w:rsid w:val="00CB2435"/>
    <w:rsid w:val="00CB365D"/>
    <w:rsid w:val="00CB3E91"/>
    <w:rsid w:val="00CB3F4F"/>
    <w:rsid w:val="00CB52A8"/>
    <w:rsid w:val="00CB6491"/>
    <w:rsid w:val="00CB6C73"/>
    <w:rsid w:val="00CB749B"/>
    <w:rsid w:val="00CB7C19"/>
    <w:rsid w:val="00CB7E86"/>
    <w:rsid w:val="00CC1B21"/>
    <w:rsid w:val="00CC285A"/>
    <w:rsid w:val="00CC34A8"/>
    <w:rsid w:val="00CC42B2"/>
    <w:rsid w:val="00CC4321"/>
    <w:rsid w:val="00CC4775"/>
    <w:rsid w:val="00CC47E6"/>
    <w:rsid w:val="00CC58AA"/>
    <w:rsid w:val="00CC6ABC"/>
    <w:rsid w:val="00CC7E78"/>
    <w:rsid w:val="00CD00D4"/>
    <w:rsid w:val="00CD014A"/>
    <w:rsid w:val="00CD0735"/>
    <w:rsid w:val="00CD08AA"/>
    <w:rsid w:val="00CD1947"/>
    <w:rsid w:val="00CD2179"/>
    <w:rsid w:val="00CD22C3"/>
    <w:rsid w:val="00CD3083"/>
    <w:rsid w:val="00CD32D9"/>
    <w:rsid w:val="00CD4C18"/>
    <w:rsid w:val="00CD6460"/>
    <w:rsid w:val="00CD6660"/>
    <w:rsid w:val="00CD6E90"/>
    <w:rsid w:val="00CD6F60"/>
    <w:rsid w:val="00CD7F16"/>
    <w:rsid w:val="00CE0502"/>
    <w:rsid w:val="00CE0C09"/>
    <w:rsid w:val="00CE14CA"/>
    <w:rsid w:val="00CE1675"/>
    <w:rsid w:val="00CE1B70"/>
    <w:rsid w:val="00CE1CE7"/>
    <w:rsid w:val="00CE286C"/>
    <w:rsid w:val="00CE2877"/>
    <w:rsid w:val="00CE3890"/>
    <w:rsid w:val="00CE4428"/>
    <w:rsid w:val="00CE49B5"/>
    <w:rsid w:val="00CE56E8"/>
    <w:rsid w:val="00CE5913"/>
    <w:rsid w:val="00CE5B8B"/>
    <w:rsid w:val="00CE63AA"/>
    <w:rsid w:val="00CE6C52"/>
    <w:rsid w:val="00CE6CD0"/>
    <w:rsid w:val="00CF06A0"/>
    <w:rsid w:val="00CF0B90"/>
    <w:rsid w:val="00CF1548"/>
    <w:rsid w:val="00CF1877"/>
    <w:rsid w:val="00CF1D80"/>
    <w:rsid w:val="00CF1EAD"/>
    <w:rsid w:val="00CF2105"/>
    <w:rsid w:val="00CF3192"/>
    <w:rsid w:val="00CF34AD"/>
    <w:rsid w:val="00CF3A7C"/>
    <w:rsid w:val="00CF3EB9"/>
    <w:rsid w:val="00CF49C7"/>
    <w:rsid w:val="00CF4C96"/>
    <w:rsid w:val="00CF5138"/>
    <w:rsid w:val="00CF5F9E"/>
    <w:rsid w:val="00CF64D6"/>
    <w:rsid w:val="00CF66B2"/>
    <w:rsid w:val="00CF787C"/>
    <w:rsid w:val="00CF7A9F"/>
    <w:rsid w:val="00D00323"/>
    <w:rsid w:val="00D00F60"/>
    <w:rsid w:val="00D027E0"/>
    <w:rsid w:val="00D03FA1"/>
    <w:rsid w:val="00D04418"/>
    <w:rsid w:val="00D0507E"/>
    <w:rsid w:val="00D05127"/>
    <w:rsid w:val="00D051F1"/>
    <w:rsid w:val="00D05409"/>
    <w:rsid w:val="00D056B8"/>
    <w:rsid w:val="00D0637C"/>
    <w:rsid w:val="00D0759C"/>
    <w:rsid w:val="00D10076"/>
    <w:rsid w:val="00D104E9"/>
    <w:rsid w:val="00D11F8D"/>
    <w:rsid w:val="00D12883"/>
    <w:rsid w:val="00D12C54"/>
    <w:rsid w:val="00D12F27"/>
    <w:rsid w:val="00D13046"/>
    <w:rsid w:val="00D13970"/>
    <w:rsid w:val="00D142A3"/>
    <w:rsid w:val="00D143D2"/>
    <w:rsid w:val="00D14EB8"/>
    <w:rsid w:val="00D15403"/>
    <w:rsid w:val="00D15DC0"/>
    <w:rsid w:val="00D161C4"/>
    <w:rsid w:val="00D1747C"/>
    <w:rsid w:val="00D202A3"/>
    <w:rsid w:val="00D202C4"/>
    <w:rsid w:val="00D20865"/>
    <w:rsid w:val="00D20AA4"/>
    <w:rsid w:val="00D218B2"/>
    <w:rsid w:val="00D21A75"/>
    <w:rsid w:val="00D220D2"/>
    <w:rsid w:val="00D24239"/>
    <w:rsid w:val="00D24A9C"/>
    <w:rsid w:val="00D24E2E"/>
    <w:rsid w:val="00D251F6"/>
    <w:rsid w:val="00D260ED"/>
    <w:rsid w:val="00D27087"/>
    <w:rsid w:val="00D27956"/>
    <w:rsid w:val="00D27A0A"/>
    <w:rsid w:val="00D27C44"/>
    <w:rsid w:val="00D31BCF"/>
    <w:rsid w:val="00D32209"/>
    <w:rsid w:val="00D3275F"/>
    <w:rsid w:val="00D32B2D"/>
    <w:rsid w:val="00D336E3"/>
    <w:rsid w:val="00D34BC7"/>
    <w:rsid w:val="00D34EFF"/>
    <w:rsid w:val="00D35B33"/>
    <w:rsid w:val="00D36407"/>
    <w:rsid w:val="00D36ED8"/>
    <w:rsid w:val="00D36FE6"/>
    <w:rsid w:val="00D37245"/>
    <w:rsid w:val="00D4068F"/>
    <w:rsid w:val="00D40B25"/>
    <w:rsid w:val="00D40DE3"/>
    <w:rsid w:val="00D4157D"/>
    <w:rsid w:val="00D43454"/>
    <w:rsid w:val="00D43B81"/>
    <w:rsid w:val="00D47EC5"/>
    <w:rsid w:val="00D50235"/>
    <w:rsid w:val="00D504E6"/>
    <w:rsid w:val="00D50CA9"/>
    <w:rsid w:val="00D50E83"/>
    <w:rsid w:val="00D5102E"/>
    <w:rsid w:val="00D519A4"/>
    <w:rsid w:val="00D51C4E"/>
    <w:rsid w:val="00D521D3"/>
    <w:rsid w:val="00D54A7C"/>
    <w:rsid w:val="00D54AA2"/>
    <w:rsid w:val="00D54D0A"/>
    <w:rsid w:val="00D558DB"/>
    <w:rsid w:val="00D56046"/>
    <w:rsid w:val="00D5636E"/>
    <w:rsid w:val="00D56CDD"/>
    <w:rsid w:val="00D5703A"/>
    <w:rsid w:val="00D6002E"/>
    <w:rsid w:val="00D6085D"/>
    <w:rsid w:val="00D6085F"/>
    <w:rsid w:val="00D61268"/>
    <w:rsid w:val="00D61F8E"/>
    <w:rsid w:val="00D62E8F"/>
    <w:rsid w:val="00D63526"/>
    <w:rsid w:val="00D64BD0"/>
    <w:rsid w:val="00D64C8C"/>
    <w:rsid w:val="00D655AD"/>
    <w:rsid w:val="00D65CEB"/>
    <w:rsid w:val="00D67AE4"/>
    <w:rsid w:val="00D67EE6"/>
    <w:rsid w:val="00D704FB"/>
    <w:rsid w:val="00D70655"/>
    <w:rsid w:val="00D70B78"/>
    <w:rsid w:val="00D71559"/>
    <w:rsid w:val="00D72030"/>
    <w:rsid w:val="00D7256A"/>
    <w:rsid w:val="00D725CD"/>
    <w:rsid w:val="00D7295D"/>
    <w:rsid w:val="00D7384E"/>
    <w:rsid w:val="00D73AB3"/>
    <w:rsid w:val="00D73D69"/>
    <w:rsid w:val="00D7505F"/>
    <w:rsid w:val="00D75CC5"/>
    <w:rsid w:val="00D76446"/>
    <w:rsid w:val="00D777B3"/>
    <w:rsid w:val="00D77A6E"/>
    <w:rsid w:val="00D77DDA"/>
    <w:rsid w:val="00D77F76"/>
    <w:rsid w:val="00D80708"/>
    <w:rsid w:val="00D8085A"/>
    <w:rsid w:val="00D8095C"/>
    <w:rsid w:val="00D81187"/>
    <w:rsid w:val="00D81982"/>
    <w:rsid w:val="00D82EEE"/>
    <w:rsid w:val="00D8493B"/>
    <w:rsid w:val="00D84E6D"/>
    <w:rsid w:val="00D85258"/>
    <w:rsid w:val="00D85B73"/>
    <w:rsid w:val="00D86586"/>
    <w:rsid w:val="00D87616"/>
    <w:rsid w:val="00D91089"/>
    <w:rsid w:val="00D91DD5"/>
    <w:rsid w:val="00D93E29"/>
    <w:rsid w:val="00D94BEC"/>
    <w:rsid w:val="00D95443"/>
    <w:rsid w:val="00D955EE"/>
    <w:rsid w:val="00D95B0F"/>
    <w:rsid w:val="00D96B48"/>
    <w:rsid w:val="00D96BB3"/>
    <w:rsid w:val="00DA02C2"/>
    <w:rsid w:val="00DA1F1B"/>
    <w:rsid w:val="00DA2597"/>
    <w:rsid w:val="00DA2F24"/>
    <w:rsid w:val="00DA3091"/>
    <w:rsid w:val="00DA3A47"/>
    <w:rsid w:val="00DA4A6B"/>
    <w:rsid w:val="00DA5416"/>
    <w:rsid w:val="00DA7FC1"/>
    <w:rsid w:val="00DB05DE"/>
    <w:rsid w:val="00DB0648"/>
    <w:rsid w:val="00DB067E"/>
    <w:rsid w:val="00DB0747"/>
    <w:rsid w:val="00DB1690"/>
    <w:rsid w:val="00DB1775"/>
    <w:rsid w:val="00DB181F"/>
    <w:rsid w:val="00DB4730"/>
    <w:rsid w:val="00DB4C15"/>
    <w:rsid w:val="00DB54CD"/>
    <w:rsid w:val="00DB5822"/>
    <w:rsid w:val="00DB5DA7"/>
    <w:rsid w:val="00DB625F"/>
    <w:rsid w:val="00DB6424"/>
    <w:rsid w:val="00DB67D7"/>
    <w:rsid w:val="00DB7005"/>
    <w:rsid w:val="00DB766D"/>
    <w:rsid w:val="00DB790C"/>
    <w:rsid w:val="00DB7C55"/>
    <w:rsid w:val="00DB7DCD"/>
    <w:rsid w:val="00DC0607"/>
    <w:rsid w:val="00DC16FB"/>
    <w:rsid w:val="00DC1B28"/>
    <w:rsid w:val="00DC1B97"/>
    <w:rsid w:val="00DC1DAE"/>
    <w:rsid w:val="00DC21B9"/>
    <w:rsid w:val="00DC284D"/>
    <w:rsid w:val="00DC2886"/>
    <w:rsid w:val="00DC37B5"/>
    <w:rsid w:val="00DC3F6C"/>
    <w:rsid w:val="00DC57C3"/>
    <w:rsid w:val="00DC5C90"/>
    <w:rsid w:val="00DC62AA"/>
    <w:rsid w:val="00DC73AC"/>
    <w:rsid w:val="00DC7414"/>
    <w:rsid w:val="00DD08B7"/>
    <w:rsid w:val="00DD0A16"/>
    <w:rsid w:val="00DD0AAD"/>
    <w:rsid w:val="00DD0EED"/>
    <w:rsid w:val="00DD1FED"/>
    <w:rsid w:val="00DD2804"/>
    <w:rsid w:val="00DD419E"/>
    <w:rsid w:val="00DD426F"/>
    <w:rsid w:val="00DD4279"/>
    <w:rsid w:val="00DD5620"/>
    <w:rsid w:val="00DD5989"/>
    <w:rsid w:val="00DD6256"/>
    <w:rsid w:val="00DD6631"/>
    <w:rsid w:val="00DD7706"/>
    <w:rsid w:val="00DE0212"/>
    <w:rsid w:val="00DE03E1"/>
    <w:rsid w:val="00DE0B06"/>
    <w:rsid w:val="00DE1234"/>
    <w:rsid w:val="00DE13AA"/>
    <w:rsid w:val="00DE14F5"/>
    <w:rsid w:val="00DE1E55"/>
    <w:rsid w:val="00DE2151"/>
    <w:rsid w:val="00DE29FA"/>
    <w:rsid w:val="00DE2B7A"/>
    <w:rsid w:val="00DE40C0"/>
    <w:rsid w:val="00DE4E38"/>
    <w:rsid w:val="00DE549F"/>
    <w:rsid w:val="00DE578C"/>
    <w:rsid w:val="00DE67F7"/>
    <w:rsid w:val="00DE6F08"/>
    <w:rsid w:val="00DE7636"/>
    <w:rsid w:val="00DE7A86"/>
    <w:rsid w:val="00DF0270"/>
    <w:rsid w:val="00DF040E"/>
    <w:rsid w:val="00DF06F2"/>
    <w:rsid w:val="00DF0810"/>
    <w:rsid w:val="00DF1ABC"/>
    <w:rsid w:val="00DF25D2"/>
    <w:rsid w:val="00DF2C18"/>
    <w:rsid w:val="00DF330C"/>
    <w:rsid w:val="00DF3A1B"/>
    <w:rsid w:val="00DF469F"/>
    <w:rsid w:val="00DF46F1"/>
    <w:rsid w:val="00DF4DC3"/>
    <w:rsid w:val="00DF7889"/>
    <w:rsid w:val="00E006A5"/>
    <w:rsid w:val="00E00A96"/>
    <w:rsid w:val="00E00CB2"/>
    <w:rsid w:val="00E027EB"/>
    <w:rsid w:val="00E02FF9"/>
    <w:rsid w:val="00E03D69"/>
    <w:rsid w:val="00E04B76"/>
    <w:rsid w:val="00E04E99"/>
    <w:rsid w:val="00E0649A"/>
    <w:rsid w:val="00E07A0C"/>
    <w:rsid w:val="00E1048D"/>
    <w:rsid w:val="00E10CA4"/>
    <w:rsid w:val="00E11FA7"/>
    <w:rsid w:val="00E124F7"/>
    <w:rsid w:val="00E12AB2"/>
    <w:rsid w:val="00E12E5E"/>
    <w:rsid w:val="00E131A5"/>
    <w:rsid w:val="00E13A7D"/>
    <w:rsid w:val="00E148BA"/>
    <w:rsid w:val="00E150B6"/>
    <w:rsid w:val="00E15498"/>
    <w:rsid w:val="00E17182"/>
    <w:rsid w:val="00E175E2"/>
    <w:rsid w:val="00E2009E"/>
    <w:rsid w:val="00E202D1"/>
    <w:rsid w:val="00E20478"/>
    <w:rsid w:val="00E20752"/>
    <w:rsid w:val="00E20B56"/>
    <w:rsid w:val="00E20BE1"/>
    <w:rsid w:val="00E213CC"/>
    <w:rsid w:val="00E21802"/>
    <w:rsid w:val="00E21856"/>
    <w:rsid w:val="00E219A0"/>
    <w:rsid w:val="00E21F82"/>
    <w:rsid w:val="00E22274"/>
    <w:rsid w:val="00E226A5"/>
    <w:rsid w:val="00E22EA0"/>
    <w:rsid w:val="00E2321F"/>
    <w:rsid w:val="00E247EF"/>
    <w:rsid w:val="00E24994"/>
    <w:rsid w:val="00E24F66"/>
    <w:rsid w:val="00E2553E"/>
    <w:rsid w:val="00E25D90"/>
    <w:rsid w:val="00E26DFA"/>
    <w:rsid w:val="00E31446"/>
    <w:rsid w:val="00E31960"/>
    <w:rsid w:val="00E319F2"/>
    <w:rsid w:val="00E31A69"/>
    <w:rsid w:val="00E31D64"/>
    <w:rsid w:val="00E32159"/>
    <w:rsid w:val="00E32433"/>
    <w:rsid w:val="00E3266D"/>
    <w:rsid w:val="00E327C7"/>
    <w:rsid w:val="00E32AD0"/>
    <w:rsid w:val="00E32F81"/>
    <w:rsid w:val="00E335A4"/>
    <w:rsid w:val="00E33A2E"/>
    <w:rsid w:val="00E33B94"/>
    <w:rsid w:val="00E33D8B"/>
    <w:rsid w:val="00E342EA"/>
    <w:rsid w:val="00E3492F"/>
    <w:rsid w:val="00E34C58"/>
    <w:rsid w:val="00E36588"/>
    <w:rsid w:val="00E3672C"/>
    <w:rsid w:val="00E37F1D"/>
    <w:rsid w:val="00E4090D"/>
    <w:rsid w:val="00E409B8"/>
    <w:rsid w:val="00E40AC9"/>
    <w:rsid w:val="00E40E0E"/>
    <w:rsid w:val="00E41B2F"/>
    <w:rsid w:val="00E422AC"/>
    <w:rsid w:val="00E440B8"/>
    <w:rsid w:val="00E44F48"/>
    <w:rsid w:val="00E458C9"/>
    <w:rsid w:val="00E45E4E"/>
    <w:rsid w:val="00E46160"/>
    <w:rsid w:val="00E4652B"/>
    <w:rsid w:val="00E4789C"/>
    <w:rsid w:val="00E479FE"/>
    <w:rsid w:val="00E50611"/>
    <w:rsid w:val="00E50993"/>
    <w:rsid w:val="00E51D79"/>
    <w:rsid w:val="00E52319"/>
    <w:rsid w:val="00E52BF6"/>
    <w:rsid w:val="00E52C76"/>
    <w:rsid w:val="00E52DD1"/>
    <w:rsid w:val="00E53353"/>
    <w:rsid w:val="00E53461"/>
    <w:rsid w:val="00E53959"/>
    <w:rsid w:val="00E53ED9"/>
    <w:rsid w:val="00E540CB"/>
    <w:rsid w:val="00E54B31"/>
    <w:rsid w:val="00E55197"/>
    <w:rsid w:val="00E5595A"/>
    <w:rsid w:val="00E56297"/>
    <w:rsid w:val="00E5782B"/>
    <w:rsid w:val="00E57D5E"/>
    <w:rsid w:val="00E600A1"/>
    <w:rsid w:val="00E6020D"/>
    <w:rsid w:val="00E607C1"/>
    <w:rsid w:val="00E60823"/>
    <w:rsid w:val="00E60D67"/>
    <w:rsid w:val="00E60DE2"/>
    <w:rsid w:val="00E614EE"/>
    <w:rsid w:val="00E6153C"/>
    <w:rsid w:val="00E6161C"/>
    <w:rsid w:val="00E61A68"/>
    <w:rsid w:val="00E6296F"/>
    <w:rsid w:val="00E64233"/>
    <w:rsid w:val="00E6560A"/>
    <w:rsid w:val="00E656BA"/>
    <w:rsid w:val="00E66BB9"/>
    <w:rsid w:val="00E66BCF"/>
    <w:rsid w:val="00E67370"/>
    <w:rsid w:val="00E707D6"/>
    <w:rsid w:val="00E715C6"/>
    <w:rsid w:val="00E72117"/>
    <w:rsid w:val="00E7349F"/>
    <w:rsid w:val="00E73959"/>
    <w:rsid w:val="00E739CD"/>
    <w:rsid w:val="00E73AB8"/>
    <w:rsid w:val="00E73D7E"/>
    <w:rsid w:val="00E742DD"/>
    <w:rsid w:val="00E7462F"/>
    <w:rsid w:val="00E74A47"/>
    <w:rsid w:val="00E74B14"/>
    <w:rsid w:val="00E753C1"/>
    <w:rsid w:val="00E7569B"/>
    <w:rsid w:val="00E75B9E"/>
    <w:rsid w:val="00E76960"/>
    <w:rsid w:val="00E76ACE"/>
    <w:rsid w:val="00E775EC"/>
    <w:rsid w:val="00E816E9"/>
    <w:rsid w:val="00E818C7"/>
    <w:rsid w:val="00E819BE"/>
    <w:rsid w:val="00E82B30"/>
    <w:rsid w:val="00E833EB"/>
    <w:rsid w:val="00E839FE"/>
    <w:rsid w:val="00E84160"/>
    <w:rsid w:val="00E85375"/>
    <w:rsid w:val="00E85961"/>
    <w:rsid w:val="00E85A38"/>
    <w:rsid w:val="00E85C56"/>
    <w:rsid w:val="00E860F7"/>
    <w:rsid w:val="00E862FD"/>
    <w:rsid w:val="00E866F5"/>
    <w:rsid w:val="00E86A69"/>
    <w:rsid w:val="00E86B0E"/>
    <w:rsid w:val="00E86B4A"/>
    <w:rsid w:val="00E87EE9"/>
    <w:rsid w:val="00E9220A"/>
    <w:rsid w:val="00E92298"/>
    <w:rsid w:val="00E92B30"/>
    <w:rsid w:val="00E93102"/>
    <w:rsid w:val="00E9386F"/>
    <w:rsid w:val="00E94002"/>
    <w:rsid w:val="00E94A97"/>
    <w:rsid w:val="00E957F7"/>
    <w:rsid w:val="00E9613F"/>
    <w:rsid w:val="00E96EC3"/>
    <w:rsid w:val="00E97435"/>
    <w:rsid w:val="00E97DC3"/>
    <w:rsid w:val="00EA032F"/>
    <w:rsid w:val="00EA03AE"/>
    <w:rsid w:val="00EA055A"/>
    <w:rsid w:val="00EA0A03"/>
    <w:rsid w:val="00EA0B88"/>
    <w:rsid w:val="00EA1AB1"/>
    <w:rsid w:val="00EA1BD3"/>
    <w:rsid w:val="00EA1EA6"/>
    <w:rsid w:val="00EA2AE6"/>
    <w:rsid w:val="00EA4B6D"/>
    <w:rsid w:val="00EA50E5"/>
    <w:rsid w:val="00EA593C"/>
    <w:rsid w:val="00EA5D92"/>
    <w:rsid w:val="00EA60A0"/>
    <w:rsid w:val="00EA6B1E"/>
    <w:rsid w:val="00EA72FE"/>
    <w:rsid w:val="00EB1515"/>
    <w:rsid w:val="00EB1E41"/>
    <w:rsid w:val="00EB2856"/>
    <w:rsid w:val="00EB2A74"/>
    <w:rsid w:val="00EB2BF0"/>
    <w:rsid w:val="00EB2E6C"/>
    <w:rsid w:val="00EB34AF"/>
    <w:rsid w:val="00EB39ED"/>
    <w:rsid w:val="00EB46A4"/>
    <w:rsid w:val="00EB5890"/>
    <w:rsid w:val="00EB5BC7"/>
    <w:rsid w:val="00EB63DB"/>
    <w:rsid w:val="00EB679E"/>
    <w:rsid w:val="00EB702A"/>
    <w:rsid w:val="00EB7351"/>
    <w:rsid w:val="00EB7D4C"/>
    <w:rsid w:val="00EC003F"/>
    <w:rsid w:val="00EC0437"/>
    <w:rsid w:val="00EC05C2"/>
    <w:rsid w:val="00EC1597"/>
    <w:rsid w:val="00EC1B3C"/>
    <w:rsid w:val="00EC4544"/>
    <w:rsid w:val="00EC4736"/>
    <w:rsid w:val="00EC5315"/>
    <w:rsid w:val="00EC59AD"/>
    <w:rsid w:val="00EC5C51"/>
    <w:rsid w:val="00EC5F58"/>
    <w:rsid w:val="00EC5F8C"/>
    <w:rsid w:val="00EC6A22"/>
    <w:rsid w:val="00ED0350"/>
    <w:rsid w:val="00ED0595"/>
    <w:rsid w:val="00ED0603"/>
    <w:rsid w:val="00ED0858"/>
    <w:rsid w:val="00ED14B6"/>
    <w:rsid w:val="00ED201A"/>
    <w:rsid w:val="00ED2073"/>
    <w:rsid w:val="00ED2133"/>
    <w:rsid w:val="00ED2611"/>
    <w:rsid w:val="00ED2BA3"/>
    <w:rsid w:val="00ED3D5B"/>
    <w:rsid w:val="00ED4307"/>
    <w:rsid w:val="00ED438A"/>
    <w:rsid w:val="00ED44FF"/>
    <w:rsid w:val="00ED4FF0"/>
    <w:rsid w:val="00ED5D19"/>
    <w:rsid w:val="00ED6BB5"/>
    <w:rsid w:val="00EE10D1"/>
    <w:rsid w:val="00EE11CF"/>
    <w:rsid w:val="00EE1A68"/>
    <w:rsid w:val="00EE2476"/>
    <w:rsid w:val="00EE299B"/>
    <w:rsid w:val="00EE2E9D"/>
    <w:rsid w:val="00EE3216"/>
    <w:rsid w:val="00EE3271"/>
    <w:rsid w:val="00EE3411"/>
    <w:rsid w:val="00EE383F"/>
    <w:rsid w:val="00EE3BD6"/>
    <w:rsid w:val="00EE4A16"/>
    <w:rsid w:val="00EE4C6B"/>
    <w:rsid w:val="00EE5454"/>
    <w:rsid w:val="00EE5665"/>
    <w:rsid w:val="00EE5BAF"/>
    <w:rsid w:val="00EE5BE5"/>
    <w:rsid w:val="00EE5FC9"/>
    <w:rsid w:val="00EE6059"/>
    <w:rsid w:val="00EE6879"/>
    <w:rsid w:val="00EE6A50"/>
    <w:rsid w:val="00EE745C"/>
    <w:rsid w:val="00EE750C"/>
    <w:rsid w:val="00EE75C2"/>
    <w:rsid w:val="00EE7FCA"/>
    <w:rsid w:val="00EF0712"/>
    <w:rsid w:val="00EF0B2A"/>
    <w:rsid w:val="00EF1999"/>
    <w:rsid w:val="00EF2590"/>
    <w:rsid w:val="00EF2DC4"/>
    <w:rsid w:val="00EF3199"/>
    <w:rsid w:val="00EF3C70"/>
    <w:rsid w:val="00EF50B4"/>
    <w:rsid w:val="00EF5B22"/>
    <w:rsid w:val="00EF6415"/>
    <w:rsid w:val="00EF6C1D"/>
    <w:rsid w:val="00EF7255"/>
    <w:rsid w:val="00EF7D12"/>
    <w:rsid w:val="00EF7FBA"/>
    <w:rsid w:val="00F0015F"/>
    <w:rsid w:val="00F004B2"/>
    <w:rsid w:val="00F007D2"/>
    <w:rsid w:val="00F00E19"/>
    <w:rsid w:val="00F02376"/>
    <w:rsid w:val="00F02720"/>
    <w:rsid w:val="00F02B49"/>
    <w:rsid w:val="00F02E67"/>
    <w:rsid w:val="00F03767"/>
    <w:rsid w:val="00F03785"/>
    <w:rsid w:val="00F044CC"/>
    <w:rsid w:val="00F04F19"/>
    <w:rsid w:val="00F05672"/>
    <w:rsid w:val="00F0621F"/>
    <w:rsid w:val="00F066D3"/>
    <w:rsid w:val="00F06B21"/>
    <w:rsid w:val="00F06B69"/>
    <w:rsid w:val="00F0711C"/>
    <w:rsid w:val="00F078C0"/>
    <w:rsid w:val="00F10549"/>
    <w:rsid w:val="00F116D2"/>
    <w:rsid w:val="00F12491"/>
    <w:rsid w:val="00F1286C"/>
    <w:rsid w:val="00F133E6"/>
    <w:rsid w:val="00F14384"/>
    <w:rsid w:val="00F145BC"/>
    <w:rsid w:val="00F16F27"/>
    <w:rsid w:val="00F1791A"/>
    <w:rsid w:val="00F17CCE"/>
    <w:rsid w:val="00F20355"/>
    <w:rsid w:val="00F20575"/>
    <w:rsid w:val="00F213CC"/>
    <w:rsid w:val="00F25645"/>
    <w:rsid w:val="00F2602E"/>
    <w:rsid w:val="00F272A3"/>
    <w:rsid w:val="00F2747B"/>
    <w:rsid w:val="00F27A30"/>
    <w:rsid w:val="00F27F17"/>
    <w:rsid w:val="00F30580"/>
    <w:rsid w:val="00F30CBD"/>
    <w:rsid w:val="00F31505"/>
    <w:rsid w:val="00F31A11"/>
    <w:rsid w:val="00F3322F"/>
    <w:rsid w:val="00F33421"/>
    <w:rsid w:val="00F33435"/>
    <w:rsid w:val="00F33992"/>
    <w:rsid w:val="00F342B5"/>
    <w:rsid w:val="00F34884"/>
    <w:rsid w:val="00F35DEE"/>
    <w:rsid w:val="00F37914"/>
    <w:rsid w:val="00F37AE0"/>
    <w:rsid w:val="00F37E0D"/>
    <w:rsid w:val="00F40E44"/>
    <w:rsid w:val="00F416EB"/>
    <w:rsid w:val="00F417E8"/>
    <w:rsid w:val="00F4202C"/>
    <w:rsid w:val="00F42394"/>
    <w:rsid w:val="00F42EDC"/>
    <w:rsid w:val="00F43138"/>
    <w:rsid w:val="00F43324"/>
    <w:rsid w:val="00F43C04"/>
    <w:rsid w:val="00F43E0D"/>
    <w:rsid w:val="00F44F08"/>
    <w:rsid w:val="00F459C3"/>
    <w:rsid w:val="00F45A36"/>
    <w:rsid w:val="00F46134"/>
    <w:rsid w:val="00F46BAC"/>
    <w:rsid w:val="00F46EF5"/>
    <w:rsid w:val="00F50157"/>
    <w:rsid w:val="00F50C6B"/>
    <w:rsid w:val="00F521DD"/>
    <w:rsid w:val="00F52DB7"/>
    <w:rsid w:val="00F52F7C"/>
    <w:rsid w:val="00F53068"/>
    <w:rsid w:val="00F5325C"/>
    <w:rsid w:val="00F54472"/>
    <w:rsid w:val="00F547DB"/>
    <w:rsid w:val="00F54984"/>
    <w:rsid w:val="00F54D58"/>
    <w:rsid w:val="00F54E49"/>
    <w:rsid w:val="00F5558A"/>
    <w:rsid w:val="00F555AD"/>
    <w:rsid w:val="00F559D5"/>
    <w:rsid w:val="00F57004"/>
    <w:rsid w:val="00F574A0"/>
    <w:rsid w:val="00F579CC"/>
    <w:rsid w:val="00F57BDD"/>
    <w:rsid w:val="00F6015D"/>
    <w:rsid w:val="00F60945"/>
    <w:rsid w:val="00F62730"/>
    <w:rsid w:val="00F62816"/>
    <w:rsid w:val="00F62993"/>
    <w:rsid w:val="00F63249"/>
    <w:rsid w:val="00F637FF"/>
    <w:rsid w:val="00F63BAC"/>
    <w:rsid w:val="00F64B7D"/>
    <w:rsid w:val="00F64E48"/>
    <w:rsid w:val="00F64FB2"/>
    <w:rsid w:val="00F65B72"/>
    <w:rsid w:val="00F65B7D"/>
    <w:rsid w:val="00F66972"/>
    <w:rsid w:val="00F66AE6"/>
    <w:rsid w:val="00F66FD4"/>
    <w:rsid w:val="00F671EC"/>
    <w:rsid w:val="00F6730B"/>
    <w:rsid w:val="00F67A96"/>
    <w:rsid w:val="00F67AE5"/>
    <w:rsid w:val="00F67D5C"/>
    <w:rsid w:val="00F711E6"/>
    <w:rsid w:val="00F72016"/>
    <w:rsid w:val="00F721B2"/>
    <w:rsid w:val="00F73715"/>
    <w:rsid w:val="00F738FC"/>
    <w:rsid w:val="00F74519"/>
    <w:rsid w:val="00F74918"/>
    <w:rsid w:val="00F74AA3"/>
    <w:rsid w:val="00F74C08"/>
    <w:rsid w:val="00F756E2"/>
    <w:rsid w:val="00F757C3"/>
    <w:rsid w:val="00F75A2D"/>
    <w:rsid w:val="00F75F8D"/>
    <w:rsid w:val="00F76225"/>
    <w:rsid w:val="00F76F2D"/>
    <w:rsid w:val="00F770D2"/>
    <w:rsid w:val="00F77B2C"/>
    <w:rsid w:val="00F80609"/>
    <w:rsid w:val="00F80E11"/>
    <w:rsid w:val="00F8110B"/>
    <w:rsid w:val="00F81200"/>
    <w:rsid w:val="00F82A0C"/>
    <w:rsid w:val="00F82B27"/>
    <w:rsid w:val="00F831EF"/>
    <w:rsid w:val="00F8387F"/>
    <w:rsid w:val="00F83E7B"/>
    <w:rsid w:val="00F83F50"/>
    <w:rsid w:val="00F844CE"/>
    <w:rsid w:val="00F84D9B"/>
    <w:rsid w:val="00F8541F"/>
    <w:rsid w:val="00F85C83"/>
    <w:rsid w:val="00F8606D"/>
    <w:rsid w:val="00F87B24"/>
    <w:rsid w:val="00F9019A"/>
    <w:rsid w:val="00F9063B"/>
    <w:rsid w:val="00F90B7A"/>
    <w:rsid w:val="00F911ED"/>
    <w:rsid w:val="00F912CD"/>
    <w:rsid w:val="00F916EA"/>
    <w:rsid w:val="00F954A5"/>
    <w:rsid w:val="00F95765"/>
    <w:rsid w:val="00F96998"/>
    <w:rsid w:val="00F96DE8"/>
    <w:rsid w:val="00FA1296"/>
    <w:rsid w:val="00FA1309"/>
    <w:rsid w:val="00FA1FFE"/>
    <w:rsid w:val="00FA2C6E"/>
    <w:rsid w:val="00FA3E25"/>
    <w:rsid w:val="00FA3E55"/>
    <w:rsid w:val="00FA5276"/>
    <w:rsid w:val="00FA527B"/>
    <w:rsid w:val="00FA6763"/>
    <w:rsid w:val="00FA6E25"/>
    <w:rsid w:val="00FA78D6"/>
    <w:rsid w:val="00FA7A0C"/>
    <w:rsid w:val="00FB0F32"/>
    <w:rsid w:val="00FB2140"/>
    <w:rsid w:val="00FB2294"/>
    <w:rsid w:val="00FB22C3"/>
    <w:rsid w:val="00FB4D6F"/>
    <w:rsid w:val="00FB606C"/>
    <w:rsid w:val="00FB715A"/>
    <w:rsid w:val="00FB725E"/>
    <w:rsid w:val="00FB76D7"/>
    <w:rsid w:val="00FB7DD3"/>
    <w:rsid w:val="00FC0465"/>
    <w:rsid w:val="00FC15F2"/>
    <w:rsid w:val="00FC21AA"/>
    <w:rsid w:val="00FC2264"/>
    <w:rsid w:val="00FC22E0"/>
    <w:rsid w:val="00FC3CB6"/>
    <w:rsid w:val="00FC41D2"/>
    <w:rsid w:val="00FC5313"/>
    <w:rsid w:val="00FC5438"/>
    <w:rsid w:val="00FC5FD3"/>
    <w:rsid w:val="00FC65C1"/>
    <w:rsid w:val="00FC665A"/>
    <w:rsid w:val="00FC71EB"/>
    <w:rsid w:val="00FC78AC"/>
    <w:rsid w:val="00FD0A38"/>
    <w:rsid w:val="00FD0D26"/>
    <w:rsid w:val="00FD10D7"/>
    <w:rsid w:val="00FD1AD0"/>
    <w:rsid w:val="00FD1D63"/>
    <w:rsid w:val="00FD254C"/>
    <w:rsid w:val="00FD3083"/>
    <w:rsid w:val="00FD30DD"/>
    <w:rsid w:val="00FD3333"/>
    <w:rsid w:val="00FD40A0"/>
    <w:rsid w:val="00FD4573"/>
    <w:rsid w:val="00FD45F9"/>
    <w:rsid w:val="00FD4E14"/>
    <w:rsid w:val="00FD5FFA"/>
    <w:rsid w:val="00FD6356"/>
    <w:rsid w:val="00FD6867"/>
    <w:rsid w:val="00FD7889"/>
    <w:rsid w:val="00FD790F"/>
    <w:rsid w:val="00FE0235"/>
    <w:rsid w:val="00FE0579"/>
    <w:rsid w:val="00FE0A2A"/>
    <w:rsid w:val="00FE0BFA"/>
    <w:rsid w:val="00FE0F26"/>
    <w:rsid w:val="00FE2700"/>
    <w:rsid w:val="00FE3646"/>
    <w:rsid w:val="00FE43D8"/>
    <w:rsid w:val="00FE625E"/>
    <w:rsid w:val="00FE6520"/>
    <w:rsid w:val="00FE6F59"/>
    <w:rsid w:val="00FE7337"/>
    <w:rsid w:val="00FE783E"/>
    <w:rsid w:val="00FE7B2F"/>
    <w:rsid w:val="00FF04AA"/>
    <w:rsid w:val="00FF0998"/>
    <w:rsid w:val="00FF14C5"/>
    <w:rsid w:val="00FF1957"/>
    <w:rsid w:val="00FF27F6"/>
    <w:rsid w:val="00FF3D45"/>
    <w:rsid w:val="00FF4297"/>
    <w:rsid w:val="00FF435D"/>
    <w:rsid w:val="00FF43F4"/>
    <w:rsid w:val="00FF48DD"/>
    <w:rsid w:val="00FF49F2"/>
    <w:rsid w:val="00FF57AE"/>
    <w:rsid w:val="00FF5D02"/>
    <w:rsid w:val="00FF623F"/>
    <w:rsid w:val="00FF676C"/>
    <w:rsid w:val="00FF7375"/>
    <w:rsid w:val="00FF7C66"/>
    <w:rsid w:val="00FF7DD9"/>
    <w:rsid w:val="00FF7E45"/>
    <w:rsid w:val="01A9FDC5"/>
    <w:rsid w:val="02F96126"/>
    <w:rsid w:val="05EF3C49"/>
    <w:rsid w:val="062F055B"/>
    <w:rsid w:val="079BBA01"/>
    <w:rsid w:val="07BEAC94"/>
    <w:rsid w:val="086B8C82"/>
    <w:rsid w:val="0878691B"/>
    <w:rsid w:val="0972B91B"/>
    <w:rsid w:val="09A85BAB"/>
    <w:rsid w:val="0A383B60"/>
    <w:rsid w:val="0B93340C"/>
    <w:rsid w:val="0C1AA47F"/>
    <w:rsid w:val="0C661637"/>
    <w:rsid w:val="0CCF8A6D"/>
    <w:rsid w:val="0E496379"/>
    <w:rsid w:val="0E9A8B91"/>
    <w:rsid w:val="0F760889"/>
    <w:rsid w:val="0FD1A173"/>
    <w:rsid w:val="1047E6D3"/>
    <w:rsid w:val="10E5F16E"/>
    <w:rsid w:val="11680AEF"/>
    <w:rsid w:val="12BB80BF"/>
    <w:rsid w:val="13B16846"/>
    <w:rsid w:val="16489E8B"/>
    <w:rsid w:val="16AB246D"/>
    <w:rsid w:val="16B0CDC3"/>
    <w:rsid w:val="16BAD2C9"/>
    <w:rsid w:val="16C97C82"/>
    <w:rsid w:val="16E69365"/>
    <w:rsid w:val="17A6A15F"/>
    <w:rsid w:val="189544DF"/>
    <w:rsid w:val="18C70C4A"/>
    <w:rsid w:val="18DE8827"/>
    <w:rsid w:val="18E43190"/>
    <w:rsid w:val="18EE641B"/>
    <w:rsid w:val="1AAC3646"/>
    <w:rsid w:val="1D3587EC"/>
    <w:rsid w:val="1DC38EB0"/>
    <w:rsid w:val="216265F3"/>
    <w:rsid w:val="231A211B"/>
    <w:rsid w:val="24750494"/>
    <w:rsid w:val="24F8A91B"/>
    <w:rsid w:val="28783937"/>
    <w:rsid w:val="28DCA7A9"/>
    <w:rsid w:val="2ADA4974"/>
    <w:rsid w:val="2AE74AFC"/>
    <w:rsid w:val="2B30BEAA"/>
    <w:rsid w:val="2C6CECB9"/>
    <w:rsid w:val="2C82E07D"/>
    <w:rsid w:val="2DF558C7"/>
    <w:rsid w:val="2F4641F4"/>
    <w:rsid w:val="303FF0BD"/>
    <w:rsid w:val="3300DD42"/>
    <w:rsid w:val="33196F49"/>
    <w:rsid w:val="33823293"/>
    <w:rsid w:val="34835C04"/>
    <w:rsid w:val="34D5F963"/>
    <w:rsid w:val="35655117"/>
    <w:rsid w:val="362032BE"/>
    <w:rsid w:val="368F823A"/>
    <w:rsid w:val="37549BE0"/>
    <w:rsid w:val="3820A5E5"/>
    <w:rsid w:val="3A650C07"/>
    <w:rsid w:val="3BA44779"/>
    <w:rsid w:val="3BCD6CF3"/>
    <w:rsid w:val="3CF7B80A"/>
    <w:rsid w:val="3DDBF6F4"/>
    <w:rsid w:val="3E4B63B5"/>
    <w:rsid w:val="41BBCA46"/>
    <w:rsid w:val="42DFE815"/>
    <w:rsid w:val="44BCF95F"/>
    <w:rsid w:val="466D9415"/>
    <w:rsid w:val="48AB4F06"/>
    <w:rsid w:val="4A189D78"/>
    <w:rsid w:val="4ACA0FC1"/>
    <w:rsid w:val="4B5AB09A"/>
    <w:rsid w:val="4C041719"/>
    <w:rsid w:val="4E0AF4EC"/>
    <w:rsid w:val="4EAB6943"/>
    <w:rsid w:val="4EED11AA"/>
    <w:rsid w:val="4FD53A60"/>
    <w:rsid w:val="4FFDBD50"/>
    <w:rsid w:val="5113809E"/>
    <w:rsid w:val="524CBF0E"/>
    <w:rsid w:val="55D16E5E"/>
    <w:rsid w:val="56B9589F"/>
    <w:rsid w:val="5753C15E"/>
    <w:rsid w:val="58FF46BB"/>
    <w:rsid w:val="5A25ECC4"/>
    <w:rsid w:val="5B0046FA"/>
    <w:rsid w:val="5B8A74BC"/>
    <w:rsid w:val="5BB9844D"/>
    <w:rsid w:val="5BCCF326"/>
    <w:rsid w:val="5C1C2907"/>
    <w:rsid w:val="5CFF6902"/>
    <w:rsid w:val="614605EF"/>
    <w:rsid w:val="636F921A"/>
    <w:rsid w:val="63A7BB7D"/>
    <w:rsid w:val="64C60301"/>
    <w:rsid w:val="650DB4DE"/>
    <w:rsid w:val="669FB9BC"/>
    <w:rsid w:val="66DC2148"/>
    <w:rsid w:val="67615002"/>
    <w:rsid w:val="6861C33F"/>
    <w:rsid w:val="6ADEF67C"/>
    <w:rsid w:val="6CA56514"/>
    <w:rsid w:val="6D98AF15"/>
    <w:rsid w:val="6F630FF9"/>
    <w:rsid w:val="6FFD39C9"/>
    <w:rsid w:val="709F15A3"/>
    <w:rsid w:val="70BA5D84"/>
    <w:rsid w:val="718C4EEA"/>
    <w:rsid w:val="7269EDD4"/>
    <w:rsid w:val="726FFE5D"/>
    <w:rsid w:val="728504B6"/>
    <w:rsid w:val="750FCD43"/>
    <w:rsid w:val="758AD2D2"/>
    <w:rsid w:val="75EB634D"/>
    <w:rsid w:val="766FBB20"/>
    <w:rsid w:val="7808B56D"/>
    <w:rsid w:val="789600D1"/>
    <w:rsid w:val="7B41C7DE"/>
    <w:rsid w:val="7B640F7D"/>
    <w:rsid w:val="7C2D6A88"/>
    <w:rsid w:val="7C4CBD21"/>
    <w:rsid w:val="7D1A5C84"/>
    <w:rsid w:val="7D2C47E4"/>
    <w:rsid w:val="7D568440"/>
    <w:rsid w:val="7D5C6AC9"/>
    <w:rsid w:val="7D666C5F"/>
    <w:rsid w:val="7DCF49F8"/>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A97285"/>
  <w15:chartTrackingRefBased/>
  <w15:docId w15:val="{540141B1-2A2A-423C-A381-0B95154729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94579C"/>
  </w:style>
  <w:style w:type="paragraph" w:styleId="Kop1">
    <w:name w:val="heading 1"/>
    <w:basedOn w:val="Standaard"/>
    <w:next w:val="Standaard"/>
    <w:link w:val="Kop1Char"/>
    <w:uiPriority w:val="9"/>
    <w:qFormat/>
    <w:rsid w:val="0094579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unhideWhenUsed/>
    <w:qFormat/>
    <w:rsid w:val="0094579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Kop3">
    <w:name w:val="heading 3"/>
    <w:basedOn w:val="Standaard"/>
    <w:next w:val="Standaard"/>
    <w:link w:val="Kop3Char"/>
    <w:uiPriority w:val="9"/>
    <w:unhideWhenUsed/>
    <w:qFormat/>
    <w:rsid w:val="00143A50"/>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94579C"/>
    <w:rPr>
      <w:rFonts w:asciiTheme="majorHAnsi" w:eastAsiaTheme="majorEastAsia" w:hAnsiTheme="majorHAnsi" w:cstheme="majorBidi"/>
      <w:color w:val="2F5496" w:themeColor="accent1" w:themeShade="BF"/>
      <w:sz w:val="32"/>
      <w:szCs w:val="32"/>
    </w:rPr>
  </w:style>
  <w:style w:type="character" w:customStyle="1" w:styleId="Kop2Char">
    <w:name w:val="Kop 2 Char"/>
    <w:basedOn w:val="Standaardalinea-lettertype"/>
    <w:link w:val="Kop2"/>
    <w:uiPriority w:val="9"/>
    <w:rsid w:val="0094579C"/>
    <w:rPr>
      <w:rFonts w:asciiTheme="majorHAnsi" w:eastAsiaTheme="majorEastAsia" w:hAnsiTheme="majorHAnsi" w:cstheme="majorBidi"/>
      <w:color w:val="2F5496" w:themeColor="accent1" w:themeShade="BF"/>
      <w:sz w:val="26"/>
      <w:szCs w:val="26"/>
    </w:rPr>
  </w:style>
  <w:style w:type="paragraph" w:styleId="Tekstopmerking">
    <w:name w:val="annotation text"/>
    <w:basedOn w:val="Standaard"/>
    <w:link w:val="TekstopmerkingChar"/>
    <w:uiPriority w:val="99"/>
    <w:unhideWhenUsed/>
    <w:rsid w:val="0094579C"/>
    <w:pPr>
      <w:spacing w:line="240" w:lineRule="auto"/>
    </w:pPr>
    <w:rPr>
      <w:sz w:val="20"/>
      <w:szCs w:val="20"/>
    </w:rPr>
  </w:style>
  <w:style w:type="character" w:customStyle="1" w:styleId="TekstopmerkingChar">
    <w:name w:val="Tekst opmerking Char"/>
    <w:basedOn w:val="Standaardalinea-lettertype"/>
    <w:link w:val="Tekstopmerking"/>
    <w:uiPriority w:val="99"/>
    <w:rsid w:val="0094579C"/>
    <w:rPr>
      <w:sz w:val="20"/>
      <w:szCs w:val="20"/>
    </w:rPr>
  </w:style>
  <w:style w:type="character" w:styleId="Verwijzingopmerking">
    <w:name w:val="annotation reference"/>
    <w:basedOn w:val="Standaardalinea-lettertype"/>
    <w:uiPriority w:val="99"/>
    <w:semiHidden/>
    <w:unhideWhenUsed/>
    <w:rsid w:val="0094579C"/>
    <w:rPr>
      <w:sz w:val="16"/>
      <w:szCs w:val="16"/>
    </w:rPr>
  </w:style>
  <w:style w:type="table" w:styleId="Tabelraster">
    <w:name w:val="Table Grid"/>
    <w:basedOn w:val="Standaardtabel"/>
    <w:uiPriority w:val="39"/>
    <w:rsid w:val="009457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Standaardalinea-lettertype"/>
    <w:uiPriority w:val="99"/>
    <w:unhideWhenUsed/>
    <w:rsid w:val="0094579C"/>
    <w:rPr>
      <w:color w:val="0563C1" w:themeColor="hyperlink"/>
      <w:u w:val="single"/>
    </w:rPr>
  </w:style>
  <w:style w:type="paragraph" w:styleId="Voetnoottekst">
    <w:name w:val="footnote text"/>
    <w:basedOn w:val="Standaard"/>
    <w:link w:val="VoetnoottekstChar"/>
    <w:uiPriority w:val="99"/>
    <w:semiHidden/>
    <w:unhideWhenUsed/>
    <w:rsid w:val="0094579C"/>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94579C"/>
    <w:rPr>
      <w:sz w:val="20"/>
      <w:szCs w:val="20"/>
    </w:rPr>
  </w:style>
  <w:style w:type="character" w:styleId="Voetnootmarkering">
    <w:name w:val="footnote reference"/>
    <w:basedOn w:val="Standaardalinea-lettertype"/>
    <w:uiPriority w:val="99"/>
    <w:semiHidden/>
    <w:unhideWhenUsed/>
    <w:rsid w:val="0094579C"/>
    <w:rPr>
      <w:vertAlign w:val="superscript"/>
    </w:rPr>
  </w:style>
  <w:style w:type="character" w:customStyle="1" w:styleId="cf01">
    <w:name w:val="cf01"/>
    <w:basedOn w:val="Standaardalinea-lettertype"/>
    <w:rsid w:val="0094579C"/>
    <w:rPr>
      <w:rFonts w:ascii="Segoe UI" w:hAnsi="Segoe UI" w:cs="Segoe UI" w:hint="default"/>
      <w:sz w:val="18"/>
      <w:szCs w:val="18"/>
    </w:rPr>
  </w:style>
  <w:style w:type="paragraph" w:styleId="Voettekst">
    <w:name w:val="footer"/>
    <w:basedOn w:val="Standaard"/>
    <w:link w:val="VoettekstChar"/>
    <w:uiPriority w:val="99"/>
    <w:unhideWhenUsed/>
    <w:rsid w:val="0094579C"/>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94579C"/>
  </w:style>
  <w:style w:type="paragraph" w:styleId="Onderwerpvanopmerking">
    <w:name w:val="annotation subject"/>
    <w:basedOn w:val="Tekstopmerking"/>
    <w:next w:val="Tekstopmerking"/>
    <w:link w:val="OnderwerpvanopmerkingChar"/>
    <w:uiPriority w:val="99"/>
    <w:semiHidden/>
    <w:unhideWhenUsed/>
    <w:rsid w:val="00E13A7D"/>
    <w:rPr>
      <w:b/>
      <w:bCs/>
    </w:rPr>
  </w:style>
  <w:style w:type="character" w:customStyle="1" w:styleId="OnderwerpvanopmerkingChar">
    <w:name w:val="Onderwerp van opmerking Char"/>
    <w:basedOn w:val="TekstopmerkingChar"/>
    <w:link w:val="Onderwerpvanopmerking"/>
    <w:uiPriority w:val="99"/>
    <w:semiHidden/>
    <w:rsid w:val="00E13A7D"/>
    <w:rPr>
      <w:b/>
      <w:bCs/>
      <w:sz w:val="20"/>
      <w:szCs w:val="20"/>
    </w:rPr>
  </w:style>
  <w:style w:type="character" w:styleId="GevolgdeHyperlink">
    <w:name w:val="FollowedHyperlink"/>
    <w:basedOn w:val="Standaardalinea-lettertype"/>
    <w:uiPriority w:val="99"/>
    <w:semiHidden/>
    <w:unhideWhenUsed/>
    <w:rsid w:val="00E13A7D"/>
    <w:rPr>
      <w:color w:val="954F72" w:themeColor="followedHyperlink"/>
      <w:u w:val="single"/>
    </w:rPr>
  </w:style>
  <w:style w:type="paragraph" w:styleId="Lijstalinea">
    <w:name w:val="List Paragraph"/>
    <w:basedOn w:val="Standaard"/>
    <w:uiPriority w:val="34"/>
    <w:qFormat/>
    <w:rsid w:val="00712417"/>
    <w:pPr>
      <w:ind w:left="720"/>
      <w:contextualSpacing/>
    </w:pPr>
  </w:style>
  <w:style w:type="character" w:styleId="Vermelding">
    <w:name w:val="Mention"/>
    <w:basedOn w:val="Standaardalinea-lettertype"/>
    <w:uiPriority w:val="99"/>
    <w:unhideWhenUsed/>
    <w:rsid w:val="00712417"/>
    <w:rPr>
      <w:color w:val="2B579A"/>
      <w:shd w:val="clear" w:color="auto" w:fill="E1DFDD"/>
    </w:rPr>
  </w:style>
  <w:style w:type="paragraph" w:styleId="Koptekst">
    <w:name w:val="header"/>
    <w:basedOn w:val="Standaard"/>
    <w:link w:val="KoptekstChar"/>
    <w:uiPriority w:val="99"/>
    <w:unhideWhenUsed/>
    <w:rsid w:val="00450774"/>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450774"/>
  </w:style>
  <w:style w:type="paragraph" w:styleId="Revisie">
    <w:name w:val="Revision"/>
    <w:hidden/>
    <w:uiPriority w:val="99"/>
    <w:semiHidden/>
    <w:rsid w:val="00450774"/>
    <w:pPr>
      <w:spacing w:after="0" w:line="240" w:lineRule="auto"/>
    </w:pPr>
  </w:style>
  <w:style w:type="paragraph" w:customStyle="1" w:styleId="v1xmsonormal">
    <w:name w:val="v1x_msonormal"/>
    <w:basedOn w:val="Standaard"/>
    <w:rsid w:val="003B2D4D"/>
    <w:pPr>
      <w:spacing w:after="0" w:line="240" w:lineRule="auto"/>
    </w:pPr>
    <w:rPr>
      <w:rFonts w:ascii="Calibri" w:hAnsi="Calibri" w:cs="Calibri"/>
      <w:lang w:eastAsia="nl-NL"/>
    </w:rPr>
  </w:style>
  <w:style w:type="paragraph" w:customStyle="1" w:styleId="ROstandaard">
    <w:name w:val="RO standaard"/>
    <w:basedOn w:val="Standaard"/>
    <w:qFormat/>
    <w:rsid w:val="004E15DC"/>
    <w:pPr>
      <w:spacing w:after="0" w:line="240" w:lineRule="auto"/>
    </w:pPr>
    <w:rPr>
      <w:rFonts w:ascii="RijksoverheidSansHeading" w:hAnsi="RijksoverheidSansHeading"/>
      <w:color w:val="2C307E"/>
      <w:sz w:val="24"/>
      <w:szCs w:val="24"/>
      <w:lang w:val="en-US"/>
    </w:rPr>
  </w:style>
  <w:style w:type="character" w:styleId="Onopgelostemelding">
    <w:name w:val="Unresolved Mention"/>
    <w:basedOn w:val="Standaardalinea-lettertype"/>
    <w:uiPriority w:val="99"/>
    <w:semiHidden/>
    <w:unhideWhenUsed/>
    <w:rsid w:val="00352348"/>
    <w:rPr>
      <w:color w:val="605E5C"/>
      <w:shd w:val="clear" w:color="auto" w:fill="E1DFDD"/>
    </w:rPr>
  </w:style>
  <w:style w:type="character" w:customStyle="1" w:styleId="Kop3Char">
    <w:name w:val="Kop 3 Char"/>
    <w:basedOn w:val="Standaardalinea-lettertype"/>
    <w:link w:val="Kop3"/>
    <w:uiPriority w:val="9"/>
    <w:rsid w:val="00143A50"/>
    <w:rPr>
      <w:rFonts w:asciiTheme="majorHAnsi" w:eastAsiaTheme="majorEastAsia" w:hAnsiTheme="majorHAnsi" w:cstheme="majorBidi"/>
      <w:color w:val="1F3763" w:themeColor="accent1" w:themeShade="7F"/>
      <w:sz w:val="24"/>
      <w:szCs w:val="24"/>
    </w:rPr>
  </w:style>
  <w:style w:type="table" w:styleId="Tabelrasterlicht">
    <w:name w:val="Grid Table Light"/>
    <w:basedOn w:val="Standaardtabel"/>
    <w:uiPriority w:val="40"/>
    <w:rsid w:val="009C2482"/>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Kopvaninhoudsopgave">
    <w:name w:val="TOC Heading"/>
    <w:basedOn w:val="Kop1"/>
    <w:next w:val="Standaard"/>
    <w:uiPriority w:val="39"/>
    <w:unhideWhenUsed/>
    <w:qFormat/>
    <w:rsid w:val="00FF48DD"/>
    <w:pPr>
      <w:outlineLvl w:val="9"/>
    </w:pPr>
    <w:rPr>
      <w:lang w:eastAsia="nl-NL"/>
    </w:rPr>
  </w:style>
  <w:style w:type="paragraph" w:styleId="Inhopg1">
    <w:name w:val="toc 1"/>
    <w:basedOn w:val="Standaard"/>
    <w:next w:val="Standaard"/>
    <w:autoRedefine/>
    <w:uiPriority w:val="39"/>
    <w:unhideWhenUsed/>
    <w:rsid w:val="00FF48DD"/>
    <w:pPr>
      <w:spacing w:after="100"/>
    </w:pPr>
  </w:style>
  <w:style w:type="paragraph" w:styleId="Inhopg2">
    <w:name w:val="toc 2"/>
    <w:basedOn w:val="Standaard"/>
    <w:next w:val="Standaard"/>
    <w:autoRedefine/>
    <w:uiPriority w:val="39"/>
    <w:unhideWhenUsed/>
    <w:rsid w:val="00F81200"/>
    <w:pPr>
      <w:tabs>
        <w:tab w:val="right" w:leader="dot" w:pos="4172"/>
      </w:tabs>
      <w:spacing w:after="100"/>
    </w:pPr>
  </w:style>
  <w:style w:type="paragraph" w:styleId="Inhopg3">
    <w:name w:val="toc 3"/>
    <w:basedOn w:val="Standaard"/>
    <w:next w:val="Standaard"/>
    <w:autoRedefine/>
    <w:uiPriority w:val="39"/>
    <w:unhideWhenUsed/>
    <w:rsid w:val="00FF48DD"/>
    <w:pPr>
      <w:spacing w:after="100"/>
      <w:ind w:left="440"/>
    </w:pPr>
  </w:style>
  <w:style w:type="paragraph" w:styleId="Geenafstand">
    <w:name w:val="No Spacing"/>
    <w:uiPriority w:val="1"/>
    <w:qFormat/>
    <w:rsid w:val="003B2AC8"/>
    <w:pPr>
      <w:spacing w:after="0" w:line="240" w:lineRule="auto"/>
    </w:pPr>
  </w:style>
  <w:style w:type="table" w:styleId="Rastertabel1licht-Accent1">
    <w:name w:val="Grid Table 1 Light Accent 1"/>
    <w:basedOn w:val="Standaardtabel"/>
    <w:uiPriority w:val="46"/>
    <w:rsid w:val="0072178C"/>
    <w:pPr>
      <w:spacing w:after="0" w:line="240" w:lineRule="auto"/>
    </w:pPr>
    <w:rPr>
      <w:sz w:val="24"/>
      <w:szCs w:val="24"/>
    </w:r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paragraph" w:styleId="Normaalweb">
    <w:name w:val="Normal (Web)"/>
    <w:basedOn w:val="Standaard"/>
    <w:uiPriority w:val="99"/>
    <w:semiHidden/>
    <w:unhideWhenUsed/>
    <w:rsid w:val="00DC3F6C"/>
    <w:pPr>
      <w:spacing w:before="100" w:beforeAutospacing="1" w:after="100" w:afterAutospacing="1" w:line="240" w:lineRule="auto"/>
    </w:pPr>
    <w:rPr>
      <w:rFonts w:ascii="Times New Roman" w:eastAsia="Times New Roman" w:hAnsi="Times New Roman" w:cs="Times New Roman"/>
      <w:sz w:val="24"/>
      <w:szCs w:val="24"/>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6648016">
      <w:bodyDiv w:val="1"/>
      <w:marLeft w:val="0"/>
      <w:marRight w:val="0"/>
      <w:marTop w:val="0"/>
      <w:marBottom w:val="0"/>
      <w:divBdr>
        <w:top w:val="none" w:sz="0" w:space="0" w:color="auto"/>
        <w:left w:val="none" w:sz="0" w:space="0" w:color="auto"/>
        <w:bottom w:val="none" w:sz="0" w:space="0" w:color="auto"/>
        <w:right w:val="none" w:sz="0" w:space="0" w:color="auto"/>
      </w:divBdr>
    </w:div>
    <w:div w:id="1278483362">
      <w:bodyDiv w:val="1"/>
      <w:marLeft w:val="0"/>
      <w:marRight w:val="0"/>
      <w:marTop w:val="0"/>
      <w:marBottom w:val="0"/>
      <w:divBdr>
        <w:top w:val="none" w:sz="0" w:space="0" w:color="auto"/>
        <w:left w:val="none" w:sz="0" w:space="0" w:color="auto"/>
        <w:bottom w:val="none" w:sz="0" w:space="0" w:color="auto"/>
        <w:right w:val="none" w:sz="0" w:space="0" w:color="auto"/>
      </w:divBdr>
    </w:div>
    <w:div w:id="1597210080">
      <w:bodyDiv w:val="1"/>
      <w:marLeft w:val="0"/>
      <w:marRight w:val="0"/>
      <w:marTop w:val="0"/>
      <w:marBottom w:val="0"/>
      <w:divBdr>
        <w:top w:val="none" w:sz="0" w:space="0" w:color="auto"/>
        <w:left w:val="none" w:sz="0" w:space="0" w:color="auto"/>
        <w:bottom w:val="none" w:sz="0" w:space="0" w:color="auto"/>
        <w:right w:val="none" w:sz="0" w:space="0" w:color="auto"/>
      </w:divBdr>
    </w:div>
    <w:div w:id="1624381050">
      <w:bodyDiv w:val="1"/>
      <w:marLeft w:val="0"/>
      <w:marRight w:val="0"/>
      <w:marTop w:val="0"/>
      <w:marBottom w:val="0"/>
      <w:divBdr>
        <w:top w:val="none" w:sz="0" w:space="0" w:color="auto"/>
        <w:left w:val="none" w:sz="0" w:space="0" w:color="auto"/>
        <w:bottom w:val="none" w:sz="0" w:space="0" w:color="auto"/>
        <w:right w:val="none" w:sz="0" w:space="0" w:color="auto"/>
      </w:divBdr>
    </w:div>
    <w:div w:id="1678270841">
      <w:bodyDiv w:val="1"/>
      <w:marLeft w:val="0"/>
      <w:marRight w:val="0"/>
      <w:marTop w:val="0"/>
      <w:marBottom w:val="0"/>
      <w:divBdr>
        <w:top w:val="none" w:sz="0" w:space="0" w:color="auto"/>
        <w:left w:val="none" w:sz="0" w:space="0" w:color="auto"/>
        <w:bottom w:val="none" w:sz="0" w:space="0" w:color="auto"/>
        <w:right w:val="none" w:sz="0" w:space="0" w:color="auto"/>
      </w:divBdr>
    </w:div>
    <w:div w:id="1982952894">
      <w:bodyDiv w:val="1"/>
      <w:marLeft w:val="0"/>
      <w:marRight w:val="0"/>
      <w:marTop w:val="0"/>
      <w:marBottom w:val="0"/>
      <w:divBdr>
        <w:top w:val="none" w:sz="0" w:space="0" w:color="auto"/>
        <w:left w:val="none" w:sz="0" w:space="0" w:color="auto"/>
        <w:bottom w:val="none" w:sz="0" w:space="0" w:color="auto"/>
        <w:right w:val="none" w:sz="0" w:space="0" w:color="auto"/>
      </w:divBdr>
    </w:div>
    <w:div w:id="20859508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chart" Target="charts/chart1.xml"/><Relationship Id="rId117" Type="http://schemas.openxmlformats.org/officeDocument/2006/relationships/chart" Target="charts/chart88.xml"/><Relationship Id="rId21" Type="http://schemas.openxmlformats.org/officeDocument/2006/relationships/hyperlink" Target="http://www.rvo.nl/elektrischrijden" TargetMode="External"/><Relationship Id="rId42" Type="http://schemas.openxmlformats.org/officeDocument/2006/relationships/chart" Target="charts/chart16.xml"/><Relationship Id="rId47" Type="http://schemas.openxmlformats.org/officeDocument/2006/relationships/chart" Target="charts/chart21.xml"/><Relationship Id="rId63" Type="http://schemas.openxmlformats.org/officeDocument/2006/relationships/chart" Target="charts/chart37.xml"/><Relationship Id="rId68" Type="http://schemas.openxmlformats.org/officeDocument/2006/relationships/chart" Target="charts/chart42.xml"/><Relationship Id="rId84" Type="http://schemas.openxmlformats.org/officeDocument/2006/relationships/chart" Target="charts/chart58.xml"/><Relationship Id="rId89" Type="http://schemas.openxmlformats.org/officeDocument/2006/relationships/chart" Target="charts/chart63.xml"/><Relationship Id="rId112" Type="http://schemas.openxmlformats.org/officeDocument/2006/relationships/chart" Target="charts/chart83.xml"/><Relationship Id="rId133" Type="http://schemas.openxmlformats.org/officeDocument/2006/relationships/chart" Target="charts/chart104.xml"/><Relationship Id="rId138" Type="http://schemas.openxmlformats.org/officeDocument/2006/relationships/chart" Target="charts/chart109.xml"/><Relationship Id="rId154" Type="http://schemas.openxmlformats.org/officeDocument/2006/relationships/chart" Target="charts/chart125.xml"/><Relationship Id="rId159" Type="http://schemas.openxmlformats.org/officeDocument/2006/relationships/chart" Target="charts/chart130.xml"/><Relationship Id="rId16" Type="http://schemas.openxmlformats.org/officeDocument/2006/relationships/image" Target="media/image6.jpeg"/><Relationship Id="rId107" Type="http://schemas.openxmlformats.org/officeDocument/2006/relationships/chart" Target="charts/chart79.xml"/><Relationship Id="rId11" Type="http://schemas.openxmlformats.org/officeDocument/2006/relationships/image" Target="media/image1.jpeg"/><Relationship Id="rId32" Type="http://schemas.openxmlformats.org/officeDocument/2006/relationships/chart" Target="charts/chart7.xml"/><Relationship Id="rId37" Type="http://schemas.openxmlformats.org/officeDocument/2006/relationships/chart" Target="charts/chart11.xml"/><Relationship Id="rId53" Type="http://schemas.openxmlformats.org/officeDocument/2006/relationships/chart" Target="charts/chart27.xml"/><Relationship Id="rId58" Type="http://schemas.openxmlformats.org/officeDocument/2006/relationships/chart" Target="charts/chart32.xml"/><Relationship Id="rId74" Type="http://schemas.openxmlformats.org/officeDocument/2006/relationships/chart" Target="charts/chart48.xml"/><Relationship Id="rId79" Type="http://schemas.openxmlformats.org/officeDocument/2006/relationships/chart" Target="charts/chart53.xml"/><Relationship Id="rId102" Type="http://schemas.openxmlformats.org/officeDocument/2006/relationships/chart" Target="charts/chart75.xml"/><Relationship Id="rId123" Type="http://schemas.openxmlformats.org/officeDocument/2006/relationships/chart" Target="charts/chart94.xml"/><Relationship Id="rId128" Type="http://schemas.openxmlformats.org/officeDocument/2006/relationships/chart" Target="charts/chart99.xml"/><Relationship Id="rId144" Type="http://schemas.openxmlformats.org/officeDocument/2006/relationships/chart" Target="charts/chart115.xml"/><Relationship Id="rId149" Type="http://schemas.openxmlformats.org/officeDocument/2006/relationships/chart" Target="charts/chart120.xml"/><Relationship Id="rId5" Type="http://schemas.openxmlformats.org/officeDocument/2006/relationships/numbering" Target="numbering.xml"/><Relationship Id="rId90" Type="http://schemas.openxmlformats.org/officeDocument/2006/relationships/chart" Target="charts/chart64.xml"/><Relationship Id="rId95" Type="http://schemas.openxmlformats.org/officeDocument/2006/relationships/chart" Target="charts/chart68.xml"/><Relationship Id="rId160" Type="http://schemas.openxmlformats.org/officeDocument/2006/relationships/chart" Target="charts/chart131.xml"/><Relationship Id="rId165" Type="http://schemas.openxmlformats.org/officeDocument/2006/relationships/footer" Target="footer3.xml"/><Relationship Id="rId22" Type="http://schemas.openxmlformats.org/officeDocument/2006/relationships/hyperlink" Target="http://www.evrijders.nl" TargetMode="External"/><Relationship Id="rId27" Type="http://schemas.openxmlformats.org/officeDocument/2006/relationships/chart" Target="charts/chart2.xml"/><Relationship Id="rId43" Type="http://schemas.openxmlformats.org/officeDocument/2006/relationships/chart" Target="charts/chart17.xml"/><Relationship Id="rId48" Type="http://schemas.openxmlformats.org/officeDocument/2006/relationships/chart" Target="charts/chart22.xml"/><Relationship Id="rId64" Type="http://schemas.openxmlformats.org/officeDocument/2006/relationships/chart" Target="charts/chart38.xml"/><Relationship Id="rId69" Type="http://schemas.openxmlformats.org/officeDocument/2006/relationships/chart" Target="charts/chart43.xml"/><Relationship Id="rId113" Type="http://schemas.openxmlformats.org/officeDocument/2006/relationships/chart" Target="charts/chart84.xml"/><Relationship Id="rId118" Type="http://schemas.openxmlformats.org/officeDocument/2006/relationships/chart" Target="charts/chart89.xml"/><Relationship Id="rId134" Type="http://schemas.openxmlformats.org/officeDocument/2006/relationships/chart" Target="charts/chart105.xml"/><Relationship Id="rId139" Type="http://schemas.openxmlformats.org/officeDocument/2006/relationships/chart" Target="charts/chart110.xml"/><Relationship Id="rId80" Type="http://schemas.openxmlformats.org/officeDocument/2006/relationships/chart" Target="charts/chart54.xml"/><Relationship Id="rId85" Type="http://schemas.openxmlformats.org/officeDocument/2006/relationships/chart" Target="charts/chart59.xml"/><Relationship Id="rId150" Type="http://schemas.openxmlformats.org/officeDocument/2006/relationships/chart" Target="charts/chart121.xml"/><Relationship Id="rId155" Type="http://schemas.openxmlformats.org/officeDocument/2006/relationships/chart" Target="charts/chart126.xml"/><Relationship Id="rId12" Type="http://schemas.openxmlformats.org/officeDocument/2006/relationships/image" Target="media/image2.png"/><Relationship Id="rId17" Type="http://schemas.openxmlformats.org/officeDocument/2006/relationships/hyperlink" Target="https://duurzamemobiliteit.databank.nl/documents/EV-en-Berijdersonderzoek" TargetMode="External"/><Relationship Id="rId33" Type="http://schemas.openxmlformats.org/officeDocument/2006/relationships/image" Target="media/image8.png"/><Relationship Id="rId38" Type="http://schemas.openxmlformats.org/officeDocument/2006/relationships/chart" Target="charts/chart12.xml"/><Relationship Id="rId59" Type="http://schemas.openxmlformats.org/officeDocument/2006/relationships/chart" Target="charts/chart33.xml"/><Relationship Id="rId103" Type="http://schemas.openxmlformats.org/officeDocument/2006/relationships/image" Target="media/image10.jpeg"/><Relationship Id="rId108" Type="http://schemas.openxmlformats.org/officeDocument/2006/relationships/chart" Target="charts/chart80.xml"/><Relationship Id="rId124" Type="http://schemas.openxmlformats.org/officeDocument/2006/relationships/chart" Target="charts/chart95.xml"/><Relationship Id="rId129" Type="http://schemas.openxmlformats.org/officeDocument/2006/relationships/chart" Target="charts/chart100.xml"/><Relationship Id="rId54" Type="http://schemas.openxmlformats.org/officeDocument/2006/relationships/chart" Target="charts/chart28.xml"/><Relationship Id="rId70" Type="http://schemas.openxmlformats.org/officeDocument/2006/relationships/chart" Target="charts/chart44.xml"/><Relationship Id="rId75" Type="http://schemas.openxmlformats.org/officeDocument/2006/relationships/chart" Target="charts/chart49.xml"/><Relationship Id="rId91" Type="http://schemas.openxmlformats.org/officeDocument/2006/relationships/image" Target="media/image9.jpeg"/><Relationship Id="rId96" Type="http://schemas.openxmlformats.org/officeDocument/2006/relationships/chart" Target="charts/chart69.xml"/><Relationship Id="rId140" Type="http://schemas.openxmlformats.org/officeDocument/2006/relationships/chart" Target="charts/chart111.xml"/><Relationship Id="rId145" Type="http://schemas.openxmlformats.org/officeDocument/2006/relationships/chart" Target="charts/chart116.xml"/><Relationship Id="rId161" Type="http://schemas.openxmlformats.org/officeDocument/2006/relationships/chart" Target="charts/chart132.xml"/><Relationship Id="rId16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hyperlink" Target="http://www.rug.nl" TargetMode="External"/><Relationship Id="rId28" Type="http://schemas.openxmlformats.org/officeDocument/2006/relationships/chart" Target="charts/chart3.xml"/><Relationship Id="rId36" Type="http://schemas.openxmlformats.org/officeDocument/2006/relationships/chart" Target="charts/chart10.xml"/><Relationship Id="rId49" Type="http://schemas.openxmlformats.org/officeDocument/2006/relationships/chart" Target="charts/chart23.xml"/><Relationship Id="rId57" Type="http://schemas.openxmlformats.org/officeDocument/2006/relationships/chart" Target="charts/chart31.xml"/><Relationship Id="rId106" Type="http://schemas.openxmlformats.org/officeDocument/2006/relationships/chart" Target="charts/chart78.xml"/><Relationship Id="rId114" Type="http://schemas.openxmlformats.org/officeDocument/2006/relationships/chart" Target="charts/chart85.xml"/><Relationship Id="rId119" Type="http://schemas.openxmlformats.org/officeDocument/2006/relationships/chart" Target="charts/chart90.xml"/><Relationship Id="rId127" Type="http://schemas.openxmlformats.org/officeDocument/2006/relationships/chart" Target="charts/chart98.xml"/><Relationship Id="rId10" Type="http://schemas.openxmlformats.org/officeDocument/2006/relationships/endnotes" Target="endnotes.xml"/><Relationship Id="rId31" Type="http://schemas.openxmlformats.org/officeDocument/2006/relationships/chart" Target="charts/chart6.xml"/><Relationship Id="rId44" Type="http://schemas.openxmlformats.org/officeDocument/2006/relationships/chart" Target="charts/chart18.xml"/><Relationship Id="rId52" Type="http://schemas.openxmlformats.org/officeDocument/2006/relationships/chart" Target="charts/chart26.xml"/><Relationship Id="rId60" Type="http://schemas.openxmlformats.org/officeDocument/2006/relationships/chart" Target="charts/chart34.xml"/><Relationship Id="rId65" Type="http://schemas.openxmlformats.org/officeDocument/2006/relationships/chart" Target="charts/chart39.xml"/><Relationship Id="rId73" Type="http://schemas.openxmlformats.org/officeDocument/2006/relationships/chart" Target="charts/chart47.xml"/><Relationship Id="rId78" Type="http://schemas.openxmlformats.org/officeDocument/2006/relationships/chart" Target="charts/chart52.xml"/><Relationship Id="rId81" Type="http://schemas.openxmlformats.org/officeDocument/2006/relationships/chart" Target="charts/chart55.xml"/><Relationship Id="rId86" Type="http://schemas.openxmlformats.org/officeDocument/2006/relationships/chart" Target="charts/chart60.xml"/><Relationship Id="rId94" Type="http://schemas.openxmlformats.org/officeDocument/2006/relationships/chart" Target="charts/chart67.xml"/><Relationship Id="rId99" Type="http://schemas.openxmlformats.org/officeDocument/2006/relationships/chart" Target="charts/chart72.xml"/><Relationship Id="rId101" Type="http://schemas.openxmlformats.org/officeDocument/2006/relationships/chart" Target="charts/chart74.xml"/><Relationship Id="rId122" Type="http://schemas.openxmlformats.org/officeDocument/2006/relationships/chart" Target="charts/chart93.xml"/><Relationship Id="rId130" Type="http://schemas.openxmlformats.org/officeDocument/2006/relationships/chart" Target="charts/chart101.xml"/><Relationship Id="rId135" Type="http://schemas.openxmlformats.org/officeDocument/2006/relationships/chart" Target="charts/chart106.xml"/><Relationship Id="rId143" Type="http://schemas.openxmlformats.org/officeDocument/2006/relationships/chart" Target="charts/chart114.xml"/><Relationship Id="rId148" Type="http://schemas.openxmlformats.org/officeDocument/2006/relationships/chart" Target="charts/chart119.xml"/><Relationship Id="rId151" Type="http://schemas.openxmlformats.org/officeDocument/2006/relationships/chart" Target="charts/chart122.xml"/><Relationship Id="rId156" Type="http://schemas.openxmlformats.org/officeDocument/2006/relationships/chart" Target="charts/chart127.xml"/><Relationship Id="rId164"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hyperlink" Target="https://duurzamemobiliteit.databank.nl/documents/Nationaal-Laadonderzoek" TargetMode="External"/><Relationship Id="rId39" Type="http://schemas.openxmlformats.org/officeDocument/2006/relationships/chart" Target="charts/chart13.xml"/><Relationship Id="rId109" Type="http://schemas.openxmlformats.org/officeDocument/2006/relationships/chart" Target="charts/chart81.xml"/><Relationship Id="rId34" Type="http://schemas.openxmlformats.org/officeDocument/2006/relationships/chart" Target="charts/chart8.xml"/><Relationship Id="rId50" Type="http://schemas.openxmlformats.org/officeDocument/2006/relationships/chart" Target="charts/chart24.xml"/><Relationship Id="rId55" Type="http://schemas.openxmlformats.org/officeDocument/2006/relationships/chart" Target="charts/chart29.xml"/><Relationship Id="rId76" Type="http://schemas.openxmlformats.org/officeDocument/2006/relationships/chart" Target="charts/chart50.xml"/><Relationship Id="rId97" Type="http://schemas.openxmlformats.org/officeDocument/2006/relationships/chart" Target="charts/chart70.xml"/><Relationship Id="rId104" Type="http://schemas.openxmlformats.org/officeDocument/2006/relationships/chart" Target="charts/chart76.xml"/><Relationship Id="rId120" Type="http://schemas.openxmlformats.org/officeDocument/2006/relationships/chart" Target="charts/chart91.xml"/><Relationship Id="rId125" Type="http://schemas.openxmlformats.org/officeDocument/2006/relationships/chart" Target="charts/chart96.xml"/><Relationship Id="rId141" Type="http://schemas.openxmlformats.org/officeDocument/2006/relationships/chart" Target="charts/chart112.xml"/><Relationship Id="rId146" Type="http://schemas.openxmlformats.org/officeDocument/2006/relationships/chart" Target="charts/chart117.xml"/><Relationship Id="rId167"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chart" Target="charts/chart45.xml"/><Relationship Id="rId92" Type="http://schemas.openxmlformats.org/officeDocument/2006/relationships/chart" Target="charts/chart65.xml"/><Relationship Id="rId162" Type="http://schemas.openxmlformats.org/officeDocument/2006/relationships/hyperlink" Target="mailto:ambassadeurs@evrijders.nl" TargetMode="External"/><Relationship Id="rId2" Type="http://schemas.openxmlformats.org/officeDocument/2006/relationships/customXml" Target="../customXml/item2.xml"/><Relationship Id="rId29" Type="http://schemas.openxmlformats.org/officeDocument/2006/relationships/chart" Target="charts/chart4.xml"/><Relationship Id="rId24" Type="http://schemas.openxmlformats.org/officeDocument/2006/relationships/hyperlink" Target="https://www.agendalaadinfrastructuur.nl/" TargetMode="External"/><Relationship Id="rId40" Type="http://schemas.openxmlformats.org/officeDocument/2006/relationships/chart" Target="charts/chart14.xml"/><Relationship Id="rId45" Type="http://schemas.openxmlformats.org/officeDocument/2006/relationships/chart" Target="charts/chart19.xml"/><Relationship Id="rId66" Type="http://schemas.openxmlformats.org/officeDocument/2006/relationships/chart" Target="charts/chart40.xml"/><Relationship Id="rId87" Type="http://schemas.openxmlformats.org/officeDocument/2006/relationships/chart" Target="charts/chart61.xml"/><Relationship Id="rId110" Type="http://schemas.openxmlformats.org/officeDocument/2006/relationships/chart" Target="charts/chart82.xml"/><Relationship Id="rId115" Type="http://schemas.openxmlformats.org/officeDocument/2006/relationships/chart" Target="charts/chart86.xml"/><Relationship Id="rId131" Type="http://schemas.openxmlformats.org/officeDocument/2006/relationships/chart" Target="charts/chart102.xml"/><Relationship Id="rId136" Type="http://schemas.openxmlformats.org/officeDocument/2006/relationships/chart" Target="charts/chart107.xml"/><Relationship Id="rId157" Type="http://schemas.openxmlformats.org/officeDocument/2006/relationships/chart" Target="charts/chart128.xml"/><Relationship Id="rId61" Type="http://schemas.openxmlformats.org/officeDocument/2006/relationships/chart" Target="charts/chart35.xml"/><Relationship Id="rId82" Type="http://schemas.openxmlformats.org/officeDocument/2006/relationships/chart" Target="charts/chart56.xml"/><Relationship Id="rId152" Type="http://schemas.openxmlformats.org/officeDocument/2006/relationships/chart" Target="charts/chart123.xml"/><Relationship Id="rId19" Type="http://schemas.openxmlformats.org/officeDocument/2006/relationships/image" Target="media/image7.png"/><Relationship Id="rId14" Type="http://schemas.openxmlformats.org/officeDocument/2006/relationships/image" Target="media/image4.jpeg"/><Relationship Id="rId30" Type="http://schemas.openxmlformats.org/officeDocument/2006/relationships/chart" Target="charts/chart5.xml"/><Relationship Id="rId35" Type="http://schemas.openxmlformats.org/officeDocument/2006/relationships/chart" Target="charts/chart9.xml"/><Relationship Id="rId56" Type="http://schemas.openxmlformats.org/officeDocument/2006/relationships/chart" Target="charts/chart30.xml"/><Relationship Id="rId77" Type="http://schemas.openxmlformats.org/officeDocument/2006/relationships/chart" Target="charts/chart51.xml"/><Relationship Id="rId100" Type="http://schemas.openxmlformats.org/officeDocument/2006/relationships/chart" Target="charts/chart73.xml"/><Relationship Id="rId105" Type="http://schemas.openxmlformats.org/officeDocument/2006/relationships/chart" Target="charts/chart77.xml"/><Relationship Id="rId126" Type="http://schemas.openxmlformats.org/officeDocument/2006/relationships/chart" Target="charts/chart97.xml"/><Relationship Id="rId147" Type="http://schemas.openxmlformats.org/officeDocument/2006/relationships/chart" Target="charts/chart118.xml"/><Relationship Id="rId8" Type="http://schemas.openxmlformats.org/officeDocument/2006/relationships/webSettings" Target="webSettings.xml"/><Relationship Id="rId51" Type="http://schemas.openxmlformats.org/officeDocument/2006/relationships/chart" Target="charts/chart25.xml"/><Relationship Id="rId72" Type="http://schemas.openxmlformats.org/officeDocument/2006/relationships/chart" Target="charts/chart46.xml"/><Relationship Id="rId93" Type="http://schemas.openxmlformats.org/officeDocument/2006/relationships/chart" Target="charts/chart66.xml"/><Relationship Id="rId98" Type="http://schemas.openxmlformats.org/officeDocument/2006/relationships/chart" Target="charts/chart71.xml"/><Relationship Id="rId121" Type="http://schemas.openxmlformats.org/officeDocument/2006/relationships/chart" Target="charts/chart92.xml"/><Relationship Id="rId142" Type="http://schemas.openxmlformats.org/officeDocument/2006/relationships/chart" Target="charts/chart113.xml"/><Relationship Id="rId163" Type="http://schemas.openxmlformats.org/officeDocument/2006/relationships/footer" Target="footer1.xml"/><Relationship Id="rId3" Type="http://schemas.openxmlformats.org/officeDocument/2006/relationships/customXml" Target="../customXml/item3.xml"/><Relationship Id="rId25" Type="http://schemas.openxmlformats.org/officeDocument/2006/relationships/hyperlink" Target="mailto:info@evrijders.nl" TargetMode="External"/><Relationship Id="rId46" Type="http://schemas.openxmlformats.org/officeDocument/2006/relationships/chart" Target="charts/chart20.xml"/><Relationship Id="rId67" Type="http://schemas.openxmlformats.org/officeDocument/2006/relationships/chart" Target="charts/chart41.xml"/><Relationship Id="rId116" Type="http://schemas.openxmlformats.org/officeDocument/2006/relationships/chart" Target="charts/chart87.xml"/><Relationship Id="rId137" Type="http://schemas.openxmlformats.org/officeDocument/2006/relationships/chart" Target="charts/chart108.xml"/><Relationship Id="rId158" Type="http://schemas.openxmlformats.org/officeDocument/2006/relationships/chart" Target="charts/chart129.xml"/><Relationship Id="rId20" Type="http://schemas.openxmlformats.org/officeDocument/2006/relationships/hyperlink" Target="http://www.elaad.nl" TargetMode="External"/><Relationship Id="rId41" Type="http://schemas.openxmlformats.org/officeDocument/2006/relationships/chart" Target="charts/chart15.xml"/><Relationship Id="rId62" Type="http://schemas.openxmlformats.org/officeDocument/2006/relationships/chart" Target="charts/chart36.xml"/><Relationship Id="rId83" Type="http://schemas.openxmlformats.org/officeDocument/2006/relationships/chart" Target="charts/chart57.xml"/><Relationship Id="rId88" Type="http://schemas.openxmlformats.org/officeDocument/2006/relationships/chart" Target="charts/chart62.xml"/><Relationship Id="rId111" Type="http://schemas.openxmlformats.org/officeDocument/2006/relationships/image" Target="media/image11.jpeg"/><Relationship Id="rId132" Type="http://schemas.openxmlformats.org/officeDocument/2006/relationships/chart" Target="charts/chart103.xml"/><Relationship Id="rId153" Type="http://schemas.openxmlformats.org/officeDocument/2006/relationships/chart" Target="charts/chart124.xml"/></Relationships>
</file>

<file path=word/_rels/footnotes.xml.rels><?xml version="1.0" encoding="UTF-8" standalone="yes"?>
<Relationships xmlns="http://schemas.openxmlformats.org/package/2006/relationships"><Relationship Id="rId8" Type="http://schemas.openxmlformats.org/officeDocument/2006/relationships/hyperlink" Target="https://public.tableau.com/views/MonitorConsumentenmarktEnergie/Aantalcontractenpercontracttype?%3Alanguage=en-US&amp;publish-yes=&amp;%3Asid=&amp;%3Adisplay_count=viz_share_link&amp;publish=yes&amp;%3AshowVizHome=no" TargetMode="External"/><Relationship Id="rId3" Type="http://schemas.openxmlformats.org/officeDocument/2006/relationships/hyperlink" Target="https://duurzamemobiliteit.databank.nl/documents/Trendrapport-Personenauto-s" TargetMode="External"/><Relationship Id="rId7" Type="http://schemas.openxmlformats.org/officeDocument/2006/relationships/hyperlink" Target="https://www.consilium.europa.eu/nl/infographics/fit-for-55-afir-alternative-fuels-infrastructure-regulation/" TargetMode="External"/><Relationship Id="rId12" Type="http://schemas.openxmlformats.org/officeDocument/2006/relationships/hyperlink" Target="https://agendalaadinfrastructuur.nl/ondersteuning+gemeenten/documenten+en+links/documenten+in+bibliotheek/handlerdownloadfiles.ashx?idnv=2297386" TargetMode="External"/><Relationship Id="rId2" Type="http://schemas.openxmlformats.org/officeDocument/2006/relationships/hyperlink" Target="https://www.cbs.nl/nl-nl/maatwerk/2024/49/gemiddeld-kilometrage-personenauto-s-per-365-dagen" TargetMode="External"/><Relationship Id="rId1" Type="http://schemas.openxmlformats.org/officeDocument/2006/relationships/hyperlink" Target="https://www.cbs.nl/nl-nl/longread/statistische-trends/2023/wie-rijdt-er-elektrisch-?onepage=true" TargetMode="External"/><Relationship Id="rId6" Type="http://schemas.openxmlformats.org/officeDocument/2006/relationships/hyperlink" Target="https://repository.tno.nl/SingleDoc?find=UID%2011a3b754-1ab1-4054-8c68-1679539fadac" TargetMode="External"/><Relationship Id="rId11" Type="http://schemas.openxmlformats.org/officeDocument/2006/relationships/hyperlink" Target="https://public.tableau.com/views/MonitorConsumentenmarktEnergie/Aantalcontractenpercontracttype?%3Alanguage=en-US&amp;publish-yes=&amp;%3Asid=&amp;%3Adisplay_count=viz_share_link&amp;publish=yes&amp;%3AshowVizHome=no" TargetMode="External"/><Relationship Id="rId5" Type="http://schemas.openxmlformats.org/officeDocument/2006/relationships/hyperlink" Target="https://vexpan.nl/artikelen/expertteam-hoeveel-parkeerplaatsen-zijn-er-in-nederland/" TargetMode="External"/><Relationship Id="rId10" Type="http://schemas.openxmlformats.org/officeDocument/2006/relationships/hyperlink" Target="https://public.tableau.com/views/MonitorConsumentenmarktEnergie/Aantalcontractenpercontracttype?%3Alanguage=en-US&amp;publish-yes=&amp;%3Asid=&amp;%3Adisplay_count=viz_share_link&amp;publish=yes&amp;%3AshowVizHome=no" TargetMode="External"/><Relationship Id="rId4" Type="http://schemas.openxmlformats.org/officeDocument/2006/relationships/hyperlink" Target="https://www.netbeheernederland.nl/artikelen/nieuws/groei-aantal-huishoudens-met-zonnepanelen-flink-afgenomen" TargetMode="External"/><Relationship Id="rId9" Type="http://schemas.openxmlformats.org/officeDocument/2006/relationships/hyperlink" Target="https://public.tableau.com/views/MonitorConsumentenmarktEnergie/Aantalcontractenpercontracttype?%3Alanguage=en-US&amp;publish-yes=&amp;%3Asid=&amp;%3Adisplay_count=viz_share_link&amp;publish=yes&amp;%3AshowVizHome=no"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https://stichtingelaad.sharepoint.com/sites/NationaalLaadonderzoek-2022/Gedeelde%20documenten/General/2025/analyse/Laadonderzoek%20representativiteit.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https://stichtingelaad.sharepoint.com/sites/NationaalLaadonderzoek-2022/Gedeelde%20documenten/General/2025/rapport/Figuren%20H3_intro_betalen_prijstransparantie.xlsx" TargetMode="External"/></Relationships>
</file>

<file path=word/charts/_rels/chart100.xml.rels><?xml version="1.0" encoding="UTF-8" standalone="yes"?>
<Relationships xmlns="http://schemas.openxmlformats.org/package/2006/relationships"><Relationship Id="rId3" Type="http://schemas.openxmlformats.org/officeDocument/2006/relationships/oleObject" Target="file:///C:\Users\Jeroen\Documents\ElaadNL\Nationaal%20Laad%20Onderzoek\2025\Slim_laden_analyse.xlsx" TargetMode="External"/><Relationship Id="rId2" Type="http://schemas.microsoft.com/office/2011/relationships/chartColorStyle" Target="colors19.xml"/><Relationship Id="rId1" Type="http://schemas.microsoft.com/office/2011/relationships/chartStyle" Target="style19.xml"/></Relationships>
</file>

<file path=word/charts/_rels/chart101.xml.rels><?xml version="1.0" encoding="UTF-8" standalone="yes"?>
<Relationships xmlns="http://schemas.openxmlformats.org/package/2006/relationships"><Relationship Id="rId3" Type="http://schemas.openxmlformats.org/officeDocument/2006/relationships/oleObject" Target="file:///C:\Users\Jeroen\AppData\Roaming\Microsoft\Excel\Slim_laden_analyse%20(version%202).xlsb" TargetMode="External"/><Relationship Id="rId2" Type="http://schemas.microsoft.com/office/2011/relationships/chartColorStyle" Target="colors20.xml"/><Relationship Id="rId1" Type="http://schemas.microsoft.com/office/2011/relationships/chartStyle" Target="style20.xml"/></Relationships>
</file>

<file path=word/charts/_rels/chart102.xml.rels><?xml version="1.0" encoding="UTF-8" standalone="yes"?>
<Relationships xmlns="http://schemas.openxmlformats.org/package/2006/relationships"><Relationship Id="rId3" Type="http://schemas.openxmlformats.org/officeDocument/2006/relationships/oleObject" Target="file:///C:\Users\Jeroen\AppData\Roaming\Microsoft\Excel\Slim_laden_analyse%20(version%202).xlsb" TargetMode="External"/><Relationship Id="rId2" Type="http://schemas.microsoft.com/office/2011/relationships/chartColorStyle" Target="colors21.xml"/><Relationship Id="rId1" Type="http://schemas.microsoft.com/office/2011/relationships/chartStyle" Target="style21.xml"/></Relationships>
</file>

<file path=word/charts/_rels/chart103.xml.rels><?xml version="1.0" encoding="UTF-8" standalone="yes"?>
<Relationships xmlns="http://schemas.openxmlformats.org/package/2006/relationships"><Relationship Id="rId3" Type="http://schemas.openxmlformats.org/officeDocument/2006/relationships/oleObject" Target="file:///C:\Users\Jeroen\Documents\ElaadNL\Nationaal%20Laad%20Onderzoek\2025\Slim_laden_analyse.xlsx" TargetMode="External"/><Relationship Id="rId2" Type="http://schemas.microsoft.com/office/2011/relationships/chartColorStyle" Target="colors22.xml"/><Relationship Id="rId1" Type="http://schemas.microsoft.com/office/2011/relationships/chartStyle" Target="style22.xml"/></Relationships>
</file>

<file path=word/charts/_rels/chart104.xml.rels><?xml version="1.0" encoding="UTF-8" standalone="yes"?>
<Relationships xmlns="http://schemas.openxmlformats.org/package/2006/relationships"><Relationship Id="rId3" Type="http://schemas.openxmlformats.org/officeDocument/2006/relationships/oleObject" Target="file:///C:\Users\Jeroen\AppData\Roaming\Microsoft\Excel\Slim_laden_analyse%20(version%202).xlsb" TargetMode="External"/><Relationship Id="rId2" Type="http://schemas.microsoft.com/office/2011/relationships/chartColorStyle" Target="colors23.xml"/><Relationship Id="rId1" Type="http://schemas.microsoft.com/office/2011/relationships/chartStyle" Target="style23.xml"/></Relationships>
</file>

<file path=word/charts/_rels/chart105.xml.rels><?xml version="1.0" encoding="UTF-8" standalone="yes"?>
<Relationships xmlns="http://schemas.openxmlformats.org/package/2006/relationships"><Relationship Id="rId3" Type="http://schemas.openxmlformats.org/officeDocument/2006/relationships/oleObject" Target="file:///C:\Users\Jeroen\AppData\Roaming\Microsoft\Excel\Slim_laden_analyse%20(version%202).xlsb" TargetMode="External"/><Relationship Id="rId2" Type="http://schemas.microsoft.com/office/2011/relationships/chartColorStyle" Target="colors24.xml"/><Relationship Id="rId1" Type="http://schemas.microsoft.com/office/2011/relationships/chartStyle" Target="style24.xml"/></Relationships>
</file>

<file path=word/charts/_rels/chart106.xml.rels><?xml version="1.0" encoding="UTF-8" standalone="yes"?>
<Relationships xmlns="http://schemas.openxmlformats.org/package/2006/relationships"><Relationship Id="rId3" Type="http://schemas.openxmlformats.org/officeDocument/2006/relationships/oleObject" Target="file:///C:\Users\Jeroen\Documents\ElaadNL\Nationaal%20Laad%20Onderzoek\2025\Slim_laden_analyse.xlsx" TargetMode="External"/><Relationship Id="rId2" Type="http://schemas.microsoft.com/office/2011/relationships/chartColorStyle" Target="colors25.xml"/><Relationship Id="rId1" Type="http://schemas.microsoft.com/office/2011/relationships/chartStyle" Target="style25.xml"/></Relationships>
</file>

<file path=word/charts/_rels/chart107.xml.rels><?xml version="1.0" encoding="UTF-8" standalone="yes"?>
<Relationships xmlns="http://schemas.openxmlformats.org/package/2006/relationships"><Relationship Id="rId1" Type="http://schemas.openxmlformats.org/officeDocument/2006/relationships/oleObject" Target="file:///C:\Users\Jeroen\Documents\ElaadNL\Nationaal%20Laad%20Onderzoek\2025\Slim_laden_analyse.xlsx" TargetMode="External"/></Relationships>
</file>

<file path=word/charts/_rels/chart108.xml.rels><?xml version="1.0" encoding="UTF-8" standalone="yes"?>
<Relationships xmlns="http://schemas.openxmlformats.org/package/2006/relationships"><Relationship Id="rId3" Type="http://schemas.openxmlformats.org/officeDocument/2006/relationships/oleObject" Target="file:///C:\Users\Jeroen\Documents\ElaadNL\Nationaal%20Laad%20Onderzoek\2025\Slim_laden_analyse.xlsx" TargetMode="External"/><Relationship Id="rId2" Type="http://schemas.microsoft.com/office/2011/relationships/chartColorStyle" Target="colors26.xml"/><Relationship Id="rId1" Type="http://schemas.microsoft.com/office/2011/relationships/chartStyle" Target="style26.xml"/></Relationships>
</file>

<file path=word/charts/_rels/chart109.xml.rels><?xml version="1.0" encoding="UTF-8" standalone="yes"?>
<Relationships xmlns="http://schemas.openxmlformats.org/package/2006/relationships"><Relationship Id="rId3" Type="http://schemas.openxmlformats.org/officeDocument/2006/relationships/oleObject" Target="file:///C:\Users\Jeroen\Documents\ElaadNL\Nationaal%20Laad%20Onderzoek\2025\Slim_laden_analyse.xlsx" TargetMode="External"/><Relationship Id="rId2" Type="http://schemas.microsoft.com/office/2011/relationships/chartColorStyle" Target="colors27.xml"/><Relationship Id="rId1" Type="http://schemas.microsoft.com/office/2011/relationships/chartStyle" Target="style27.xml"/></Relationships>
</file>

<file path=word/charts/_rels/chart11.xml.rels><?xml version="1.0" encoding="UTF-8" standalone="yes"?>
<Relationships xmlns="http://schemas.openxmlformats.org/package/2006/relationships"><Relationship Id="rId1" Type="http://schemas.openxmlformats.org/officeDocument/2006/relationships/oleObject" Target="https://stichtingelaad.sharepoint.com/sites/NationaalLaadonderzoek-2022/Gedeelde%20documenten/General/2025/rapport/Figuren%20H3_intro_betalen_prijstransparantie.xlsx" TargetMode="External"/></Relationships>
</file>

<file path=word/charts/_rels/chart110.xml.rels><?xml version="1.0" encoding="UTF-8" standalone="yes"?>
<Relationships xmlns="http://schemas.openxmlformats.org/package/2006/relationships"><Relationship Id="rId3" Type="http://schemas.openxmlformats.org/officeDocument/2006/relationships/oleObject" Target="file:///C:\Users\Jeroen\Documents\ElaadNL\Nationaal%20Laad%20Onderzoek\2025\analyse\Slim_laden_analyse.xlsx" TargetMode="External"/><Relationship Id="rId2" Type="http://schemas.microsoft.com/office/2011/relationships/chartColorStyle" Target="colors28.xml"/><Relationship Id="rId1" Type="http://schemas.microsoft.com/office/2011/relationships/chartStyle" Target="style28.xml"/></Relationships>
</file>

<file path=word/charts/_rels/chart111.xml.rels><?xml version="1.0" encoding="UTF-8" standalone="yes"?>
<Relationships xmlns="http://schemas.openxmlformats.org/package/2006/relationships"><Relationship Id="rId3" Type="http://schemas.openxmlformats.org/officeDocument/2006/relationships/oleObject" Target="file:///C:\Users\Jeroen\Documents\ElaadNL\Nationaal%20Laad%20Onderzoek\2025\Slim_laden_analyse.xlsx" TargetMode="External"/><Relationship Id="rId2" Type="http://schemas.microsoft.com/office/2011/relationships/chartColorStyle" Target="colors29.xml"/><Relationship Id="rId1" Type="http://schemas.microsoft.com/office/2011/relationships/chartStyle" Target="style29.xml"/></Relationships>
</file>

<file path=word/charts/_rels/chart112.xml.rels><?xml version="1.0" encoding="UTF-8" standalone="yes"?>
<Relationships xmlns="http://schemas.openxmlformats.org/package/2006/relationships"><Relationship Id="rId3" Type="http://schemas.openxmlformats.org/officeDocument/2006/relationships/oleObject" Target="file:///C:\Users\Jeroen\Documents\ElaadNL\Nationaal%20Laad%20Onderzoek\2025\Slim_laden_analyse.xlsx" TargetMode="External"/><Relationship Id="rId2" Type="http://schemas.microsoft.com/office/2011/relationships/chartColorStyle" Target="colors30.xml"/><Relationship Id="rId1" Type="http://schemas.microsoft.com/office/2011/relationships/chartStyle" Target="style30.xml"/></Relationships>
</file>

<file path=word/charts/_rels/chart113.xml.rels><?xml version="1.0" encoding="UTF-8" standalone="yes"?>
<Relationships xmlns="http://schemas.openxmlformats.org/package/2006/relationships"><Relationship Id="rId3" Type="http://schemas.openxmlformats.org/officeDocument/2006/relationships/oleObject" Target="file:///C:\Users\Jeroen\Documents\ElaadNL\Nationaal%20Laad%20Onderzoek\2025\Slim_laden_analyse.xlsx" TargetMode="External"/><Relationship Id="rId2" Type="http://schemas.microsoft.com/office/2011/relationships/chartColorStyle" Target="colors31.xml"/><Relationship Id="rId1" Type="http://schemas.microsoft.com/office/2011/relationships/chartStyle" Target="style31.xml"/></Relationships>
</file>

<file path=word/charts/_rels/chart114.xml.rels><?xml version="1.0" encoding="UTF-8" standalone="yes"?>
<Relationships xmlns="http://schemas.openxmlformats.org/package/2006/relationships"><Relationship Id="rId3" Type="http://schemas.openxmlformats.org/officeDocument/2006/relationships/oleObject" Target="file:///C:\Users\Jeroen\Documents\ElaadNL\Nationaal%20Laad%20Onderzoek\2025\Slim_laden_analyse.xlsx" TargetMode="External"/><Relationship Id="rId2" Type="http://schemas.microsoft.com/office/2011/relationships/chartColorStyle" Target="colors32.xml"/><Relationship Id="rId1" Type="http://schemas.microsoft.com/office/2011/relationships/chartStyle" Target="style32.xml"/></Relationships>
</file>

<file path=word/charts/_rels/chart115.xml.rels><?xml version="1.0" encoding="UTF-8" standalone="yes"?>
<Relationships xmlns="http://schemas.openxmlformats.org/package/2006/relationships"><Relationship Id="rId3" Type="http://schemas.openxmlformats.org/officeDocument/2006/relationships/oleObject" Target="file:///C:\Users\Jeroen\Documents\ElaadNL\Nationaal%20Laad%20Onderzoek\2025\Slim_laden_analyse.xlsx" TargetMode="External"/><Relationship Id="rId2" Type="http://schemas.microsoft.com/office/2011/relationships/chartColorStyle" Target="colors33.xml"/><Relationship Id="rId1" Type="http://schemas.microsoft.com/office/2011/relationships/chartStyle" Target="style33.xml"/></Relationships>
</file>

<file path=word/charts/_rels/chart116.xml.rels><?xml version="1.0" encoding="UTF-8" standalone="yes"?>
<Relationships xmlns="http://schemas.openxmlformats.org/package/2006/relationships"><Relationship Id="rId3" Type="http://schemas.openxmlformats.org/officeDocument/2006/relationships/oleObject" Target="file:///C:\Users\Jeroen\Documents\ElaadNL\Nationaal%20Laad%20Onderzoek\2025\Slim_laden_analyse.xlsx" TargetMode="External"/><Relationship Id="rId2" Type="http://schemas.microsoft.com/office/2011/relationships/chartColorStyle" Target="colors34.xml"/><Relationship Id="rId1" Type="http://schemas.microsoft.com/office/2011/relationships/chartStyle" Target="style34.xml"/></Relationships>
</file>

<file path=word/charts/_rels/chart117.xml.rels><?xml version="1.0" encoding="UTF-8" standalone="yes"?>
<Relationships xmlns="http://schemas.openxmlformats.org/package/2006/relationships"><Relationship Id="rId3" Type="http://schemas.openxmlformats.org/officeDocument/2006/relationships/oleObject" Target="file:///C:\Users\Jeroen\Downloads\Laadonderzoek%202025_+gemeente+stedelijkheid.xlsx" TargetMode="External"/><Relationship Id="rId2" Type="http://schemas.microsoft.com/office/2011/relationships/chartColorStyle" Target="colors35.xml"/><Relationship Id="rId1" Type="http://schemas.microsoft.com/office/2011/relationships/chartStyle" Target="style35.xml"/></Relationships>
</file>

<file path=word/charts/_rels/chart118.xml.rels><?xml version="1.0" encoding="UTF-8" standalone="yes"?>
<Relationships xmlns="http://schemas.openxmlformats.org/package/2006/relationships"><Relationship Id="rId1" Type="http://schemas.openxmlformats.org/officeDocument/2006/relationships/oleObject" Target="https://stichtingelaad.sharepoint.com/sites/NationaalLaadonderzoek-2022/Gedeelde%20documenten/General/2025/analyse/Analyse%20ELaad/Regio_informatie_analyse.xlsx" TargetMode="External"/></Relationships>
</file>

<file path=word/charts/_rels/chart119.xml.rels><?xml version="1.0" encoding="UTF-8" standalone="yes"?>
<Relationships xmlns="http://schemas.openxmlformats.org/package/2006/relationships"><Relationship Id="rId3" Type="http://schemas.openxmlformats.org/officeDocument/2006/relationships/oleObject" Target="file:///C:\Users\Jeroen\Downloads\Laadonderzoek%202025_+gemeente+stedelijkheid.xlsx" TargetMode="External"/><Relationship Id="rId2" Type="http://schemas.microsoft.com/office/2011/relationships/chartColorStyle" Target="colors36.xml"/><Relationship Id="rId1" Type="http://schemas.microsoft.com/office/2011/relationships/chartStyle" Target="style36.xml"/></Relationships>
</file>

<file path=word/charts/_rels/chart12.xml.rels><?xml version="1.0" encoding="UTF-8" standalone="yes"?>
<Relationships xmlns="http://schemas.openxmlformats.org/package/2006/relationships"><Relationship Id="rId1" Type="http://schemas.openxmlformats.org/officeDocument/2006/relationships/oleObject" Target="file:///\\LNV.INTERN\GRP\rvo\Kluis_duurzame_mobiliteit\Monitoring\Scrum\Enquetes\Nationaal%20laadonderzoek%202025\rapport\Figuren%20H3_intro_betalen_prijstransparantie.xlsx" TargetMode="External"/></Relationships>
</file>

<file path=word/charts/_rels/chart120.xml.rels><?xml version="1.0" encoding="UTF-8" standalone="yes"?>
<Relationships xmlns="http://schemas.openxmlformats.org/package/2006/relationships"><Relationship Id="rId3" Type="http://schemas.openxmlformats.org/officeDocument/2006/relationships/oleObject" Target="file:///C:\Users\Jeroen\Downloads\Laadonderzoek%202025_+gemeente+stedelijkheid.xlsx" TargetMode="External"/><Relationship Id="rId2" Type="http://schemas.microsoft.com/office/2011/relationships/chartColorStyle" Target="colors37.xml"/><Relationship Id="rId1" Type="http://schemas.microsoft.com/office/2011/relationships/chartStyle" Target="style37.xml"/></Relationships>
</file>

<file path=word/charts/_rels/chart121.xml.rels><?xml version="1.0" encoding="UTF-8" standalone="yes"?>
<Relationships xmlns="http://schemas.openxmlformats.org/package/2006/relationships"><Relationship Id="rId3" Type="http://schemas.openxmlformats.org/officeDocument/2006/relationships/oleObject" Target="file:///C:\Users\Jeroen\Downloads\Laadonderzoek%202025_+gemeente+stedelijkheid.xlsx" TargetMode="External"/><Relationship Id="rId2" Type="http://schemas.microsoft.com/office/2011/relationships/chartColorStyle" Target="colors38.xml"/><Relationship Id="rId1" Type="http://schemas.microsoft.com/office/2011/relationships/chartStyle" Target="style38.xml"/></Relationships>
</file>

<file path=word/charts/_rels/chart122.xml.rels><?xml version="1.0" encoding="UTF-8" standalone="yes"?>
<Relationships xmlns="http://schemas.openxmlformats.org/package/2006/relationships"><Relationship Id="rId3" Type="http://schemas.openxmlformats.org/officeDocument/2006/relationships/oleObject" Target="file:///C:\Users\Jeroen\Downloads\Laadonderzoek%202025_+gemeente+stedelijkheid.xlsx" TargetMode="External"/><Relationship Id="rId2" Type="http://schemas.microsoft.com/office/2011/relationships/chartColorStyle" Target="colors39.xml"/><Relationship Id="rId1" Type="http://schemas.microsoft.com/office/2011/relationships/chartStyle" Target="style39.xml"/></Relationships>
</file>

<file path=word/charts/_rels/chart123.xml.rels><?xml version="1.0" encoding="UTF-8" standalone="yes"?>
<Relationships xmlns="http://schemas.openxmlformats.org/package/2006/relationships"><Relationship Id="rId3" Type="http://schemas.openxmlformats.org/officeDocument/2006/relationships/oleObject" Target="file:///C:\Users\Jeroen\Documents\ElaadNL\Nationaal%20Laad%20Onderzoek\2025\analyse\Regio_informatie_analyse.xlsx" TargetMode="External"/><Relationship Id="rId2" Type="http://schemas.microsoft.com/office/2011/relationships/chartColorStyle" Target="colors40.xml"/><Relationship Id="rId1" Type="http://schemas.microsoft.com/office/2011/relationships/chartStyle" Target="style40.xml"/></Relationships>
</file>

<file path=word/charts/_rels/chart124.xml.rels><?xml version="1.0" encoding="UTF-8" standalone="yes"?>
<Relationships xmlns="http://schemas.openxmlformats.org/package/2006/relationships"><Relationship Id="rId3" Type="http://schemas.openxmlformats.org/officeDocument/2006/relationships/oleObject" Target="file:///C:\Users\Jeroen\Documents\ElaadNL\Nationaal%20Laad%20Onderzoek\2025\analyse\Regio_informatie_analyse.xlsx" TargetMode="External"/><Relationship Id="rId2" Type="http://schemas.microsoft.com/office/2011/relationships/chartColorStyle" Target="colors41.xml"/><Relationship Id="rId1" Type="http://schemas.microsoft.com/office/2011/relationships/chartStyle" Target="style41.xml"/></Relationships>
</file>

<file path=word/charts/_rels/chart125.xml.rels><?xml version="1.0" encoding="UTF-8" standalone="yes"?>
<Relationships xmlns="http://schemas.openxmlformats.org/package/2006/relationships"><Relationship Id="rId3" Type="http://schemas.openxmlformats.org/officeDocument/2006/relationships/oleObject" Target="file:///C:\Users\Jeroen\Documents\ElaadNL\Nationaal%20Laad%20Onderzoek\2025\analyse\Regio_informatie_analyse.xlsx" TargetMode="External"/><Relationship Id="rId2" Type="http://schemas.microsoft.com/office/2011/relationships/chartColorStyle" Target="colors42.xml"/><Relationship Id="rId1" Type="http://schemas.microsoft.com/office/2011/relationships/chartStyle" Target="style42.xml"/></Relationships>
</file>

<file path=word/charts/_rels/chart126.xml.rels><?xml version="1.0" encoding="UTF-8" standalone="yes"?>
<Relationships xmlns="http://schemas.openxmlformats.org/package/2006/relationships"><Relationship Id="rId3" Type="http://schemas.openxmlformats.org/officeDocument/2006/relationships/oleObject" Target="file:///C:\Users\Jeroen\Documents\ElaadNL\Nationaal%20Laad%20Onderzoek\2025\analyse\Regio_informatie_analyse.xlsx" TargetMode="External"/><Relationship Id="rId2" Type="http://schemas.microsoft.com/office/2011/relationships/chartColorStyle" Target="colors43.xml"/><Relationship Id="rId1" Type="http://schemas.microsoft.com/office/2011/relationships/chartStyle" Target="style43.xml"/></Relationships>
</file>

<file path=word/charts/_rels/chart127.xml.rels><?xml version="1.0" encoding="UTF-8" standalone="yes"?>
<Relationships xmlns="http://schemas.openxmlformats.org/package/2006/relationships"><Relationship Id="rId3" Type="http://schemas.openxmlformats.org/officeDocument/2006/relationships/oleObject" Target="file:///C:\Users\Jeroen\Downloads\Laadonderzoek%202025_+gemeente+stedelijkheid.xlsx" TargetMode="External"/><Relationship Id="rId2" Type="http://schemas.microsoft.com/office/2011/relationships/chartColorStyle" Target="colors44.xml"/><Relationship Id="rId1" Type="http://schemas.microsoft.com/office/2011/relationships/chartStyle" Target="style44.xml"/></Relationships>
</file>

<file path=word/charts/_rels/chart128.xml.rels><?xml version="1.0" encoding="UTF-8" standalone="yes"?>
<Relationships xmlns="http://schemas.openxmlformats.org/package/2006/relationships"><Relationship Id="rId3" Type="http://schemas.openxmlformats.org/officeDocument/2006/relationships/oleObject" Target="file:///C:\Users\Jeroen\Downloads\Laadonderzoek%202025_+gemeente+stedelijkheid.xlsx" TargetMode="External"/><Relationship Id="rId2" Type="http://schemas.microsoft.com/office/2011/relationships/chartColorStyle" Target="colors45.xml"/><Relationship Id="rId1" Type="http://schemas.microsoft.com/office/2011/relationships/chartStyle" Target="style45.xml"/></Relationships>
</file>

<file path=word/charts/_rels/chart129.xml.rels><?xml version="1.0" encoding="UTF-8" standalone="yes"?>
<Relationships xmlns="http://schemas.openxmlformats.org/package/2006/relationships"><Relationship Id="rId3" Type="http://schemas.openxmlformats.org/officeDocument/2006/relationships/oleObject" Target="file:///C:\Users\Jeroen\Downloads\Laadonderzoek%202025_+gemeente+stedelijkheid.xlsx" TargetMode="External"/><Relationship Id="rId2" Type="http://schemas.microsoft.com/office/2011/relationships/chartColorStyle" Target="colors46.xml"/><Relationship Id="rId1" Type="http://schemas.microsoft.com/office/2011/relationships/chartStyle" Target="style46.xml"/></Relationships>
</file>

<file path=word/charts/_rels/chart13.xml.rels><?xml version="1.0" encoding="UTF-8" standalone="yes"?>
<Relationships xmlns="http://schemas.openxmlformats.org/package/2006/relationships"><Relationship Id="rId1" Type="http://schemas.openxmlformats.org/officeDocument/2006/relationships/oleObject" Target="file:///\\LNV.INTERN\GRP\rvo\Kluis_duurzame_mobiliteit\Monitoring\Scrum\Enquetes\Nationaal%20laadonderzoek%202025\rapport\Figuren%20H3_intro_betalen_prijstransparantie.xlsx" TargetMode="External"/></Relationships>
</file>

<file path=word/charts/_rels/chart130.xml.rels><?xml version="1.0" encoding="UTF-8" standalone="yes"?>
<Relationships xmlns="http://schemas.openxmlformats.org/package/2006/relationships"><Relationship Id="rId3" Type="http://schemas.openxmlformats.org/officeDocument/2006/relationships/oleObject" Target="file:///C:\Users\Jeroen\Downloads\Laadonderzoek%202025_+gemeente+stedelijkheid.xlsx" TargetMode="External"/><Relationship Id="rId2" Type="http://schemas.microsoft.com/office/2011/relationships/chartColorStyle" Target="colors47.xml"/><Relationship Id="rId1" Type="http://schemas.microsoft.com/office/2011/relationships/chartStyle" Target="style47.xml"/></Relationships>
</file>

<file path=word/charts/_rels/chart131.xml.rels><?xml version="1.0" encoding="UTF-8" standalone="yes"?>
<Relationships xmlns="http://schemas.openxmlformats.org/package/2006/relationships"><Relationship Id="rId3" Type="http://schemas.openxmlformats.org/officeDocument/2006/relationships/oleObject" Target="file:///C:\Users\Jeroen\Downloads\Laadonderzoek%202025_+gemeente+stedelijkheid.xlsx" TargetMode="External"/><Relationship Id="rId2" Type="http://schemas.microsoft.com/office/2011/relationships/chartColorStyle" Target="colors48.xml"/><Relationship Id="rId1" Type="http://schemas.microsoft.com/office/2011/relationships/chartStyle" Target="style48.xml"/></Relationships>
</file>

<file path=word/charts/_rels/chart132.xml.rels><?xml version="1.0" encoding="UTF-8" standalone="yes"?>
<Relationships xmlns="http://schemas.openxmlformats.org/package/2006/relationships"><Relationship Id="rId3" Type="http://schemas.openxmlformats.org/officeDocument/2006/relationships/oleObject" Target="file:///C:\Users\Jeroen\Downloads\Laadonderzoek%202025_+gemeente+stedelijkheid.xlsx" TargetMode="External"/><Relationship Id="rId2" Type="http://schemas.microsoft.com/office/2011/relationships/chartColorStyle" Target="colors49.xml"/><Relationship Id="rId1" Type="http://schemas.microsoft.com/office/2011/relationships/chartStyle" Target="style49.xml"/></Relationships>
</file>

<file path=word/charts/_rels/chart14.xml.rels><?xml version="1.0" encoding="UTF-8" standalone="yes"?>
<Relationships xmlns="http://schemas.openxmlformats.org/package/2006/relationships"><Relationship Id="rId1" Type="http://schemas.openxmlformats.org/officeDocument/2006/relationships/oleObject" Target="file:///\\LNV.INTERN\GRP\rvo\Kluis_duurzame_mobiliteit\Monitoring\Scrum\Enquetes\Nationaal%20laadonderzoek%202025\rapport\Figuren%20H3_intro_betalen_prijstransparantie.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LNV.INTERN\GRP\rvo\Kluis_duurzame_mobiliteit\Monitoring\Scrum\Enquetes\Nationaal%20laadonderzoek%202025\rapport\Figuren%20H3_intro_betalen_prijstransparantie.xlsx" TargetMode="External"/></Relationships>
</file>

<file path=word/charts/_rels/chart16.xml.rels><?xml version="1.0" encoding="UTF-8" standalone="yes"?>
<Relationships xmlns="http://schemas.openxmlformats.org/package/2006/relationships"><Relationship Id="rId3" Type="http://schemas.openxmlformats.org/officeDocument/2006/relationships/oleObject" Target="https://stichtingelaad.sharepoint.com/sites/NationaalLaadonderzoek-2022/Gedeelde%20documenten/General/2025/rapport/Figuren%20H3_intro_betalen_prijstransparantie.xlsx" TargetMode="External"/><Relationship Id="rId2" Type="http://schemas.microsoft.com/office/2011/relationships/chartColorStyle" Target="colors1.xml"/><Relationship Id="rId1" Type="http://schemas.microsoft.com/office/2011/relationships/chartStyle" Target="style1.xml"/></Relationships>
</file>

<file path=word/charts/_rels/chart17.xml.rels><?xml version="1.0" encoding="UTF-8" standalone="yes"?>
<Relationships xmlns="http://schemas.openxmlformats.org/package/2006/relationships"><Relationship Id="rId1" Type="http://schemas.openxmlformats.org/officeDocument/2006/relationships/oleObject" Target="https://stichtingelaad.sharepoint.com/sites/NationaalLaadonderzoek-2022/Gedeelde%20documenten/General/2025/rapport/Figuren%20H3_intro_betalen_prijstransparantie.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LNV.INTERN\GRP\rvo\Kluis_duurzame_mobiliteit\Monitoring\Scrum\Enquetes\Nationaal%20laadonderzoek%202025\rapport\Figuren%20H3_intro_betalen_prijstransparantie.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https://stichtingelaad.sharepoint.com/sites/NationaalLaadonderzoek-2022/Gedeelde%20documenten/General/2025/rapport/Figuren%20H3_intro_betalen_prijstransparantie.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LNV.INTERN\GRP\rvo\Kluis_duurzame_mobiliteit\Monitoring\Scrum\Enquetes\Nationaal%20laadonderzoek%202025\analyse\Laadonderzoek%20representativiteit.xlsx"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LNV.INTERN\GRP\rvo\Kluis_duurzame_mobiliteit\Monitoring\Scrum\Enquetes\Nationaal%20laadonderzoek%202025\rapport\Figuren%20H3_intro_betalen_prijstransparantie.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LNV.INTERN\GRP\rvo\Kluis_duurzame_mobiliteit\Monitoring\Scrum\Enquetes\Nationaal%20laadonderzoek%202025\rapport\Figuren%20H3_intro_betalen_prijstransparantie.xlsx" TargetMode="External"/></Relationships>
</file>

<file path=word/charts/_rels/chart22.xml.rels><?xml version="1.0" encoding="UTF-8" standalone="yes"?>
<Relationships xmlns="http://schemas.openxmlformats.org/package/2006/relationships"><Relationship Id="rId3" Type="http://schemas.openxmlformats.org/officeDocument/2006/relationships/oleObject" Target="file:///\\LNV.INTERN\GRP\rvo\Kluis_duurzame_mobiliteit\Monitoring\Scrum\Enquetes\Nationaal%20laadonderzoek%202025\rapport\Figuren%20H3_intro_betalen_prijstransparantie.xlsx" TargetMode="External"/><Relationship Id="rId2" Type="http://schemas.microsoft.com/office/2011/relationships/chartColorStyle" Target="colors2.xml"/><Relationship Id="rId1" Type="http://schemas.microsoft.com/office/2011/relationships/chartStyle" Target="style2.xml"/></Relationships>
</file>

<file path=word/charts/_rels/chart23.xml.rels><?xml version="1.0" encoding="UTF-8" standalone="yes"?>
<Relationships xmlns="http://schemas.openxmlformats.org/package/2006/relationships"><Relationship Id="rId3" Type="http://schemas.openxmlformats.org/officeDocument/2006/relationships/oleObject" Target="https://stichtingelaad.sharepoint.com/sites/NationaalLaadonderzoek-2022/Gedeelde%20documenten/General/2025/rapport/Figuren%20H3_intro_betalen_prijstransparantie.xlsx" TargetMode="External"/><Relationship Id="rId2" Type="http://schemas.microsoft.com/office/2011/relationships/chartColorStyle" Target="colors3.xml"/><Relationship Id="rId1" Type="http://schemas.microsoft.com/office/2011/relationships/chartStyle" Target="style3.xml"/></Relationships>
</file>

<file path=word/charts/_rels/chart24.xml.rels><?xml version="1.0" encoding="UTF-8" standalone="yes"?>
<Relationships xmlns="http://schemas.openxmlformats.org/package/2006/relationships"><Relationship Id="rId1" Type="http://schemas.openxmlformats.org/officeDocument/2006/relationships/oleObject" Target="https://stichtingelaad.sharepoint.com/sites/NationaalLaadonderzoek-2022/Gedeelde%20documenten/General/2025/rapport/Figuren%20H3_intro_betalen_prijstransparantie.xlsx"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https://stichtingelaad.sharepoint.com/sites/NationaalLaadonderzoek-2022/Gedeelde%20documenten/General/2025/rapport/Figuren%20H3_intro_betalen_prijstransparantie.xlsx" TargetMode="External"/></Relationships>
</file>

<file path=word/charts/_rels/chart26.xml.rels><?xml version="1.0" encoding="UTF-8" standalone="yes"?>
<Relationships xmlns="http://schemas.openxmlformats.org/package/2006/relationships"><Relationship Id="rId1" Type="http://schemas.openxmlformats.org/officeDocument/2006/relationships/oleObject" Target="https://stichtingelaad.sharepoint.com/sites/NationaalLaadonderzoek-2022/Gedeelde%20documenten/General/2025/rapport/Figuren%20H3_intro_betalen_prijstransparantie.xlsx" TargetMode="External"/></Relationships>
</file>

<file path=word/charts/_rels/chart27.xml.rels><?xml version="1.0" encoding="UTF-8" standalone="yes"?>
<Relationships xmlns="http://schemas.openxmlformats.org/package/2006/relationships"><Relationship Id="rId1" Type="http://schemas.openxmlformats.org/officeDocument/2006/relationships/oleObject" Target="https://stichtingelaad.sharepoint.com/sites/NationaalLaadonderzoek-2022/Gedeelde%20documenten/General/2025/rapport/Figuren%20H3_intro_betalen_prijstransparantie.xlsx" TargetMode="External"/></Relationships>
</file>

<file path=word/charts/_rels/chart28.xml.rels><?xml version="1.0" encoding="UTF-8" standalone="yes"?>
<Relationships xmlns="http://schemas.openxmlformats.org/package/2006/relationships"><Relationship Id="rId1" Type="http://schemas.openxmlformats.org/officeDocument/2006/relationships/oleObject" Target="https://stichtingelaad.sharepoint.com/sites/NationaalLaadonderzoek-2022/Gedeelde%20documenten/General/2025/rapport/Figuren%20H3_intro_betalen_prijstransparantie.xlsx" TargetMode="External"/></Relationships>
</file>

<file path=word/charts/_rels/chart29.xml.rels><?xml version="1.0" encoding="UTF-8" standalone="yes"?>
<Relationships xmlns="http://schemas.openxmlformats.org/package/2006/relationships"><Relationship Id="rId1" Type="http://schemas.openxmlformats.org/officeDocument/2006/relationships/oleObject" Target="https://stichtingelaad.sharepoint.com/sites/NationaalLaadonderzoek-2022/Gedeelde%20documenten/General/2025/rapport/Figuren%20H3_intro_betalen_prijstransparantie.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LNV.INTERN\GRP\rvo\Kluis_duurzame_mobiliteit\Monitoring\Scrum\Enquetes\Nationaal%20laadonderzoek%202025\analyse\Laadonderzoek%20representativiteit.xlsx" TargetMode="External"/></Relationships>
</file>

<file path=word/charts/_rels/chart30.xml.rels><?xml version="1.0" encoding="UTF-8" standalone="yes"?>
<Relationships xmlns="http://schemas.openxmlformats.org/package/2006/relationships"><Relationship Id="rId1" Type="http://schemas.openxmlformats.org/officeDocument/2006/relationships/oleObject" Target="https://stichtingelaad.sharepoint.com/sites/NationaalLaadonderzoek-2022/Gedeelde%20documenten/General/2025/rapport/Figuren%20H3_intro_betalen_prijstransparantie.xlsx" TargetMode="External"/></Relationships>
</file>

<file path=word/charts/_rels/chart31.xml.rels><?xml version="1.0" encoding="UTF-8" standalone="yes"?>
<Relationships xmlns="http://schemas.openxmlformats.org/package/2006/relationships"><Relationship Id="rId1" Type="http://schemas.openxmlformats.org/officeDocument/2006/relationships/oleObject" Target="https://stichtingelaad.sharepoint.com/sites/NationaalLaadonderzoek-2022/Gedeelde%20documenten/General/2025/rapport/Figuren%20H3_intro_betalen_prijstransparantie.xlsx" TargetMode="External"/></Relationships>
</file>

<file path=word/charts/_rels/chart32.xml.rels><?xml version="1.0" encoding="UTF-8" standalone="yes"?>
<Relationships xmlns="http://schemas.openxmlformats.org/package/2006/relationships"><Relationship Id="rId1" Type="http://schemas.openxmlformats.org/officeDocument/2006/relationships/oleObject" Target="https://stichtingelaad.sharepoint.com/sites/NationaalLaadonderzoek-2022/Gedeelde%20documenten/General/2025/rapport/Figuren%20H3_intro_betalen_prijstransparantie.xlsx" TargetMode="External"/></Relationships>
</file>

<file path=word/charts/_rels/chart33.xml.rels><?xml version="1.0" encoding="UTF-8" standalone="yes"?>
<Relationships xmlns="http://schemas.openxmlformats.org/package/2006/relationships"><Relationship Id="rId1" Type="http://schemas.openxmlformats.org/officeDocument/2006/relationships/oleObject" Target="https://stichtingelaad.sharepoint.com/sites/NationaalLaadonderzoek-2022/Gedeelde%20documenten/General/2025/rapport/Figuren%20H3_intro_betalen_prijstransparantie.xlsx" TargetMode="External"/></Relationships>
</file>

<file path=word/charts/_rels/chart34.xml.rels><?xml version="1.0" encoding="UTF-8" standalone="yes"?>
<Relationships xmlns="http://schemas.openxmlformats.org/package/2006/relationships"><Relationship Id="rId1" Type="http://schemas.openxmlformats.org/officeDocument/2006/relationships/oleObject" Target="https://stichtingelaad.sharepoint.com/sites/NationaalLaadonderzoek-2022/Gedeelde%20documenten/General/2025/rapport/Figuren%20H3_intro_betalen_prijstransparantie.xlsx" TargetMode="External"/></Relationships>
</file>

<file path=word/charts/_rels/chart35.xml.rels><?xml version="1.0" encoding="UTF-8" standalone="yes"?>
<Relationships xmlns="http://schemas.openxmlformats.org/package/2006/relationships"><Relationship Id="rId1" Type="http://schemas.openxmlformats.org/officeDocument/2006/relationships/oleObject" Target="https://stichtingelaad.sharepoint.com/sites/NationaalLaadonderzoek-2022/Gedeelde%20documenten/General/2025/rapport/Figuren%20H3_intro_betalen_prijstransparantie.xlsx" TargetMode="External"/></Relationships>
</file>

<file path=word/charts/_rels/chart36.xml.rels><?xml version="1.0" encoding="UTF-8" standalone="yes"?>
<Relationships xmlns="http://schemas.openxmlformats.org/package/2006/relationships"><Relationship Id="rId1" Type="http://schemas.openxmlformats.org/officeDocument/2006/relationships/oleObject" Target="https://stichtingelaad.sharepoint.com/sites/NationaalLaadonderzoek-2022/Gedeelde%20documenten/General/2025/rapport/Figuren%20H3_intro_betalen_prijstransparantie.xlsx" TargetMode="External"/></Relationships>
</file>

<file path=word/charts/_rels/chart37.xml.rels><?xml version="1.0" encoding="UTF-8" standalone="yes"?>
<Relationships xmlns="http://schemas.openxmlformats.org/package/2006/relationships"><Relationship Id="rId1" Type="http://schemas.openxmlformats.org/officeDocument/2006/relationships/oleObject" Target="https://stichtingelaad.sharepoint.com/sites/NationaalLaadonderzoek-2022/Gedeelde%20documenten/General/2025/rapport/Figuren%20H3_intro_betalen_prijstransparantie.xlsx" TargetMode="External"/></Relationships>
</file>

<file path=word/charts/_rels/chart38.xml.rels><?xml version="1.0" encoding="UTF-8" standalone="yes"?>
<Relationships xmlns="http://schemas.openxmlformats.org/package/2006/relationships"><Relationship Id="rId1" Type="http://schemas.openxmlformats.org/officeDocument/2006/relationships/oleObject" Target="https://stichtingelaad.sharepoint.com/sites/NationaalLaadonderzoek-2022/Gedeelde%20documenten/General/2025/rapport/Figuren%20H3_intro_betalen_prijstransparantie.xlsx" TargetMode="External"/></Relationships>
</file>

<file path=word/charts/_rels/chart39.xml.rels><?xml version="1.0" encoding="UTF-8" standalone="yes"?>
<Relationships xmlns="http://schemas.openxmlformats.org/package/2006/relationships"><Relationship Id="rId1" Type="http://schemas.openxmlformats.org/officeDocument/2006/relationships/oleObject" Target="https://stichtingelaad.sharepoint.com/sites/NationaalLaadonderzoek-2022/Gedeelde%20documenten/General/2025/rapport/Figuren%20H3_intro_betalen_prijstransparantie.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LNV.INTERN\GRP\rvo\Kluis_duurzame_mobiliteit\Monitoring\Scrum\Enquetes\Nationaal%20laadonderzoek%202025\analyse\Laadonderzoek%20representativiteit.xlsx" TargetMode="External"/></Relationships>
</file>

<file path=word/charts/_rels/chart40.xml.rels><?xml version="1.0" encoding="UTF-8" standalone="yes"?>
<Relationships xmlns="http://schemas.openxmlformats.org/package/2006/relationships"><Relationship Id="rId1" Type="http://schemas.openxmlformats.org/officeDocument/2006/relationships/oleObject" Target="https://stichtingelaad.sharepoint.com/sites/NationaalLaadonderzoek-2022/Gedeelde%20documenten/General/2025/rapport/Figuren%20H3_intro_betalen_prijstransparantie.xlsx" TargetMode="External"/></Relationships>
</file>

<file path=word/charts/_rels/chart41.xml.rels><?xml version="1.0" encoding="UTF-8" standalone="yes"?>
<Relationships xmlns="http://schemas.openxmlformats.org/package/2006/relationships"><Relationship Id="rId1" Type="http://schemas.openxmlformats.org/officeDocument/2006/relationships/oleObject" Target="https://stichtingelaad.sharepoint.com/sites/NationaalLaadonderzoek-2022/Gedeelde%20documenten/General/2025/rapport/Figuren%20H3_intro_betalen_prijstransparantie.xlsx" TargetMode="External"/></Relationships>
</file>

<file path=word/charts/_rels/chart42.xml.rels><?xml version="1.0" encoding="UTF-8" standalone="yes"?>
<Relationships xmlns="http://schemas.openxmlformats.org/package/2006/relationships"><Relationship Id="rId1" Type="http://schemas.openxmlformats.org/officeDocument/2006/relationships/oleObject" Target="https://stichtingelaad.sharepoint.com/sites/NationaalLaadonderzoek-2022/Gedeelde%20documenten/General/2025/rapport/Figuren%20H3_intro_betalen_prijstransparantie.xlsx" TargetMode="External"/></Relationships>
</file>

<file path=word/charts/_rels/chart43.xml.rels><?xml version="1.0" encoding="UTF-8" standalone="yes"?>
<Relationships xmlns="http://schemas.openxmlformats.org/package/2006/relationships"><Relationship Id="rId1" Type="http://schemas.openxmlformats.org/officeDocument/2006/relationships/oleObject" Target="https://stichtingelaad.sharepoint.com/sites/NationaalLaadonderzoek-2022/Gedeelde%20documenten/General/2025/rapport/Figuren%20H3_intro_betalen_prijstransparantie.xlsx" TargetMode="External"/></Relationships>
</file>

<file path=word/charts/_rels/chart44.xml.rels><?xml version="1.0" encoding="UTF-8" standalone="yes"?>
<Relationships xmlns="http://schemas.openxmlformats.org/package/2006/relationships"><Relationship Id="rId1" Type="http://schemas.openxmlformats.org/officeDocument/2006/relationships/oleObject" Target="https://stichtingelaad.sharepoint.com/sites/NationaalLaadonderzoek-2022/Gedeelde%20documenten/General/2025/rapport/Figuren%20H3_intro_betalen_prijstransparantie.xlsx" TargetMode="External"/></Relationships>
</file>

<file path=word/charts/_rels/chart45.xml.rels><?xml version="1.0" encoding="UTF-8" standalone="yes"?>
<Relationships xmlns="http://schemas.openxmlformats.org/package/2006/relationships"><Relationship Id="rId1" Type="http://schemas.openxmlformats.org/officeDocument/2006/relationships/oleObject" Target="https://stichtingelaad.sharepoint.com/sites/NationaalLaadonderzoek-2022/Gedeelde%20documenten/General/2025/rapport/Figuren%20H3_intro_betalen_prijstransparantie.xlsx" TargetMode="External"/></Relationships>
</file>

<file path=word/charts/_rels/chart46.xml.rels><?xml version="1.0" encoding="UTF-8" standalone="yes"?>
<Relationships xmlns="http://schemas.openxmlformats.org/package/2006/relationships"><Relationship Id="rId1" Type="http://schemas.openxmlformats.org/officeDocument/2006/relationships/oleObject" Target="https://stichtingelaad.sharepoint.com/sites/NationaalLaadonderzoek-2022/Gedeelde%20documenten/General/2025/rapport/Figuren%20H3_intro_betalen_prijstransparantie.xlsx" TargetMode="External"/></Relationships>
</file>

<file path=word/charts/_rels/chart47.xml.rels><?xml version="1.0" encoding="UTF-8" standalone="yes"?>
<Relationships xmlns="http://schemas.openxmlformats.org/package/2006/relationships"><Relationship Id="rId1" Type="http://schemas.openxmlformats.org/officeDocument/2006/relationships/oleObject" Target="https://stichtingelaad.sharepoint.com/sites/NationaalLaadonderzoek-2022/Gedeelde%20documenten/General/2025/rapport/Figuren%20H3_intro_betalen_prijstransparantie.xlsx" TargetMode="External"/></Relationships>
</file>

<file path=word/charts/_rels/chart48.xml.rels><?xml version="1.0" encoding="UTF-8" standalone="yes"?>
<Relationships xmlns="http://schemas.openxmlformats.org/package/2006/relationships"><Relationship Id="rId1" Type="http://schemas.openxmlformats.org/officeDocument/2006/relationships/oleObject" Target="https://stichtingelaad.sharepoint.com/sites/NationaalLaadonderzoek-2022/Gedeelde%20documenten/General/2025/rapport/Figuren%20H3_intro_betalen_prijstransparantie.xlsx" TargetMode="External"/></Relationships>
</file>

<file path=word/charts/_rels/chart49.xml.rels><?xml version="1.0" encoding="UTF-8" standalone="yes"?>
<Relationships xmlns="http://schemas.openxmlformats.org/package/2006/relationships"><Relationship Id="rId1" Type="http://schemas.openxmlformats.org/officeDocument/2006/relationships/oleObject" Target="https://stichtingelaad.sharepoint.com/sites/NationaalLaadonderzoek-2022/Gedeelde%20documenten/General/2025/rapport/Figuren%20H3_intro_betalen_prijstransparantie.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LNV.INTERN\GRP\rvo\Kluis_duurzame_mobiliteit\Monitoring\Scrum\Enquetes\Nationaal%20laadonderzoek%202025\analyse\Laadonderzoek%20representativiteit.xlsx" TargetMode="External"/></Relationships>
</file>

<file path=word/charts/_rels/chart50.xml.rels><?xml version="1.0" encoding="UTF-8" standalone="yes"?>
<Relationships xmlns="http://schemas.openxmlformats.org/package/2006/relationships"><Relationship Id="rId1" Type="http://schemas.openxmlformats.org/officeDocument/2006/relationships/oleObject" Target="https://stichtingelaad.sharepoint.com/sites/NationaalLaadonderzoek-2022/Gedeelde%20documenten/General/2025/rapport/Figuren%20H3_intro_betalen_prijstransparantie.xlsx" TargetMode="External"/></Relationships>
</file>

<file path=word/charts/_rels/chart51.xml.rels><?xml version="1.0" encoding="UTF-8" standalone="yes"?>
<Relationships xmlns="http://schemas.openxmlformats.org/package/2006/relationships"><Relationship Id="rId1" Type="http://schemas.openxmlformats.org/officeDocument/2006/relationships/oleObject" Target="https://stichtingelaad.sharepoint.com/sites/NationaalLaadonderzoek-2022/Gedeelde%20documenten/General/2025/rapport/Figuren%20H3_intro_betalen_prijstransparantie.xlsx" TargetMode="External"/></Relationships>
</file>

<file path=word/charts/_rels/chart52.xml.rels><?xml version="1.0" encoding="UTF-8" standalone="yes"?>
<Relationships xmlns="http://schemas.openxmlformats.org/package/2006/relationships"><Relationship Id="rId1" Type="http://schemas.openxmlformats.org/officeDocument/2006/relationships/oleObject" Target="https://stichtingelaad.sharepoint.com/sites/NationaalLaadonderzoek-2022/Gedeelde%20documenten/General/2025/rapport/Figuren%20H3_intro_betalen_prijstransparantie.xlsx" TargetMode="External"/></Relationships>
</file>

<file path=word/charts/_rels/chart53.xml.rels><?xml version="1.0" encoding="UTF-8" standalone="yes"?>
<Relationships xmlns="http://schemas.openxmlformats.org/package/2006/relationships"><Relationship Id="rId1" Type="http://schemas.openxmlformats.org/officeDocument/2006/relationships/oleObject" Target="https://stichtingelaad.sharepoint.com/sites/NationaalLaadonderzoek-2022/Gedeelde%20documenten/General/2025/rapport/Figuren%20H3_intro_betalen_prijstransparantie.xlsx" TargetMode="External"/></Relationships>
</file>

<file path=word/charts/_rels/chart54.xml.rels><?xml version="1.0" encoding="UTF-8" standalone="yes"?>
<Relationships xmlns="http://schemas.openxmlformats.org/package/2006/relationships"><Relationship Id="rId1" Type="http://schemas.openxmlformats.org/officeDocument/2006/relationships/oleObject" Target="https://stichtingelaad.sharepoint.com/sites/NationaalLaadonderzoek-2022/Gedeelde%20documenten/General/2025/rapport/Figuren%20H3_intro_betalen_prijstransparantie.xlsx" TargetMode="External"/></Relationships>
</file>

<file path=word/charts/_rels/chart55.xml.rels><?xml version="1.0" encoding="UTF-8" standalone="yes"?>
<Relationships xmlns="http://schemas.openxmlformats.org/package/2006/relationships"><Relationship Id="rId1" Type="http://schemas.openxmlformats.org/officeDocument/2006/relationships/oleObject" Target="https://stichtingelaad.sharepoint.com/sites/NationaalLaadonderzoek-2022/Gedeelde%20documenten/General/2025/rapport/Figuren%20H3_intro_betalen_prijstransparantie.xlsx" TargetMode="External"/></Relationships>
</file>

<file path=word/charts/_rels/chart56.xml.rels><?xml version="1.0" encoding="UTF-8" standalone="yes"?>
<Relationships xmlns="http://schemas.openxmlformats.org/package/2006/relationships"><Relationship Id="rId1" Type="http://schemas.openxmlformats.org/officeDocument/2006/relationships/oleObject" Target="https://stichtingelaad.sharepoint.com/sites/NationaalLaadonderzoek-2022/Gedeelde%20documenten/General/2025/rapport/Figuren%20H3_intro_betalen_prijstransparantie.xlsx" TargetMode="External"/></Relationships>
</file>

<file path=word/charts/_rels/chart57.xml.rels><?xml version="1.0" encoding="UTF-8" standalone="yes"?>
<Relationships xmlns="http://schemas.openxmlformats.org/package/2006/relationships"><Relationship Id="rId1" Type="http://schemas.openxmlformats.org/officeDocument/2006/relationships/oleObject" Target="https://stichtingelaad.sharepoint.com/sites/NationaalLaadonderzoek-2022/Gedeelde%20documenten/General/2025/rapport/Figuren%20H3_intro_betalen_prijstransparantie.xlsx" TargetMode="External"/></Relationships>
</file>

<file path=word/charts/_rels/chart58.xml.rels><?xml version="1.0" encoding="UTF-8" standalone="yes"?>
<Relationships xmlns="http://schemas.openxmlformats.org/package/2006/relationships"><Relationship Id="rId1" Type="http://schemas.openxmlformats.org/officeDocument/2006/relationships/oleObject" Target="https://stichtingelaad.sharepoint.com/sites/NationaalLaadonderzoek-2022/Gedeelde%20documenten/General/2025/rapport/Figuren%20H3_intro_betalen_prijstransparantie.xlsx" TargetMode="External"/></Relationships>
</file>

<file path=word/charts/_rels/chart59.xml.rels><?xml version="1.0" encoding="UTF-8" standalone="yes"?>
<Relationships xmlns="http://schemas.openxmlformats.org/package/2006/relationships"><Relationship Id="rId1" Type="http://schemas.openxmlformats.org/officeDocument/2006/relationships/oleObject" Target="https://stichtingelaad.sharepoint.com/sites/NationaalLaadonderzoek-2022/Gedeelde%20documenten/General/2025/rapport/Figuren%20H3_intro_betalen_prijstransparantie.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LNV.INTERN\GRP\rvo\Kluis_duurzame_mobiliteit\Monitoring\Scrum\Enquetes\Nationaal%20laadonderzoek%202025\analyse\Laadonderzoek%20representativiteit.xlsx" TargetMode="External"/></Relationships>
</file>

<file path=word/charts/_rels/chart60.xml.rels><?xml version="1.0" encoding="UTF-8" standalone="yes"?>
<Relationships xmlns="http://schemas.openxmlformats.org/package/2006/relationships"><Relationship Id="rId1" Type="http://schemas.openxmlformats.org/officeDocument/2006/relationships/oleObject" Target="https://stichtingelaad.sharepoint.com/sites/NationaalLaadonderzoek-2022/Gedeelde%20documenten/General/2025/rapport/Figuren%20H3_intro_betalen_prijstransparantie.xlsx" TargetMode="External"/></Relationships>
</file>

<file path=word/charts/_rels/chart61.xml.rels><?xml version="1.0" encoding="UTF-8" standalone="yes"?>
<Relationships xmlns="http://schemas.openxmlformats.org/package/2006/relationships"><Relationship Id="rId1" Type="http://schemas.openxmlformats.org/officeDocument/2006/relationships/oleObject" Target="https://stichtingelaad.sharepoint.com/sites/NationaalLaadonderzoek-2022/Gedeelde%20documenten/General/2025/rapport/Figuren%20H3_intro_betalen_prijstransparantie.xlsx" TargetMode="External"/></Relationships>
</file>

<file path=word/charts/_rels/chart62.xml.rels><?xml version="1.0" encoding="UTF-8" standalone="yes"?>
<Relationships xmlns="http://schemas.openxmlformats.org/package/2006/relationships"><Relationship Id="rId1" Type="http://schemas.openxmlformats.org/officeDocument/2006/relationships/oleObject" Target="https://stichtingelaad.sharepoint.com/sites/NationaalLaadonderzoek-2022/Gedeelde%20documenten/General/2025/rapport/Figuren%20H3_intro_betalen_prijstransparantie.xlsx" TargetMode="External"/></Relationships>
</file>

<file path=word/charts/_rels/chart63.xml.rels><?xml version="1.0" encoding="UTF-8" standalone="yes"?>
<Relationships xmlns="http://schemas.openxmlformats.org/package/2006/relationships"><Relationship Id="rId1" Type="http://schemas.openxmlformats.org/officeDocument/2006/relationships/oleObject" Target="https://stichtingelaad.sharepoint.com/sites/NationaalLaadonderzoek-2022/Gedeelde%20documenten/General/2025/rapport/Figuren%20H3_intro_betalen_prijstransparantie.xlsx" TargetMode="External"/></Relationships>
</file>

<file path=word/charts/_rels/chart64.xml.rels><?xml version="1.0" encoding="UTF-8" standalone="yes"?>
<Relationships xmlns="http://schemas.openxmlformats.org/package/2006/relationships"><Relationship Id="rId1" Type="http://schemas.openxmlformats.org/officeDocument/2006/relationships/oleObject" Target="https://stichtingelaad.sharepoint.com/sites/NationaalLaadonderzoek-2022/Gedeelde%20documenten/General/2025/rapport/Figuren%20H3_intro_betalen_prijstransparantie.xlsx" TargetMode="External"/></Relationships>
</file>

<file path=word/charts/_rels/chart65.xml.rels><?xml version="1.0" encoding="UTF-8" standalone="yes"?>
<Relationships xmlns="http://schemas.openxmlformats.org/package/2006/relationships"><Relationship Id="rId1" Type="http://schemas.openxmlformats.org/officeDocument/2006/relationships/oleObject" Target="https://stichtingelaad.sharepoint.com/sites/NationaalLaadonderzoek-2022/Gedeelde%20documenten/General/2025/rapport/Figuren%20H3_intro_betalen_prijstransparantie.xlsx" TargetMode="External"/></Relationships>
</file>

<file path=word/charts/_rels/chart66.xml.rels><?xml version="1.0" encoding="UTF-8" standalone="yes"?>
<Relationships xmlns="http://schemas.openxmlformats.org/package/2006/relationships"><Relationship Id="rId1" Type="http://schemas.openxmlformats.org/officeDocument/2006/relationships/oleObject" Target="https://stichtingelaad.sharepoint.com/sites/NationaalLaadonderzoek-2022/Gedeelde%20documenten/General/2025/rapport/Figuren%20H3_intro_betalen_prijstransparantie.xlsx" TargetMode="External"/></Relationships>
</file>

<file path=word/charts/_rels/chart67.xml.rels><?xml version="1.0" encoding="UTF-8" standalone="yes"?>
<Relationships xmlns="http://schemas.openxmlformats.org/package/2006/relationships"><Relationship Id="rId1" Type="http://schemas.openxmlformats.org/officeDocument/2006/relationships/oleObject" Target="https://stichtingelaad.sharepoint.com/sites/NationaalLaadonderzoek-2022/Gedeelde%20documenten/General/2025/rapport/Figuren%20H3_intro_betalen_prijstransparantie.xlsx" TargetMode="External"/></Relationships>
</file>

<file path=word/charts/_rels/chart68.xml.rels><?xml version="1.0" encoding="UTF-8" standalone="yes"?>
<Relationships xmlns="http://schemas.openxmlformats.org/package/2006/relationships"><Relationship Id="rId1" Type="http://schemas.openxmlformats.org/officeDocument/2006/relationships/oleObject" Target="https://stichtingelaad.sharepoint.com/sites/NationaalLaadonderzoek-2022/Gedeelde%20documenten/General/2025/rapport/Figuren%20H3_intro_betalen_prijstransparantie.xlsx" TargetMode="External"/></Relationships>
</file>

<file path=word/charts/_rels/chart69.xml.rels><?xml version="1.0" encoding="UTF-8" standalone="yes"?>
<Relationships xmlns="http://schemas.openxmlformats.org/package/2006/relationships"><Relationship Id="rId1" Type="http://schemas.openxmlformats.org/officeDocument/2006/relationships/oleObject" Target="https://stichtingelaad.sharepoint.com/sites/NationaalLaadonderzoek-2022/Gedeelde%20documenten/General/2025/rapport/Figuren%20H3_intro_betalen_prijstransparantie.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https://stichtingelaad.sharepoint.com/sites/NationaalLaadonderzoek-2022/Gedeelde%20documenten/General/2025/rapport/Figuren%20H3_intro_betalen_prijstransparantie.xlsx" TargetMode="External"/></Relationships>
</file>

<file path=word/charts/_rels/chart70.xml.rels><?xml version="1.0" encoding="UTF-8" standalone="yes"?>
<Relationships xmlns="http://schemas.openxmlformats.org/package/2006/relationships"><Relationship Id="rId1" Type="http://schemas.openxmlformats.org/officeDocument/2006/relationships/oleObject" Target="https://stichtingelaad.sharepoint.com/sites/NationaalLaadonderzoek-2022/Gedeelde%20documenten/General/2025/rapport/Figuren%20H3_intro_betalen_prijstransparantie.xlsx" TargetMode="External"/></Relationships>
</file>

<file path=word/charts/_rels/chart71.xml.rels><?xml version="1.0" encoding="UTF-8" standalone="yes"?>
<Relationships xmlns="http://schemas.openxmlformats.org/package/2006/relationships"><Relationship Id="rId1" Type="http://schemas.openxmlformats.org/officeDocument/2006/relationships/oleObject" Target="https://stichtingelaad.sharepoint.com/sites/NationaalLaadonderzoek-2022/Gedeelde%20documenten/General/2025/rapport/Figuren%20H3_intro_betalen_prijstransparantie.xlsx" TargetMode="External"/></Relationships>
</file>

<file path=word/charts/_rels/chart72.xml.rels><?xml version="1.0" encoding="UTF-8" standalone="yes"?>
<Relationships xmlns="http://schemas.openxmlformats.org/package/2006/relationships"><Relationship Id="rId1" Type="http://schemas.openxmlformats.org/officeDocument/2006/relationships/oleObject" Target="https://stichtingelaad.sharepoint.com/sites/NationaalLaadonderzoek-2022/Gedeelde%20documenten/General/2025/rapport/Figuren%20H3_intro_betalen_prijstransparantie.xlsx" TargetMode="External"/></Relationships>
</file>

<file path=word/charts/_rels/chart73.xml.rels><?xml version="1.0" encoding="UTF-8" standalone="yes"?>
<Relationships xmlns="http://schemas.openxmlformats.org/package/2006/relationships"><Relationship Id="rId1" Type="http://schemas.openxmlformats.org/officeDocument/2006/relationships/oleObject" Target="https://stichtingelaad.sharepoint.com/sites/NationaalLaadonderzoek-2022/Gedeelde%20documenten/General/2025/rapport/Figuren%20H3_intro_betalen_prijstransparantie.xlsx" TargetMode="External"/></Relationships>
</file>

<file path=word/charts/_rels/chart74.xml.rels><?xml version="1.0" encoding="UTF-8" standalone="yes"?>
<Relationships xmlns="http://schemas.openxmlformats.org/package/2006/relationships"><Relationship Id="rId1" Type="http://schemas.openxmlformats.org/officeDocument/2006/relationships/oleObject" Target="https://stichtingelaad.sharepoint.com/sites/NationaalLaadonderzoek-2022/Gedeelde%20documenten/General/2025/rapport/Figuren%20H3_intro_betalen_prijstransparantie.xlsx" TargetMode="External"/></Relationships>
</file>

<file path=word/charts/_rels/chart75.xml.rels><?xml version="1.0" encoding="UTF-8" standalone="yes"?>
<Relationships xmlns="http://schemas.openxmlformats.org/package/2006/relationships"><Relationship Id="rId1" Type="http://schemas.openxmlformats.org/officeDocument/2006/relationships/oleObject" Target="https://stichtingelaad.sharepoint.com/sites/NationaalLaadonderzoek-2022/Gedeelde%20documenten/General/2025/rapport/Figuren%20H3_intro_betalen_prijstransparantie.xlsx" TargetMode="External"/></Relationships>
</file>

<file path=word/charts/_rels/chart76.xml.rels><?xml version="1.0" encoding="UTF-8" standalone="yes"?>
<Relationships xmlns="http://schemas.openxmlformats.org/package/2006/relationships"><Relationship Id="rId1" Type="http://schemas.openxmlformats.org/officeDocument/2006/relationships/oleObject" Target="https://stichtingelaad.sharepoint.com/sites/NationaalLaadonderzoek-2022/Gedeelde%20documenten/General/2025/rapport/Figuren%20H3_intro_betalen_prijstransparantie.xlsx" TargetMode="External"/></Relationships>
</file>

<file path=word/charts/_rels/chart77.xml.rels><?xml version="1.0" encoding="UTF-8" standalone="yes"?>
<Relationships xmlns="http://schemas.openxmlformats.org/package/2006/relationships"><Relationship Id="rId1" Type="http://schemas.openxmlformats.org/officeDocument/2006/relationships/oleObject" Target="https://stichtingelaad.sharepoint.com/sites/NationaalLaadonderzoek-2022/Gedeelde%20documenten/General/2025/rapport/Figuren%20H3_intro_betalen_prijstransparantie.xlsx" TargetMode="External"/></Relationships>
</file>

<file path=word/charts/_rels/chart78.xml.rels><?xml version="1.0" encoding="UTF-8" standalone="yes"?>
<Relationships xmlns="http://schemas.openxmlformats.org/package/2006/relationships"><Relationship Id="rId3" Type="http://schemas.openxmlformats.org/officeDocument/2006/relationships/oleObject" Target="https://stichtingelaad.sharepoint.com/sites/NationaalLaadonderzoek-2022/Gedeelde%20documenten/General/2025/rapport/Figuren%20H3_intro_betalen_prijstransparantie.xlsx" TargetMode="External"/><Relationship Id="rId2" Type="http://schemas.microsoft.com/office/2011/relationships/chartColorStyle" Target="colors4.xml"/><Relationship Id="rId1" Type="http://schemas.microsoft.com/office/2011/relationships/chartStyle" Target="style4.xml"/></Relationships>
</file>

<file path=word/charts/_rels/chart79.xml.rels><?xml version="1.0" encoding="UTF-8" standalone="yes"?>
<Relationships xmlns="http://schemas.openxmlformats.org/package/2006/relationships"><Relationship Id="rId1" Type="http://schemas.openxmlformats.org/officeDocument/2006/relationships/oleObject" Target="https://stichtingelaad.sharepoint.com/sites/NationaalLaadonderzoek-2022/Gedeelde%20documenten/General/2025/rapport/Figuren%20H3_intro_betalen_prijstransparantie.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https://stichtingelaad.sharepoint.com/sites/NationaalLaadonderzoek-2022/Gedeelde%20documenten/General/2025/rapport/Figuren%20H3_intro_betalen_prijstransparantie.xlsx" TargetMode="External"/></Relationships>
</file>

<file path=word/charts/_rels/chart80.xml.rels><?xml version="1.0" encoding="UTF-8" standalone="yes"?>
<Relationships xmlns="http://schemas.openxmlformats.org/package/2006/relationships"><Relationship Id="rId1" Type="http://schemas.openxmlformats.org/officeDocument/2006/relationships/oleObject" Target="https://stichtingelaad.sharepoint.com/sites/NationaalLaadonderzoek-2022/Gedeelde%20documenten/General/2025/rapport/Figuren%20H3_intro_betalen_prijstransparantie.xlsx" TargetMode="External"/></Relationships>
</file>

<file path=word/charts/_rels/chart81.xml.rels><?xml version="1.0" encoding="UTF-8" standalone="yes"?>
<Relationships xmlns="http://schemas.openxmlformats.org/package/2006/relationships"><Relationship Id="rId1" Type="http://schemas.openxmlformats.org/officeDocument/2006/relationships/oleObject" Target="https://stichtingelaad.sharepoint.com/sites/NationaalLaadonderzoek-2022/Gedeelde%20documenten/General/2025/rapport/Figuren%20H3_intro_betalen_prijstransparantie.xlsx" TargetMode="External"/></Relationships>
</file>

<file path=word/charts/_rels/chart82.xml.rels><?xml version="1.0" encoding="UTF-8" standalone="yes"?>
<Relationships xmlns="http://schemas.openxmlformats.org/package/2006/relationships"><Relationship Id="rId1" Type="http://schemas.openxmlformats.org/officeDocument/2006/relationships/oleObject" Target="https://stichtingelaad.sharepoint.com/sites/NationaalLaadonderzoek-2022/Gedeelde%20documenten/General/2025/rapport/Figuren%20H3_intro_betalen_prijstransparantie.xlsx" TargetMode="External"/></Relationships>
</file>

<file path=word/charts/_rels/chart83.xml.rels><?xml version="1.0" encoding="UTF-8" standalone="yes"?>
<Relationships xmlns="http://schemas.openxmlformats.org/package/2006/relationships"><Relationship Id="rId1" Type="http://schemas.openxmlformats.org/officeDocument/2006/relationships/oleObject" Target="https://stichtingelaad.sharepoint.com/sites/NationaalLaadonderzoek-2022/Gedeelde%20documenten/General/2025/rapport/Figuren%20H3_intro_betalen_prijstransparantie.xlsx" TargetMode="External"/></Relationships>
</file>

<file path=word/charts/_rels/chart84.xml.rels><?xml version="1.0" encoding="UTF-8" standalone="yes"?>
<Relationships xmlns="http://schemas.openxmlformats.org/package/2006/relationships"><Relationship Id="rId1" Type="http://schemas.openxmlformats.org/officeDocument/2006/relationships/oleObject" Target="https://stichtingelaad.sharepoint.com/sites/NationaalLaadonderzoek-2022/Gedeelde%20documenten/General/2025/rapport/Figuren%20H3_intro_betalen_prijstransparantie.xlsx" TargetMode="External"/></Relationships>
</file>

<file path=word/charts/_rels/chart85.xml.rels><?xml version="1.0" encoding="UTF-8" standalone="yes"?>
<Relationships xmlns="http://schemas.openxmlformats.org/package/2006/relationships"><Relationship Id="rId3" Type="http://schemas.openxmlformats.org/officeDocument/2006/relationships/oleObject" Target="file:///C:\Users\Jeroen\Documents\ElaadNL\Nationaal%20Laad%20Onderzoek\2025\Slim_laden_analyse.xlsx" TargetMode="External"/><Relationship Id="rId2" Type="http://schemas.microsoft.com/office/2011/relationships/chartColorStyle" Target="colors5.xml"/><Relationship Id="rId1" Type="http://schemas.microsoft.com/office/2011/relationships/chartStyle" Target="style5.xml"/></Relationships>
</file>

<file path=word/charts/_rels/chart86.xml.rels><?xml version="1.0" encoding="UTF-8" standalone="yes"?>
<Relationships xmlns="http://schemas.openxmlformats.org/package/2006/relationships"><Relationship Id="rId3" Type="http://schemas.openxmlformats.org/officeDocument/2006/relationships/oleObject" Target="file:///C:\Users\Jeroen\Documents\ElaadNL\Nationaal%20Laad%20Onderzoek\2025\Slim_laden_analyse.xlsx" TargetMode="External"/><Relationship Id="rId2" Type="http://schemas.microsoft.com/office/2011/relationships/chartColorStyle" Target="colors6.xml"/><Relationship Id="rId1" Type="http://schemas.microsoft.com/office/2011/relationships/chartStyle" Target="style6.xml"/></Relationships>
</file>

<file path=word/charts/_rels/chart87.xml.rels><?xml version="1.0" encoding="UTF-8" standalone="yes"?>
<Relationships xmlns="http://schemas.openxmlformats.org/package/2006/relationships"><Relationship Id="rId3" Type="http://schemas.openxmlformats.org/officeDocument/2006/relationships/oleObject" Target="file:///C:\Users\Jeroen\Documents\ElaadNL\Nationaal%20Laad%20Onderzoek\2025\analyse\Slim_laden_analyse.xlsx" TargetMode="External"/><Relationship Id="rId2" Type="http://schemas.microsoft.com/office/2011/relationships/chartColorStyle" Target="colors7.xml"/><Relationship Id="rId1" Type="http://schemas.microsoft.com/office/2011/relationships/chartStyle" Target="style7.xml"/></Relationships>
</file>

<file path=word/charts/_rels/chart88.xml.rels><?xml version="1.0" encoding="UTF-8" standalone="yes"?>
<Relationships xmlns="http://schemas.openxmlformats.org/package/2006/relationships"><Relationship Id="rId3" Type="http://schemas.openxmlformats.org/officeDocument/2006/relationships/oleObject" Target="file:///C:\Users\Jeroen\Documents\ElaadNL\Nationaal%20Laad%20Onderzoek\2025\analyse\Slim_laden_analyse.xlsx" TargetMode="External"/><Relationship Id="rId2" Type="http://schemas.microsoft.com/office/2011/relationships/chartColorStyle" Target="colors8.xml"/><Relationship Id="rId1" Type="http://schemas.microsoft.com/office/2011/relationships/chartStyle" Target="style8.xml"/></Relationships>
</file>

<file path=word/charts/_rels/chart89.xml.rels><?xml version="1.0" encoding="UTF-8" standalone="yes"?>
<Relationships xmlns="http://schemas.openxmlformats.org/package/2006/relationships"><Relationship Id="rId3" Type="http://schemas.openxmlformats.org/officeDocument/2006/relationships/oleObject" Target="file:///C:\Users\Jeroen\Documents\ElaadNL\Nationaal%20Laad%20Onderzoek\2025\Slim_laden_analyse.xlsx" TargetMode="External"/><Relationship Id="rId2" Type="http://schemas.microsoft.com/office/2011/relationships/chartColorStyle" Target="colors9.xml"/><Relationship Id="rId1" Type="http://schemas.microsoft.com/office/2011/relationships/chartStyle" Target="style9.xml"/></Relationships>
</file>

<file path=word/charts/_rels/chart9.xml.rels><?xml version="1.0" encoding="UTF-8" standalone="yes"?>
<Relationships xmlns="http://schemas.openxmlformats.org/package/2006/relationships"><Relationship Id="rId1" Type="http://schemas.openxmlformats.org/officeDocument/2006/relationships/oleObject" Target="https://stichtingelaad.sharepoint.com/sites/NationaalLaadonderzoek-2022/Gedeelde%20documenten/General/2025/rapport/Figuren%20H3_intro_betalen_prijstransparantie.xlsx" TargetMode="External"/></Relationships>
</file>

<file path=word/charts/_rels/chart90.xml.rels><?xml version="1.0" encoding="UTF-8" standalone="yes"?>
<Relationships xmlns="http://schemas.openxmlformats.org/package/2006/relationships"><Relationship Id="rId1" Type="http://schemas.openxmlformats.org/officeDocument/2006/relationships/oleObject" Target="https://stichtingelaad.sharepoint.com/sites/NationaalLaadonderzoek-2022/Gedeelde%20documenten/General/2025/rapport/Figuren%20H3_intro_betalen_prijstransparantie.xlsx" TargetMode="External"/></Relationships>
</file>

<file path=word/charts/_rels/chart91.xml.rels><?xml version="1.0" encoding="UTF-8" standalone="yes"?>
<Relationships xmlns="http://schemas.openxmlformats.org/package/2006/relationships"><Relationship Id="rId3" Type="http://schemas.openxmlformats.org/officeDocument/2006/relationships/oleObject" Target="file:///C:\Users\Jeroen\Documents\ElaadNL\Nationaal%20Laad%20Onderzoek\2025\Slim_laden_analyse.xlsx" TargetMode="External"/><Relationship Id="rId2" Type="http://schemas.microsoft.com/office/2011/relationships/chartColorStyle" Target="colors10.xml"/><Relationship Id="rId1" Type="http://schemas.microsoft.com/office/2011/relationships/chartStyle" Target="style10.xml"/></Relationships>
</file>

<file path=word/charts/_rels/chart92.xml.rels><?xml version="1.0" encoding="UTF-8" standalone="yes"?>
<Relationships xmlns="http://schemas.openxmlformats.org/package/2006/relationships"><Relationship Id="rId3" Type="http://schemas.openxmlformats.org/officeDocument/2006/relationships/oleObject" Target="file:///C:\Users\Jeroen\Documents\ElaadNL\Nationaal%20Laad%20Onderzoek\2025\Slim_laden_analyse.xlsx" TargetMode="External"/><Relationship Id="rId2" Type="http://schemas.microsoft.com/office/2011/relationships/chartColorStyle" Target="colors11.xml"/><Relationship Id="rId1" Type="http://schemas.microsoft.com/office/2011/relationships/chartStyle" Target="style11.xml"/></Relationships>
</file>

<file path=word/charts/_rels/chart93.xml.rels><?xml version="1.0" encoding="UTF-8" standalone="yes"?>
<Relationships xmlns="http://schemas.openxmlformats.org/package/2006/relationships"><Relationship Id="rId3" Type="http://schemas.openxmlformats.org/officeDocument/2006/relationships/oleObject" Target="file:///C:\Users\Jeroen\Documents\ElaadNL\Nationaal%20Laad%20Onderzoek\2025\Slim_laden_analyse.xlsx" TargetMode="External"/><Relationship Id="rId2" Type="http://schemas.microsoft.com/office/2011/relationships/chartColorStyle" Target="colors12.xml"/><Relationship Id="rId1" Type="http://schemas.microsoft.com/office/2011/relationships/chartStyle" Target="style12.xml"/></Relationships>
</file>

<file path=word/charts/_rels/chart94.xml.rels><?xml version="1.0" encoding="UTF-8" standalone="yes"?>
<Relationships xmlns="http://schemas.openxmlformats.org/package/2006/relationships"><Relationship Id="rId3" Type="http://schemas.openxmlformats.org/officeDocument/2006/relationships/oleObject" Target="file:///C:\Users\Jeroen\Documents\ElaadNL\Nationaal%20Laad%20Onderzoek\2025\analyse\Slim_laden_analyse.xlsx" TargetMode="External"/><Relationship Id="rId2" Type="http://schemas.microsoft.com/office/2011/relationships/chartColorStyle" Target="colors13.xml"/><Relationship Id="rId1" Type="http://schemas.microsoft.com/office/2011/relationships/chartStyle" Target="style13.xml"/></Relationships>
</file>

<file path=word/charts/_rels/chart95.xml.rels><?xml version="1.0" encoding="UTF-8" standalone="yes"?>
<Relationships xmlns="http://schemas.openxmlformats.org/package/2006/relationships"><Relationship Id="rId3" Type="http://schemas.openxmlformats.org/officeDocument/2006/relationships/oleObject" Target="file:///C:\Users\Jeroen\Documents\ElaadNL\Nationaal%20Laad%20Onderzoek\2025\Slim_laden_analyse.xlsx" TargetMode="External"/><Relationship Id="rId2" Type="http://schemas.microsoft.com/office/2011/relationships/chartColorStyle" Target="colors14.xml"/><Relationship Id="rId1" Type="http://schemas.microsoft.com/office/2011/relationships/chartStyle" Target="style14.xml"/></Relationships>
</file>

<file path=word/charts/_rels/chart96.xml.rels><?xml version="1.0" encoding="UTF-8" standalone="yes"?>
<Relationships xmlns="http://schemas.openxmlformats.org/package/2006/relationships"><Relationship Id="rId3" Type="http://schemas.openxmlformats.org/officeDocument/2006/relationships/oleObject" Target="file:///C:\Users\Jeroen\Documents\ElaadNL\Nationaal%20Laad%20Onderzoek\2025\Slim_laden_analyse.xlsx" TargetMode="External"/><Relationship Id="rId2" Type="http://schemas.microsoft.com/office/2011/relationships/chartColorStyle" Target="colors15.xml"/><Relationship Id="rId1" Type="http://schemas.microsoft.com/office/2011/relationships/chartStyle" Target="style15.xml"/></Relationships>
</file>

<file path=word/charts/_rels/chart97.xml.rels><?xml version="1.0" encoding="UTF-8" standalone="yes"?>
<Relationships xmlns="http://schemas.openxmlformats.org/package/2006/relationships"><Relationship Id="rId3" Type="http://schemas.openxmlformats.org/officeDocument/2006/relationships/oleObject" Target="file:///C:\Users\Jeroen\Documents\ElaadNL\Nationaal%20Laad%20Onderzoek\2025\Slim_laden_analyse.xlsx" TargetMode="External"/><Relationship Id="rId2" Type="http://schemas.microsoft.com/office/2011/relationships/chartColorStyle" Target="colors16.xml"/><Relationship Id="rId1" Type="http://schemas.microsoft.com/office/2011/relationships/chartStyle" Target="style16.xml"/></Relationships>
</file>

<file path=word/charts/_rels/chart98.xml.rels><?xml version="1.0" encoding="UTF-8" standalone="yes"?>
<Relationships xmlns="http://schemas.openxmlformats.org/package/2006/relationships"><Relationship Id="rId3" Type="http://schemas.openxmlformats.org/officeDocument/2006/relationships/oleObject" Target="file:///C:\Users\Jeroen\Documents\ElaadNL\Nationaal%20Laad%20Onderzoek\2025\Slim_laden_analyse.xlsx" TargetMode="External"/><Relationship Id="rId2" Type="http://schemas.microsoft.com/office/2011/relationships/chartColorStyle" Target="colors17.xml"/><Relationship Id="rId1" Type="http://schemas.microsoft.com/office/2011/relationships/chartStyle" Target="style17.xml"/></Relationships>
</file>

<file path=word/charts/_rels/chart99.xml.rels><?xml version="1.0" encoding="UTF-8" standalone="yes"?>
<Relationships xmlns="http://schemas.openxmlformats.org/package/2006/relationships"><Relationship Id="rId3" Type="http://schemas.openxmlformats.org/officeDocument/2006/relationships/oleObject" Target="file:///C:\Users\Jeroen\Documents\ElaadNL\Nationaal%20Laad%20Onderzoek\2025\Slim_laden_analyse.xlsx" TargetMode="External"/><Relationship Id="rId2" Type="http://schemas.microsoft.com/office/2011/relationships/chartColorStyle" Target="colors18.xml"/><Relationship Id="rId1" Type="http://schemas.microsoft.com/office/2011/relationships/chartStyle" Target="style1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b="0">
                <a:solidFill>
                  <a:srgbClr val="2C307E"/>
                </a:solidFill>
                <a:latin typeface="Calibri" panose="020F0502020204030204" pitchFamily="34" charset="0"/>
                <a:cs typeface="Calibri" panose="020F0502020204030204" pitchFamily="34" charset="0"/>
              </a:defRPr>
            </a:pPr>
            <a:r>
              <a:rPr lang="en-US" sz="1100" b="0">
                <a:solidFill>
                  <a:srgbClr val="2C307E"/>
                </a:solidFill>
                <a:latin typeface="Calibri" panose="020F0502020204030204" pitchFamily="34" charset="0"/>
                <a:cs typeface="Calibri" panose="020F0502020204030204" pitchFamily="34" charset="0"/>
              </a:rPr>
              <a:t>Ervaring</a:t>
            </a:r>
          </a:p>
        </c:rich>
      </c:tx>
      <c:overlay val="0"/>
    </c:title>
    <c:autoTitleDeleted val="0"/>
    <c:plotArea>
      <c:layout>
        <c:manualLayout>
          <c:layoutTarget val="inner"/>
          <c:xMode val="edge"/>
          <c:yMode val="edge"/>
          <c:x val="0.14540494131203471"/>
          <c:y val="0.10011363636363636"/>
          <c:w val="0.80198865027093991"/>
          <c:h val="0.6151455499880697"/>
        </c:manualLayout>
      </c:layout>
      <c:barChart>
        <c:barDir val="col"/>
        <c:grouping val="clustered"/>
        <c:varyColors val="0"/>
        <c:ser>
          <c:idx val="0"/>
          <c:order val="0"/>
          <c:tx>
            <c:strRef>
              <c:f>ervaring!$B$2</c:f>
              <c:strCache>
                <c:ptCount val="1"/>
                <c:pt idx="0">
                  <c:v>Sinds welk jaar rijd je elektrisch?</c:v>
                </c:pt>
              </c:strCache>
            </c:strRef>
          </c:tx>
          <c:spPr>
            <a:solidFill>
              <a:srgbClr val="2C307E"/>
            </a:solidFill>
            <a:ln>
              <a:noFill/>
            </a:ln>
            <a:effectLst/>
          </c:spPr>
          <c:invertIfNegative val="0"/>
          <c:dLbls>
            <c:dLbl>
              <c:idx val="1"/>
              <c:layout>
                <c:manualLayout>
                  <c:x val="-4.7824007651841227E-3"/>
                  <c:y val="3.465003465003464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F6AA-4D1A-8F88-3FB596D2A195}"/>
                </c:ext>
              </c:extLst>
            </c:dLbl>
            <c:dLbl>
              <c:idx val="4"/>
              <c:layout>
                <c:manualLayout>
                  <c:x val="-4.7824007651841227E-3"/>
                  <c:y val="6.930006930006929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6AA-4D1A-8F88-3FB596D2A195}"/>
                </c:ext>
              </c:extLst>
            </c:dLbl>
            <c:dLbl>
              <c:idx val="6"/>
              <c:layout>
                <c:manualLayout>
                  <c:x val="-1.4347202295552456E-2"/>
                  <c:y val="6.930006930006898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6AA-4D1A-8F88-3FB596D2A195}"/>
                </c:ext>
              </c:extLst>
            </c:dLbl>
            <c:spPr>
              <a:noFill/>
              <a:ln>
                <a:noFill/>
              </a:ln>
              <a:effectLst/>
            </c:spPr>
            <c:txPr>
              <a:bodyPr wrap="square" lIns="38100" tIns="19050" rIns="38100" bIns="19050" anchor="ctr">
                <a:spAutoFit/>
              </a:bodyPr>
              <a:lstStyle/>
              <a:p>
                <a:pPr>
                  <a:defRPr sz="800">
                    <a:solidFill>
                      <a:srgbClr val="2C307E"/>
                    </a:solidFill>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ervaring!$B$3:$B$11</c:f>
              <c:strCache>
                <c:ptCount val="9"/>
                <c:pt idx="0">
                  <c:v>&lt;2018</c:v>
                </c:pt>
                <c:pt idx="1">
                  <c:v>2018</c:v>
                </c:pt>
                <c:pt idx="2">
                  <c:v>2019</c:v>
                </c:pt>
                <c:pt idx="3">
                  <c:v>2020</c:v>
                </c:pt>
                <c:pt idx="4">
                  <c:v>2021</c:v>
                </c:pt>
                <c:pt idx="5">
                  <c:v>2022</c:v>
                </c:pt>
                <c:pt idx="6">
                  <c:v>2023</c:v>
                </c:pt>
                <c:pt idx="7">
                  <c:v>2024</c:v>
                </c:pt>
                <c:pt idx="8">
                  <c:v>2025</c:v>
                </c:pt>
              </c:strCache>
            </c:strRef>
          </c:cat>
          <c:val>
            <c:numRef>
              <c:f>ervaring!$E$3:$E$11</c:f>
              <c:numCache>
                <c:formatCode>0%</c:formatCode>
                <c:ptCount val="9"/>
                <c:pt idx="0">
                  <c:v>7.1788715486194477E-2</c:v>
                </c:pt>
                <c:pt idx="1">
                  <c:v>3.625450180072029E-2</c:v>
                </c:pt>
                <c:pt idx="2">
                  <c:v>8.1152460984393757E-2</c:v>
                </c:pt>
                <c:pt idx="3">
                  <c:v>9.939975990396159E-2</c:v>
                </c:pt>
                <c:pt idx="4">
                  <c:v>0.10732292917166866</c:v>
                </c:pt>
                <c:pt idx="5">
                  <c:v>0.12292917166866747</c:v>
                </c:pt>
                <c:pt idx="6">
                  <c:v>0.17623049219687875</c:v>
                </c:pt>
                <c:pt idx="7">
                  <c:v>0.20504201680672268</c:v>
                </c:pt>
                <c:pt idx="8">
                  <c:v>9.9879951980792317E-2</c:v>
                </c:pt>
              </c:numCache>
            </c:numRef>
          </c:val>
          <c:extLst>
            <c:ext xmlns:c16="http://schemas.microsoft.com/office/drawing/2014/chart" uri="{C3380CC4-5D6E-409C-BE32-E72D297353CC}">
              <c16:uniqueId val="{00000000-F6AA-4D1A-8F88-3FB596D2A195}"/>
            </c:ext>
          </c:extLst>
        </c:ser>
        <c:ser>
          <c:idx val="1"/>
          <c:order val="1"/>
          <c:tx>
            <c:strRef>
              <c:f>ervaring!$H$2</c:f>
              <c:strCache>
                <c:ptCount val="1"/>
                <c:pt idx="0">
                  <c:v>Wagenpark, aantal elektrische auto's toename per jaar</c:v>
                </c:pt>
              </c:strCache>
            </c:strRef>
          </c:tx>
          <c:spPr>
            <a:solidFill>
              <a:srgbClr val="08B466"/>
            </a:solidFill>
          </c:spPr>
          <c:invertIfNegative val="0"/>
          <c:dLbls>
            <c:dLbl>
              <c:idx val="0"/>
              <c:layout>
                <c:manualLayout>
                  <c:x val="9.5648015303682228E-3"/>
                  <c:y val="3.465003465003464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F6AA-4D1A-8F88-3FB596D2A195}"/>
                </c:ext>
              </c:extLst>
            </c:dLbl>
            <c:dLbl>
              <c:idx val="1"/>
              <c:layout>
                <c:manualLayout>
                  <c:x val="1.9129603060736491E-2"/>
                  <c:y val="3.465003465003464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F6AA-4D1A-8F88-3FB596D2A195}"/>
                </c:ext>
              </c:extLst>
            </c:dLbl>
            <c:dLbl>
              <c:idx val="2"/>
              <c:layout>
                <c:manualLayout>
                  <c:x val="-4.7824007651841227E-3"/>
                  <c:y val="6.930006930006929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F6AA-4D1A-8F88-3FB596D2A195}"/>
                </c:ext>
              </c:extLst>
            </c:dLbl>
            <c:dLbl>
              <c:idx val="3"/>
              <c:layout>
                <c:manualLayout>
                  <c:x val="1.4347202295552367E-2"/>
                  <c:y val="-6.930006930006929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F6AA-4D1A-8F88-3FB596D2A195}"/>
                </c:ext>
              </c:extLst>
            </c:dLbl>
            <c:dLbl>
              <c:idx val="7"/>
              <c:layout>
                <c:manualLayout>
                  <c:x val="2.8694404591104734E-2"/>
                  <c:y val="1.386001386001382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6AA-4D1A-8F88-3FB596D2A195}"/>
                </c:ext>
              </c:extLst>
            </c:dLbl>
            <c:dLbl>
              <c:idx val="8"/>
              <c:layout>
                <c:manualLayout>
                  <c:x val="1.9129603060736491E-2"/>
                  <c:y val="3.465003465003401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6AA-4D1A-8F88-3FB596D2A195}"/>
                </c:ext>
              </c:extLst>
            </c:dLbl>
            <c:spPr>
              <a:noFill/>
              <a:ln>
                <a:noFill/>
              </a:ln>
              <a:effectLst/>
            </c:spPr>
            <c:txPr>
              <a:bodyPr wrap="square" lIns="38100" tIns="19050" rIns="38100" bIns="19050" anchor="ctr">
                <a:spAutoFit/>
              </a:bodyPr>
              <a:lstStyle/>
              <a:p>
                <a:pPr>
                  <a:defRPr sz="800">
                    <a:solidFill>
                      <a:srgbClr val="2C307E"/>
                    </a:solidFill>
                    <a:latin typeface="+mn-lt"/>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ervaring!$B$3:$B$11</c:f>
              <c:strCache>
                <c:ptCount val="9"/>
                <c:pt idx="0">
                  <c:v>&lt;2018</c:v>
                </c:pt>
                <c:pt idx="1">
                  <c:v>2018</c:v>
                </c:pt>
                <c:pt idx="2">
                  <c:v>2019</c:v>
                </c:pt>
                <c:pt idx="3">
                  <c:v>2020</c:v>
                </c:pt>
                <c:pt idx="4">
                  <c:v>2021</c:v>
                </c:pt>
                <c:pt idx="5">
                  <c:v>2022</c:v>
                </c:pt>
                <c:pt idx="6">
                  <c:v>2023</c:v>
                </c:pt>
                <c:pt idx="7">
                  <c:v>2024</c:v>
                </c:pt>
                <c:pt idx="8">
                  <c:v>2025</c:v>
                </c:pt>
              </c:strCache>
            </c:strRef>
          </c:cat>
          <c:val>
            <c:numRef>
              <c:f>ervaring!$I$3:$I$11</c:f>
              <c:numCache>
                <c:formatCode>0%</c:formatCode>
                <c:ptCount val="9"/>
                <c:pt idx="0">
                  <c:v>3.4023503261784514E-2</c:v>
                </c:pt>
                <c:pt idx="1">
                  <c:v>3.7086358375420875E-2</c:v>
                </c:pt>
                <c:pt idx="2">
                  <c:v>0.10072732533670034</c:v>
                </c:pt>
                <c:pt idx="3">
                  <c:v>0.110655710753367</c:v>
                </c:pt>
                <c:pt idx="4">
                  <c:v>0.11526889993686869</c:v>
                </c:pt>
                <c:pt idx="5">
                  <c:v>0.13573396727693604</c:v>
                </c:pt>
                <c:pt idx="6">
                  <c:v>0.18277501578282829</c:v>
                </c:pt>
                <c:pt idx="7">
                  <c:v>0.20069510206228955</c:v>
                </c:pt>
                <c:pt idx="8">
                  <c:v>8.3034117213804715E-2</c:v>
                </c:pt>
              </c:numCache>
            </c:numRef>
          </c:val>
          <c:extLst>
            <c:ext xmlns:c16="http://schemas.microsoft.com/office/drawing/2014/chart" uri="{C3380CC4-5D6E-409C-BE32-E72D297353CC}">
              <c16:uniqueId val="{00000001-F6AA-4D1A-8F88-3FB596D2A195}"/>
            </c:ext>
          </c:extLst>
        </c:ser>
        <c:dLbls>
          <c:showLegendKey val="0"/>
          <c:showVal val="0"/>
          <c:showCatName val="0"/>
          <c:showSerName val="0"/>
          <c:showPercent val="0"/>
          <c:showBubbleSize val="0"/>
        </c:dLbls>
        <c:gapWidth val="219"/>
        <c:overlap val="-27"/>
        <c:axId val="488549280"/>
        <c:axId val="488558136"/>
      </c:barChart>
      <c:catAx>
        <c:axId val="4885492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900" b="0" i="0" u="none" strike="noStrike" kern="1200" baseline="0">
                <a:solidFill>
                  <a:srgbClr val="2C307E"/>
                </a:solidFill>
                <a:latin typeface="+mn-lt"/>
                <a:ea typeface="+mn-ea"/>
                <a:cs typeface="+mn-cs"/>
              </a:defRPr>
            </a:pPr>
            <a:endParaRPr lang="nl-NL"/>
          </a:p>
        </c:txPr>
        <c:crossAx val="488558136"/>
        <c:crosses val="autoZero"/>
        <c:auto val="1"/>
        <c:lblAlgn val="ctr"/>
        <c:lblOffset val="100"/>
        <c:noMultiLvlLbl val="0"/>
      </c:catAx>
      <c:valAx>
        <c:axId val="488558136"/>
        <c:scaling>
          <c:orientation val="minMax"/>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2C307E"/>
                </a:solidFill>
                <a:latin typeface="+mn-lt"/>
                <a:ea typeface="+mn-ea"/>
                <a:cs typeface="+mn-cs"/>
              </a:defRPr>
            </a:pPr>
            <a:endParaRPr lang="nl-NL"/>
          </a:p>
        </c:txPr>
        <c:crossAx val="488549280"/>
        <c:crosses val="autoZero"/>
        <c:crossBetween val="between"/>
      </c:valAx>
      <c:spPr>
        <a:noFill/>
        <a:ln>
          <a:noFill/>
        </a:ln>
      </c:spPr>
    </c:plotArea>
    <c:legend>
      <c:legendPos val="b"/>
      <c:layout>
        <c:manualLayout>
          <c:xMode val="edge"/>
          <c:yMode val="edge"/>
          <c:x val="6.9184016990702563E-2"/>
          <c:y val="0.84615275481417218"/>
          <c:w val="0.86163196601859493"/>
          <c:h val="0.14837690506981846"/>
        </c:manualLayout>
      </c:layout>
      <c:overlay val="0"/>
      <c:txPr>
        <a:bodyPr/>
        <a:lstStyle/>
        <a:p>
          <a:pPr>
            <a:defRPr sz="900">
              <a:solidFill>
                <a:srgbClr val="2C307E"/>
              </a:solidFill>
            </a:defRPr>
          </a:pPr>
          <a:endParaRPr lang="nl-NL"/>
        </a:p>
      </c:txPr>
    </c:legend>
    <c:plotVisOnly val="1"/>
    <c:dispBlanksAs val="gap"/>
    <c:showDLblsOverMax val="0"/>
    <c:extLst/>
  </c:chart>
  <c:spPr>
    <a:noFill/>
    <a:ln w="9525" cap="flat" cmpd="sng" algn="ctr">
      <a:noFill/>
      <a:round/>
    </a:ln>
    <a:effectLst/>
  </c:spPr>
  <c:txPr>
    <a:bodyPr/>
    <a:lstStyle/>
    <a:p>
      <a:pPr>
        <a:defRPr/>
      </a:pPr>
      <a:endParaRPr lang="nl-NL"/>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nl-NL" sz="1100" b="0" i="0" u="none" strike="noStrike" kern="1200" baseline="0">
                <a:solidFill>
                  <a:srgbClr val="2C307E"/>
                </a:solidFill>
              </a:rPr>
              <a:t>Ik kan vertrouwen op de actieradius die mijn auto in de praktijk weergeeft. </a:t>
            </a:r>
            <a:endParaRPr lang="nl-NL" sz="1100" b="0"/>
          </a:p>
        </c:rich>
      </c:tx>
      <c:overlay val="0"/>
    </c:title>
    <c:autoTitleDeleted val="0"/>
    <c:plotArea>
      <c:layout>
        <c:manualLayout>
          <c:layoutTarget val="inner"/>
          <c:xMode val="edge"/>
          <c:yMode val="edge"/>
          <c:x val="2.7538367162637911E-2"/>
          <c:y val="0.42597610081348536"/>
          <c:w val="0.95515858667084019"/>
          <c:h val="0.28502567613830876"/>
        </c:manualLayout>
      </c:layout>
      <c:barChart>
        <c:barDir val="col"/>
        <c:grouping val="clustered"/>
        <c:varyColors val="0"/>
        <c:ser>
          <c:idx val="1"/>
          <c:order val="0"/>
          <c:spPr>
            <a:solidFill>
              <a:srgbClr val="C9C74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rgbClr val="4EAFAA"/>
                    </a:solidFill>
                    <a:latin typeface="+mn-lt"/>
                    <a:ea typeface="+mn-ea"/>
                    <a:cs typeface="+mn-cs"/>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'3.2 de elektrische auto'!$A$172:$B$180</c:f>
              <c:multiLvlStrCache>
                <c:ptCount val="9"/>
                <c:lvl>
                  <c:pt idx="0">
                    <c:v>2025</c:v>
                  </c:pt>
                  <c:pt idx="1">
                    <c:v>2024</c:v>
                  </c:pt>
                  <c:pt idx="2">
                    <c:v>2023</c:v>
                  </c:pt>
                  <c:pt idx="3">
                    <c:v>2022</c:v>
                  </c:pt>
                  <c:pt idx="4">
                    <c:v>2021</c:v>
                  </c:pt>
                  <c:pt idx="5">
                    <c:v>2020</c:v>
                  </c:pt>
                  <c:pt idx="6">
                    <c:v>2019</c:v>
                  </c:pt>
                  <c:pt idx="7">
                    <c:v>2018</c:v>
                  </c:pt>
                  <c:pt idx="8">
                    <c:v>&lt;2018</c:v>
                  </c:pt>
                </c:lvl>
                <c:lvl>
                  <c:pt idx="0">
                    <c:v>Sinds welk jaar rijd je elektrisch?</c:v>
                  </c:pt>
                </c:lvl>
              </c:multiLvlStrCache>
            </c:multiLvlStrRef>
          </c:cat>
          <c:val>
            <c:numRef>
              <c:f>'3.2 de elektrische auto'!$C$172:$C$180</c:f>
              <c:numCache>
                <c:formatCode>0.0</c:formatCode>
                <c:ptCount val="9"/>
                <c:pt idx="0">
                  <c:v>3.6476964769647697</c:v>
                </c:pt>
                <c:pt idx="1">
                  <c:v>3.6544117647058822</c:v>
                </c:pt>
                <c:pt idx="2">
                  <c:v>3.7774607703281027</c:v>
                </c:pt>
                <c:pt idx="3">
                  <c:v>3.7979591836734694</c:v>
                </c:pt>
                <c:pt idx="4">
                  <c:v>3.7454128440366974</c:v>
                </c:pt>
                <c:pt idx="5">
                  <c:v>3.8969849246231156</c:v>
                </c:pt>
                <c:pt idx="6">
                  <c:v>4.0581039755351682</c:v>
                </c:pt>
                <c:pt idx="7">
                  <c:v>3.9452054794520546</c:v>
                </c:pt>
                <c:pt idx="8">
                  <c:v>4.0578231292517009</c:v>
                </c:pt>
              </c:numCache>
            </c:numRef>
          </c:val>
          <c:extLst>
            <c:ext xmlns:c16="http://schemas.microsoft.com/office/drawing/2014/chart" uri="{C3380CC4-5D6E-409C-BE32-E72D297353CC}">
              <c16:uniqueId val="{00000000-F583-4299-8A95-E76DA0C4FDB6}"/>
            </c:ext>
          </c:extLst>
        </c:ser>
        <c:dLbls>
          <c:showLegendKey val="0"/>
          <c:showVal val="0"/>
          <c:showCatName val="0"/>
          <c:showSerName val="0"/>
          <c:showPercent val="0"/>
          <c:showBubbleSize val="0"/>
        </c:dLbls>
        <c:gapWidth val="182"/>
        <c:axId val="487161208"/>
        <c:axId val="487161536"/>
        <c:extLst/>
      </c:barChart>
      <c:catAx>
        <c:axId val="487161208"/>
        <c:scaling>
          <c:orientation val="maxMin"/>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sz="900" b="0" i="0" u="none" strike="noStrike" kern="1200" baseline="0">
                <a:solidFill>
                  <a:srgbClr val="2C307E"/>
                </a:solidFill>
                <a:latin typeface="+mn-lt"/>
                <a:ea typeface="+mn-ea"/>
                <a:cs typeface="+mn-cs"/>
              </a:defRPr>
            </a:pPr>
            <a:endParaRPr lang="nl-NL"/>
          </a:p>
        </c:txPr>
        <c:crossAx val="487161536"/>
        <c:crosses val="autoZero"/>
        <c:auto val="1"/>
        <c:lblAlgn val="ctr"/>
        <c:lblOffset val="100"/>
        <c:noMultiLvlLbl val="0"/>
      </c:catAx>
      <c:valAx>
        <c:axId val="487161536"/>
        <c:scaling>
          <c:orientation val="minMax"/>
          <c:max val="5"/>
          <c:min val="1"/>
        </c:scaling>
        <c:delete val="1"/>
        <c:axPos val="r"/>
        <c:numFmt formatCode="0.0" sourceLinked="1"/>
        <c:majorTickMark val="none"/>
        <c:minorTickMark val="none"/>
        <c:tickLblPos val="nextTo"/>
        <c:crossAx val="487161208"/>
        <c:crosses val="autoZero"/>
        <c:crossBetween val="between"/>
      </c:valAx>
      <c:spPr>
        <a:noFill/>
        <a:ln>
          <a:noFill/>
        </a:ln>
      </c:spPr>
    </c:plotArea>
    <c:plotVisOnly val="1"/>
    <c:dispBlanksAs val="gap"/>
    <c:showDLblsOverMax val="0"/>
    <c:extLst/>
  </c:chart>
  <c:spPr>
    <a:noFill/>
    <a:ln w="9525" cap="flat" cmpd="sng" algn="ctr">
      <a:noFill/>
      <a:round/>
    </a:ln>
    <a:effectLst/>
  </c:spPr>
  <c:txPr>
    <a:bodyPr/>
    <a:lstStyle/>
    <a:p>
      <a:pPr>
        <a:defRPr/>
      </a:pPr>
      <a:endParaRPr lang="nl-NL"/>
    </a:p>
  </c:txPr>
  <c:externalData r:id="rId1">
    <c:autoUpdate val="0"/>
  </c:externalData>
</c:chartSpace>
</file>

<file path=word/charts/chart10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rgbClr val="2C307E"/>
                </a:solidFill>
                <a:latin typeface="+mn-lt"/>
                <a:ea typeface="+mn-ea"/>
                <a:cs typeface="+mn-cs"/>
              </a:defRPr>
            </a:pPr>
            <a:r>
              <a:rPr lang="nl-NL" sz="1100"/>
              <a:t>Hoe belangrijk zijn de volgende argumenten om slim </a:t>
            </a:r>
            <a:r>
              <a:rPr lang="nl-NL" sz="1100" b="1"/>
              <a:t>wel</a:t>
            </a:r>
            <a:r>
              <a:rPr lang="nl-NL" sz="1100"/>
              <a:t> te laden aan de openbare laadpaal voor jou?</a:t>
            </a:r>
          </a:p>
        </c:rich>
      </c:tx>
      <c:overlay val="0"/>
      <c:spPr>
        <a:noFill/>
        <a:ln>
          <a:noFill/>
        </a:ln>
        <a:effectLst/>
      </c:spPr>
      <c:txPr>
        <a:bodyPr rot="0" spcFirstLastPara="1" vertOverflow="ellipsis" vert="horz" wrap="square" anchor="ctr" anchorCtr="1"/>
        <a:lstStyle/>
        <a:p>
          <a:pPr>
            <a:defRPr sz="1100" b="0" i="0" u="none" strike="noStrike" kern="1200" spc="0" baseline="0">
              <a:solidFill>
                <a:srgbClr val="2C307E"/>
              </a:solidFill>
              <a:latin typeface="+mn-lt"/>
              <a:ea typeface="+mn-ea"/>
              <a:cs typeface="+mn-cs"/>
            </a:defRPr>
          </a:pPr>
          <a:endParaRPr lang="en-NL"/>
        </a:p>
      </c:txPr>
    </c:title>
    <c:autoTitleDeleted val="0"/>
    <c:plotArea>
      <c:layout>
        <c:manualLayout>
          <c:layoutTarget val="inner"/>
          <c:xMode val="edge"/>
          <c:yMode val="edge"/>
          <c:x val="0.48121307289960347"/>
          <c:y val="0.26554283362100489"/>
          <c:w val="0.44199362095519984"/>
          <c:h val="0.47739290048918892"/>
        </c:manualLayout>
      </c:layout>
      <c:barChart>
        <c:barDir val="bar"/>
        <c:grouping val="percentStacked"/>
        <c:varyColors val="0"/>
        <c:ser>
          <c:idx val="0"/>
          <c:order val="0"/>
          <c:tx>
            <c:strRef>
              <c:f>Figuren!$B$675</c:f>
              <c:strCache>
                <c:ptCount val="1"/>
                <c:pt idx="0">
                  <c:v>Helemaal niet belangrijk</c:v>
                </c:pt>
              </c:strCache>
            </c:strRef>
          </c:tx>
          <c:spPr>
            <a:solidFill>
              <a:srgbClr val="2C307E"/>
            </a:solidFill>
            <a:ln>
              <a:noFill/>
            </a:ln>
            <a:effectLst/>
          </c:spPr>
          <c:invertIfNegative val="0"/>
          <c:dLbls>
            <c:dLbl>
              <c:idx val="0"/>
              <c:layout>
                <c:manualLayout>
                  <c:x val="-9.5648015303682454E-3"/>
                  <c:y val="-5.3847879739735247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88B-4C16-9AC0-E8CDF9708E0A}"/>
                </c:ext>
              </c:extLst>
            </c:dLbl>
            <c:dLbl>
              <c:idx val="1"/>
              <c:layout>
                <c:manualLayout>
                  <c:x val="-4.7824007651841227E-3"/>
                  <c:y val="-5.384787973973533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88B-4C16-9AC0-E8CDF9708E0A}"/>
                </c:ext>
              </c:extLst>
            </c:dLbl>
            <c:dLbl>
              <c:idx val="2"/>
              <c:layout>
                <c:manualLayout>
                  <c:x val="-4.7824007651841227E-3"/>
                  <c:y val="-5.3847879739735288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88B-4C16-9AC0-E8CDF9708E0A}"/>
                </c:ext>
              </c:extLst>
            </c:dLbl>
            <c:spPr>
              <a:noFill/>
              <a:ln>
                <a:noFill/>
              </a:ln>
              <a:effectLst/>
            </c:spPr>
            <c:txPr>
              <a:bodyPr rot="0" spcFirstLastPara="1" vertOverflow="ellipsis" vert="horz" wrap="square" anchor="ctr" anchorCtr="1"/>
              <a:lstStyle/>
              <a:p>
                <a:pPr>
                  <a:defRPr sz="800" b="1" i="0" u="none" strike="noStrike" kern="1200" baseline="0">
                    <a:solidFill>
                      <a:srgbClr val="2C307E"/>
                    </a:solidFill>
                    <a:latin typeface="+mn-lt"/>
                    <a:ea typeface="+mn-ea"/>
                    <a:cs typeface="+mn-cs"/>
                  </a:defRPr>
                </a:pPr>
                <a:endParaRPr lang="en-N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Figuren!$A$676:$A$678</c:f>
              <c:strCache>
                <c:ptCount val="3"/>
                <c:pt idx="0">
                  <c:v>Optimaal gebruik maken van duurzame energie </c:v>
                </c:pt>
                <c:pt idx="1">
                  <c:v>Financiële voordelen </c:v>
                </c:pt>
                <c:pt idx="2">
                  <c:v>Bijdragen aan een stabiel elektriciteitsnet </c:v>
                </c:pt>
              </c:strCache>
            </c:strRef>
          </c:cat>
          <c:val>
            <c:numRef>
              <c:f>Figuren!$B$676:$B$678</c:f>
              <c:numCache>
                <c:formatCode>0%</c:formatCode>
                <c:ptCount val="3"/>
                <c:pt idx="0">
                  <c:v>5.6969026548672565E-2</c:v>
                </c:pt>
                <c:pt idx="1">
                  <c:v>2.3809523809523808E-2</c:v>
                </c:pt>
                <c:pt idx="2">
                  <c:v>4.0974529346622372E-2</c:v>
                </c:pt>
              </c:numCache>
            </c:numRef>
          </c:val>
          <c:extLst>
            <c:ext xmlns:c16="http://schemas.microsoft.com/office/drawing/2014/chart" uri="{C3380CC4-5D6E-409C-BE32-E72D297353CC}">
              <c16:uniqueId val="{00000000-9755-480B-8FE7-36B29572D70C}"/>
            </c:ext>
          </c:extLst>
        </c:ser>
        <c:ser>
          <c:idx val="1"/>
          <c:order val="1"/>
          <c:tx>
            <c:strRef>
              <c:f>Figuren!$C$675</c:f>
              <c:strCache>
                <c:ptCount val="1"/>
                <c:pt idx="0">
                  <c:v>Niet belangrijk</c:v>
                </c:pt>
              </c:strCache>
            </c:strRef>
          </c:tx>
          <c:spPr>
            <a:solidFill>
              <a:srgbClr val="08B466"/>
            </a:solidFill>
            <a:ln>
              <a:noFill/>
            </a:ln>
            <a:effectLst/>
          </c:spPr>
          <c:invertIfNegative val="0"/>
          <c:dLbls>
            <c:dLbl>
              <c:idx val="0"/>
              <c:layout>
                <c:manualLayout>
                  <c:x val="-4.7824007651841227E-3"/>
                  <c:y val="-8.2266643695529676E-1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488B-4C16-9AC0-E8CDF9708E0A}"/>
                </c:ext>
              </c:extLst>
            </c:dLbl>
            <c:dLbl>
              <c:idx val="1"/>
              <c:layout>
                <c:manualLayout>
                  <c:x val="1.434720229555228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88B-4C16-9AC0-E8CDF9708E0A}"/>
                </c:ext>
              </c:extLst>
            </c:dLbl>
            <c:dLbl>
              <c:idx val="2"/>
              <c:layout>
                <c:manualLayout>
                  <c:x val="9.5648015303682454E-3"/>
                  <c:y val="-8.2266643695529676E-1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488B-4C16-9AC0-E8CDF9708E0A}"/>
                </c:ext>
              </c:extLst>
            </c:dLbl>
            <c:spPr>
              <a:noFill/>
              <a:ln>
                <a:noFill/>
              </a:ln>
              <a:effectLst/>
            </c:spPr>
            <c:txPr>
              <a:bodyPr rot="0" spcFirstLastPara="1" vertOverflow="ellipsis" vert="horz" wrap="square" anchor="ctr" anchorCtr="1"/>
              <a:lstStyle/>
              <a:p>
                <a:pPr>
                  <a:defRPr sz="800" b="1" i="0" u="none" strike="noStrike" kern="1200" baseline="0">
                    <a:solidFill>
                      <a:schemeClr val="bg1"/>
                    </a:solidFill>
                    <a:latin typeface="+mn-lt"/>
                    <a:ea typeface="+mn-ea"/>
                    <a:cs typeface="+mn-cs"/>
                  </a:defRPr>
                </a:pPr>
                <a:endParaRPr lang="en-N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Figuren!$A$676:$A$678</c:f>
              <c:strCache>
                <c:ptCount val="3"/>
                <c:pt idx="0">
                  <c:v>Optimaal gebruik maken van duurzame energie </c:v>
                </c:pt>
                <c:pt idx="1">
                  <c:v>Financiële voordelen </c:v>
                </c:pt>
                <c:pt idx="2">
                  <c:v>Bijdragen aan een stabiel elektriciteitsnet </c:v>
                </c:pt>
              </c:strCache>
            </c:strRef>
          </c:cat>
          <c:val>
            <c:numRef>
              <c:f>Figuren!$C$676:$C$678</c:f>
              <c:numCache>
                <c:formatCode>0%</c:formatCode>
                <c:ptCount val="3"/>
                <c:pt idx="0">
                  <c:v>5.0884955752212392E-2</c:v>
                </c:pt>
                <c:pt idx="1">
                  <c:v>3.6544850498338874E-2</c:v>
                </c:pt>
                <c:pt idx="2">
                  <c:v>3.3222591362126248E-2</c:v>
                </c:pt>
              </c:numCache>
            </c:numRef>
          </c:val>
          <c:extLst>
            <c:ext xmlns:c16="http://schemas.microsoft.com/office/drawing/2014/chart" uri="{C3380CC4-5D6E-409C-BE32-E72D297353CC}">
              <c16:uniqueId val="{00000001-9755-480B-8FE7-36B29572D70C}"/>
            </c:ext>
          </c:extLst>
        </c:ser>
        <c:ser>
          <c:idx val="2"/>
          <c:order val="2"/>
          <c:tx>
            <c:strRef>
              <c:f>Figuren!$D$675</c:f>
              <c:strCache>
                <c:ptCount val="1"/>
                <c:pt idx="0">
                  <c:v>Neutraal</c:v>
                </c:pt>
              </c:strCache>
            </c:strRef>
          </c:tx>
          <c:spPr>
            <a:solidFill>
              <a:srgbClr val="C9C743"/>
            </a:solidFill>
            <a:ln>
              <a:noFill/>
            </a:ln>
            <a:effectLst/>
          </c:spPr>
          <c:invertIfNegative val="0"/>
          <c:dLbls>
            <c:dLbl>
              <c:idx val="0"/>
              <c:layout>
                <c:manualLayout>
                  <c:x val="4.7824007651841227E-3"/>
                  <c:y val="-8.2266643695529676E-1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488B-4C16-9AC0-E8CDF9708E0A}"/>
                </c:ext>
              </c:extLst>
            </c:dLbl>
            <c:dLbl>
              <c:idx val="1"/>
              <c:layout>
                <c:manualLayout>
                  <c:x val="2.8694404591104734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88B-4C16-9AC0-E8CDF9708E0A}"/>
                </c:ext>
              </c:extLst>
            </c:dLbl>
            <c:dLbl>
              <c:idx val="2"/>
              <c:layout>
                <c:manualLayout>
                  <c:x val="1.4347202295552367E-2"/>
                  <c:y val="-8.2266643695529676E-1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88B-4C16-9AC0-E8CDF9708E0A}"/>
                </c:ext>
              </c:extLst>
            </c:dLbl>
            <c:spPr>
              <a:noFill/>
              <a:ln>
                <a:noFill/>
              </a:ln>
              <a:effectLst/>
            </c:spPr>
            <c:txPr>
              <a:bodyPr rot="0" spcFirstLastPara="1" vertOverflow="ellipsis" vert="horz" wrap="square" anchor="ctr" anchorCtr="1"/>
              <a:lstStyle/>
              <a:p>
                <a:pPr>
                  <a:defRPr sz="800" b="1" i="0" u="none" strike="noStrike" kern="1200" baseline="0">
                    <a:solidFill>
                      <a:schemeClr val="bg1"/>
                    </a:solidFill>
                    <a:latin typeface="+mn-lt"/>
                    <a:ea typeface="+mn-ea"/>
                    <a:cs typeface="+mn-cs"/>
                  </a:defRPr>
                </a:pPr>
                <a:endParaRPr lang="en-N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Figuren!$A$676:$A$678</c:f>
              <c:strCache>
                <c:ptCount val="3"/>
                <c:pt idx="0">
                  <c:v>Optimaal gebruik maken van duurzame energie </c:v>
                </c:pt>
                <c:pt idx="1">
                  <c:v>Financiële voordelen </c:v>
                </c:pt>
                <c:pt idx="2">
                  <c:v>Bijdragen aan een stabiel elektriciteitsnet </c:v>
                </c:pt>
              </c:strCache>
            </c:strRef>
          </c:cat>
          <c:val>
            <c:numRef>
              <c:f>Figuren!$D$676:$D$678</c:f>
              <c:numCache>
                <c:formatCode>0%</c:formatCode>
                <c:ptCount val="3"/>
                <c:pt idx="0">
                  <c:v>0.16537610619469026</c:v>
                </c:pt>
                <c:pt idx="1">
                  <c:v>0.14894795127353266</c:v>
                </c:pt>
                <c:pt idx="2">
                  <c:v>0.22480620155038761</c:v>
                </c:pt>
              </c:numCache>
            </c:numRef>
          </c:val>
          <c:extLst>
            <c:ext xmlns:c16="http://schemas.microsoft.com/office/drawing/2014/chart" uri="{C3380CC4-5D6E-409C-BE32-E72D297353CC}">
              <c16:uniqueId val="{00000002-9755-480B-8FE7-36B29572D70C}"/>
            </c:ext>
          </c:extLst>
        </c:ser>
        <c:ser>
          <c:idx val="3"/>
          <c:order val="3"/>
          <c:tx>
            <c:strRef>
              <c:f>Figuren!$E$675</c:f>
              <c:strCache>
                <c:ptCount val="1"/>
                <c:pt idx="0">
                  <c:v>Belangrijk</c:v>
                </c:pt>
              </c:strCache>
            </c:strRef>
          </c:tx>
          <c:spPr>
            <a:solidFill>
              <a:srgbClr val="BAD6ED"/>
            </a:solidFill>
            <a:ln>
              <a:noFill/>
            </a:ln>
            <a:effectLst/>
          </c:spPr>
          <c:invertIfNegative val="0"/>
          <c:dLbls>
            <c:spPr>
              <a:noFill/>
              <a:ln>
                <a:noFill/>
              </a:ln>
              <a:effectLst/>
            </c:spPr>
            <c:txPr>
              <a:bodyPr rot="0" spcFirstLastPara="1" vertOverflow="ellipsis" vert="horz" wrap="square" anchor="ctr" anchorCtr="1"/>
              <a:lstStyle/>
              <a:p>
                <a:pPr>
                  <a:defRPr sz="800" b="1" i="0" u="none" strike="noStrike" kern="1200" baseline="0">
                    <a:solidFill>
                      <a:srgbClr val="2C307E"/>
                    </a:solidFill>
                    <a:latin typeface="+mn-lt"/>
                    <a:ea typeface="+mn-ea"/>
                    <a:cs typeface="+mn-cs"/>
                  </a:defRPr>
                </a:pPr>
                <a:endParaRPr lang="en-N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Figuren!$A$676:$A$678</c:f>
              <c:strCache>
                <c:ptCount val="3"/>
                <c:pt idx="0">
                  <c:v>Optimaal gebruik maken van duurzame energie </c:v>
                </c:pt>
                <c:pt idx="1">
                  <c:v>Financiële voordelen </c:v>
                </c:pt>
                <c:pt idx="2">
                  <c:v>Bijdragen aan een stabiel elektriciteitsnet </c:v>
                </c:pt>
              </c:strCache>
            </c:strRef>
          </c:cat>
          <c:val>
            <c:numRef>
              <c:f>Figuren!$E$676:$E$678</c:f>
              <c:numCache>
                <c:formatCode>0%</c:formatCode>
                <c:ptCount val="3"/>
                <c:pt idx="0">
                  <c:v>0.41703539823008851</c:v>
                </c:pt>
                <c:pt idx="1">
                  <c:v>0.44075304540420818</c:v>
                </c:pt>
                <c:pt idx="2">
                  <c:v>0.50166112956810627</c:v>
                </c:pt>
              </c:numCache>
            </c:numRef>
          </c:val>
          <c:extLst>
            <c:ext xmlns:c16="http://schemas.microsoft.com/office/drawing/2014/chart" uri="{C3380CC4-5D6E-409C-BE32-E72D297353CC}">
              <c16:uniqueId val="{00000003-9755-480B-8FE7-36B29572D70C}"/>
            </c:ext>
          </c:extLst>
        </c:ser>
        <c:ser>
          <c:idx val="4"/>
          <c:order val="4"/>
          <c:tx>
            <c:strRef>
              <c:f>Figuren!$F$675</c:f>
              <c:strCache>
                <c:ptCount val="1"/>
                <c:pt idx="0">
                  <c:v>Heel belangrijk</c:v>
                </c:pt>
              </c:strCache>
            </c:strRef>
          </c:tx>
          <c:spPr>
            <a:solidFill>
              <a:srgbClr val="4EAFAA"/>
            </a:solidFill>
            <a:ln>
              <a:noFill/>
            </a:ln>
            <a:effectLst/>
          </c:spPr>
          <c:invertIfNegative val="0"/>
          <c:dLbls>
            <c:spPr>
              <a:noFill/>
              <a:ln>
                <a:noFill/>
              </a:ln>
              <a:effectLst/>
            </c:spPr>
            <c:txPr>
              <a:bodyPr rot="0" spcFirstLastPara="1" vertOverflow="ellipsis" vert="horz" wrap="square" anchor="ctr" anchorCtr="1"/>
              <a:lstStyle/>
              <a:p>
                <a:pPr>
                  <a:defRPr sz="800" b="1" i="0" u="none" strike="noStrike" kern="1200" baseline="0">
                    <a:solidFill>
                      <a:schemeClr val="bg1"/>
                    </a:solidFill>
                    <a:latin typeface="+mn-lt"/>
                    <a:ea typeface="+mn-ea"/>
                    <a:cs typeface="+mn-cs"/>
                  </a:defRPr>
                </a:pPr>
                <a:endParaRPr lang="en-N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Figuren!$A$676:$A$678</c:f>
              <c:strCache>
                <c:ptCount val="3"/>
                <c:pt idx="0">
                  <c:v>Optimaal gebruik maken van duurzame energie </c:v>
                </c:pt>
                <c:pt idx="1">
                  <c:v>Financiële voordelen </c:v>
                </c:pt>
                <c:pt idx="2">
                  <c:v>Bijdragen aan een stabiel elektriciteitsnet </c:v>
                </c:pt>
              </c:strCache>
            </c:strRef>
          </c:cat>
          <c:val>
            <c:numRef>
              <c:f>Figuren!$F$676:$F$678</c:f>
              <c:numCache>
                <c:formatCode>0%</c:formatCode>
                <c:ptCount val="3"/>
                <c:pt idx="0">
                  <c:v>0.30973451327433627</c:v>
                </c:pt>
                <c:pt idx="1">
                  <c:v>0.34994462901439644</c:v>
                </c:pt>
                <c:pt idx="2">
                  <c:v>0.19933554817275748</c:v>
                </c:pt>
              </c:numCache>
            </c:numRef>
          </c:val>
          <c:extLst>
            <c:ext xmlns:c16="http://schemas.microsoft.com/office/drawing/2014/chart" uri="{C3380CC4-5D6E-409C-BE32-E72D297353CC}">
              <c16:uniqueId val="{00000004-9755-480B-8FE7-36B29572D70C}"/>
            </c:ext>
          </c:extLst>
        </c:ser>
        <c:dLbls>
          <c:dLblPos val="ctr"/>
          <c:showLegendKey val="0"/>
          <c:showVal val="1"/>
          <c:showCatName val="0"/>
          <c:showSerName val="0"/>
          <c:showPercent val="0"/>
          <c:showBubbleSize val="0"/>
        </c:dLbls>
        <c:gapWidth val="150"/>
        <c:overlap val="100"/>
        <c:axId val="1868641391"/>
        <c:axId val="1868655311"/>
      </c:barChart>
      <c:catAx>
        <c:axId val="1868641391"/>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2C307E"/>
                </a:solidFill>
                <a:latin typeface="+mn-lt"/>
                <a:ea typeface="+mn-ea"/>
                <a:cs typeface="+mn-cs"/>
              </a:defRPr>
            </a:pPr>
            <a:endParaRPr lang="en-NL"/>
          </a:p>
        </c:txPr>
        <c:crossAx val="1868655311"/>
        <c:crosses val="autoZero"/>
        <c:auto val="1"/>
        <c:lblAlgn val="ctr"/>
        <c:lblOffset val="100"/>
        <c:noMultiLvlLbl val="0"/>
      </c:catAx>
      <c:valAx>
        <c:axId val="1868655311"/>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2C307E"/>
                </a:solidFill>
                <a:latin typeface="+mn-lt"/>
                <a:ea typeface="+mn-ea"/>
                <a:cs typeface="+mn-cs"/>
              </a:defRPr>
            </a:pPr>
            <a:endParaRPr lang="en-NL"/>
          </a:p>
        </c:txPr>
        <c:crossAx val="1868641391"/>
        <c:crosses val="autoZero"/>
        <c:crossBetween val="between"/>
      </c:valAx>
      <c:spPr>
        <a:noFill/>
        <a:ln>
          <a:noFill/>
        </a:ln>
        <a:effectLst/>
      </c:spPr>
    </c:plotArea>
    <c:legend>
      <c:legendPos val="b"/>
      <c:layout>
        <c:manualLayout>
          <c:xMode val="edge"/>
          <c:yMode val="edge"/>
          <c:x val="0"/>
          <c:y val="0.84102738612956496"/>
          <c:w val="1"/>
          <c:h val="0.15544521037886669"/>
        </c:manualLayout>
      </c:layout>
      <c:overlay val="0"/>
      <c:spPr>
        <a:noFill/>
        <a:ln>
          <a:noFill/>
        </a:ln>
        <a:effectLst/>
      </c:spPr>
      <c:txPr>
        <a:bodyPr rot="0" spcFirstLastPara="1" vertOverflow="ellipsis" vert="horz" wrap="square" anchor="ctr" anchorCtr="1"/>
        <a:lstStyle/>
        <a:p>
          <a:pPr>
            <a:defRPr sz="900" b="0" i="0" u="none" strike="noStrike" kern="1200" baseline="0">
              <a:solidFill>
                <a:srgbClr val="2C307E"/>
              </a:solidFill>
              <a:latin typeface="+mn-lt"/>
              <a:ea typeface="+mn-ea"/>
              <a:cs typeface="+mn-cs"/>
            </a:defRPr>
          </a:pPr>
          <a:endParaRPr lang="en-NL"/>
        </a:p>
      </c:txPr>
    </c:legend>
    <c:plotVisOnly val="1"/>
    <c:dispBlanksAs val="gap"/>
    <c:showDLblsOverMax val="0"/>
  </c:chart>
  <c:spPr>
    <a:noFill/>
    <a:ln w="9525" cap="flat" cmpd="sng" algn="ctr">
      <a:noFill/>
      <a:round/>
    </a:ln>
    <a:effectLst/>
  </c:spPr>
  <c:txPr>
    <a:bodyPr/>
    <a:lstStyle/>
    <a:p>
      <a:pPr>
        <a:defRPr>
          <a:solidFill>
            <a:srgbClr val="2C307E"/>
          </a:solidFill>
        </a:defRPr>
      </a:pPr>
      <a:endParaRPr lang="en-NL"/>
    </a:p>
  </c:txPr>
  <c:externalData r:id="rId3">
    <c:autoUpdate val="0"/>
  </c:externalData>
</c:chartSpace>
</file>

<file path=word/charts/chart10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rgbClr val="2C307E"/>
                </a:solidFill>
                <a:latin typeface="+mn-lt"/>
                <a:ea typeface="+mn-ea"/>
                <a:cs typeface="+mn-cs"/>
              </a:defRPr>
            </a:pPr>
            <a:r>
              <a:rPr lang="nl-NL" sz="1100" b="0" i="0" u="none" strike="noStrike" kern="1200" spc="0" baseline="0">
                <a:solidFill>
                  <a:srgbClr val="2C307E"/>
                </a:solidFill>
              </a:rPr>
              <a:t>In hoeverre ben je het eens met de volgende stelling? N=[925]</a:t>
            </a:r>
          </a:p>
        </c:rich>
      </c:tx>
      <c:overlay val="0"/>
      <c:spPr>
        <a:noFill/>
        <a:ln>
          <a:noFill/>
        </a:ln>
        <a:effectLst/>
      </c:spPr>
      <c:txPr>
        <a:bodyPr rot="0" spcFirstLastPara="1" vertOverflow="ellipsis" vert="horz" wrap="square" anchor="ctr" anchorCtr="1"/>
        <a:lstStyle/>
        <a:p>
          <a:pPr>
            <a:defRPr sz="1100" b="0" i="0" u="none" strike="noStrike" kern="1200" spc="0" baseline="0">
              <a:solidFill>
                <a:srgbClr val="2C307E"/>
              </a:solidFill>
              <a:latin typeface="+mn-lt"/>
              <a:ea typeface="+mn-ea"/>
              <a:cs typeface="+mn-cs"/>
            </a:defRPr>
          </a:pPr>
          <a:endParaRPr lang="nl-NL"/>
        </a:p>
      </c:txPr>
    </c:title>
    <c:autoTitleDeleted val="0"/>
    <c:plotArea>
      <c:layout/>
      <c:barChart>
        <c:barDir val="col"/>
        <c:grouping val="percentStacked"/>
        <c:varyColors val="0"/>
        <c:ser>
          <c:idx val="2"/>
          <c:order val="0"/>
          <c:tx>
            <c:strRef>
              <c:f>[Slim_laden_analyse.xlsx]Figuren!$A$756</c:f>
              <c:strCache>
                <c:ptCount val="1"/>
                <c:pt idx="0">
                  <c:v>Helemaal mee oneens</c:v>
                </c:pt>
              </c:strCache>
            </c:strRef>
          </c:tx>
          <c:spPr>
            <a:solidFill>
              <a:srgbClr val="2C307E"/>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N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[Slim_laden_analyse.xlsx]Figuren!$B$754:$J$755</c:f>
              <c:multiLvlStrCache>
                <c:ptCount val="9"/>
                <c:lvl>
                  <c:pt idx="0">
                    <c:v>2023</c:v>
                  </c:pt>
                  <c:pt idx="1">
                    <c:v>2024</c:v>
                  </c:pt>
                  <c:pt idx="2">
                    <c:v>2025</c:v>
                  </c:pt>
                  <c:pt idx="3">
                    <c:v>2023</c:v>
                  </c:pt>
                  <c:pt idx="4">
                    <c:v>2024</c:v>
                  </c:pt>
                  <c:pt idx="5">
                    <c:v>2025</c:v>
                  </c:pt>
                  <c:pt idx="6">
                    <c:v>2023</c:v>
                  </c:pt>
                  <c:pt idx="7">
                    <c:v>2024</c:v>
                  </c:pt>
                  <c:pt idx="8">
                    <c:v>2025</c:v>
                  </c:pt>
                </c:lvl>
                <c:lvl>
                  <c:pt idx="0">
                    <c:v>Ik kies alleen voor slim laden als ik daarbij zekerheid heb over het minimale laadvolume/kWh per uur. </c:v>
                  </c:pt>
                  <c:pt idx="3">
                    <c:v>Ik vind het belangrijk te weten dat mijn EV slim wordt geladen. </c:v>
                  </c:pt>
                  <c:pt idx="6">
                    <c:v>Ik wil de mogelijkheid hebben om slim laden “uit” te zetten. </c:v>
                  </c:pt>
                </c:lvl>
              </c:multiLvlStrCache>
            </c:multiLvlStrRef>
          </c:cat>
          <c:val>
            <c:numRef>
              <c:f>[Slim_laden_analyse.xlsx]Figuren!$B$756:$J$756</c:f>
              <c:numCache>
                <c:formatCode>0%</c:formatCode>
                <c:ptCount val="9"/>
                <c:pt idx="0">
                  <c:v>3.3433508640120208E-2</c:v>
                </c:pt>
                <c:pt idx="1">
                  <c:v>0.09</c:v>
                </c:pt>
                <c:pt idx="2">
                  <c:v>3.896103896103896E-2</c:v>
                </c:pt>
                <c:pt idx="3">
                  <c:v>5.275056518462698E-2</c:v>
                </c:pt>
                <c:pt idx="4">
                  <c:v>0.08</c:v>
                </c:pt>
                <c:pt idx="5">
                  <c:v>7.5839653304442034E-2</c:v>
                </c:pt>
                <c:pt idx="6">
                  <c:v>2.7871939736346517E-2</c:v>
                </c:pt>
                <c:pt idx="7">
                  <c:v>0.03</c:v>
                </c:pt>
                <c:pt idx="8">
                  <c:v>1.5135135135135135E-2</c:v>
                </c:pt>
              </c:numCache>
            </c:numRef>
          </c:val>
          <c:extLst>
            <c:ext xmlns:c16="http://schemas.microsoft.com/office/drawing/2014/chart" uri="{C3380CC4-5D6E-409C-BE32-E72D297353CC}">
              <c16:uniqueId val="{00000000-7E6E-4C4A-B223-A10A77AE5828}"/>
            </c:ext>
          </c:extLst>
        </c:ser>
        <c:ser>
          <c:idx val="3"/>
          <c:order val="1"/>
          <c:tx>
            <c:strRef>
              <c:f>[Slim_laden_analyse.xlsx]Figuren!$A$757</c:f>
              <c:strCache>
                <c:ptCount val="1"/>
                <c:pt idx="0">
                  <c:v>Mee oneens</c:v>
                </c:pt>
              </c:strCache>
            </c:strRef>
          </c:tx>
          <c:spPr>
            <a:solidFill>
              <a:srgbClr val="08B46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N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[Slim_laden_analyse.xlsx]Figuren!$B$754:$J$755</c:f>
              <c:multiLvlStrCache>
                <c:ptCount val="9"/>
                <c:lvl>
                  <c:pt idx="0">
                    <c:v>2023</c:v>
                  </c:pt>
                  <c:pt idx="1">
                    <c:v>2024</c:v>
                  </c:pt>
                  <c:pt idx="2">
                    <c:v>2025</c:v>
                  </c:pt>
                  <c:pt idx="3">
                    <c:v>2023</c:v>
                  </c:pt>
                  <c:pt idx="4">
                    <c:v>2024</c:v>
                  </c:pt>
                  <c:pt idx="5">
                    <c:v>2025</c:v>
                  </c:pt>
                  <c:pt idx="6">
                    <c:v>2023</c:v>
                  </c:pt>
                  <c:pt idx="7">
                    <c:v>2024</c:v>
                  </c:pt>
                  <c:pt idx="8">
                    <c:v>2025</c:v>
                  </c:pt>
                </c:lvl>
                <c:lvl>
                  <c:pt idx="0">
                    <c:v>Ik kies alleen voor slim laden als ik daarbij zekerheid heb over het minimale laadvolume/kWh per uur. </c:v>
                  </c:pt>
                  <c:pt idx="3">
                    <c:v>Ik vind het belangrijk te weten dat mijn EV slim wordt geladen. </c:v>
                  </c:pt>
                  <c:pt idx="6">
                    <c:v>Ik wil de mogelijkheid hebben om slim laden “uit” te zetten. </c:v>
                  </c:pt>
                </c:lvl>
              </c:multiLvlStrCache>
            </c:multiLvlStrRef>
          </c:cat>
          <c:val>
            <c:numRef>
              <c:f>[Slim_laden_analyse.xlsx]Figuren!$B$757:$J$757</c:f>
              <c:numCache>
                <c:formatCode>0%</c:formatCode>
                <c:ptCount val="9"/>
                <c:pt idx="0">
                  <c:v>3.9819684447783624E-2</c:v>
                </c:pt>
                <c:pt idx="1">
                  <c:v>0.17</c:v>
                </c:pt>
                <c:pt idx="2">
                  <c:v>4.5454545454545456E-2</c:v>
                </c:pt>
                <c:pt idx="3">
                  <c:v>7.9125847776940469E-2</c:v>
                </c:pt>
                <c:pt idx="4">
                  <c:v>0.11</c:v>
                </c:pt>
                <c:pt idx="5">
                  <c:v>9.2091007583965337E-2</c:v>
                </c:pt>
                <c:pt idx="6">
                  <c:v>6.5913370998116755E-2</c:v>
                </c:pt>
                <c:pt idx="7">
                  <c:v>0.06</c:v>
                </c:pt>
                <c:pt idx="8">
                  <c:v>3.8918918918918917E-2</c:v>
                </c:pt>
              </c:numCache>
            </c:numRef>
          </c:val>
          <c:extLst>
            <c:ext xmlns:c16="http://schemas.microsoft.com/office/drawing/2014/chart" uri="{C3380CC4-5D6E-409C-BE32-E72D297353CC}">
              <c16:uniqueId val="{00000001-7E6E-4C4A-B223-A10A77AE5828}"/>
            </c:ext>
          </c:extLst>
        </c:ser>
        <c:ser>
          <c:idx val="4"/>
          <c:order val="2"/>
          <c:tx>
            <c:strRef>
              <c:f>[Slim_laden_analyse.xlsx]Figuren!$A$758</c:f>
              <c:strCache>
                <c:ptCount val="1"/>
                <c:pt idx="0">
                  <c:v>Neutraal</c:v>
                </c:pt>
              </c:strCache>
            </c:strRef>
          </c:tx>
          <c:spPr>
            <a:solidFill>
              <a:srgbClr val="C9C74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N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[Slim_laden_analyse.xlsx]Figuren!$B$754:$J$755</c:f>
              <c:multiLvlStrCache>
                <c:ptCount val="9"/>
                <c:lvl>
                  <c:pt idx="0">
                    <c:v>2023</c:v>
                  </c:pt>
                  <c:pt idx="1">
                    <c:v>2024</c:v>
                  </c:pt>
                  <c:pt idx="2">
                    <c:v>2025</c:v>
                  </c:pt>
                  <c:pt idx="3">
                    <c:v>2023</c:v>
                  </c:pt>
                  <c:pt idx="4">
                    <c:v>2024</c:v>
                  </c:pt>
                  <c:pt idx="5">
                    <c:v>2025</c:v>
                  </c:pt>
                  <c:pt idx="6">
                    <c:v>2023</c:v>
                  </c:pt>
                  <c:pt idx="7">
                    <c:v>2024</c:v>
                  </c:pt>
                  <c:pt idx="8">
                    <c:v>2025</c:v>
                  </c:pt>
                </c:lvl>
                <c:lvl>
                  <c:pt idx="0">
                    <c:v>Ik kies alleen voor slim laden als ik daarbij zekerheid heb over het minimale laadvolume/kWh per uur. </c:v>
                  </c:pt>
                  <c:pt idx="3">
                    <c:v>Ik vind het belangrijk te weten dat mijn EV slim wordt geladen. </c:v>
                  </c:pt>
                  <c:pt idx="6">
                    <c:v>Ik wil de mogelijkheid hebben om slim laden “uit” te zetten. </c:v>
                  </c:pt>
                </c:lvl>
              </c:multiLvlStrCache>
            </c:multiLvlStrRef>
          </c:cat>
          <c:val>
            <c:numRef>
              <c:f>[Slim_laden_analyse.xlsx]Figuren!$B$758:$J$758</c:f>
              <c:numCache>
                <c:formatCode>0%</c:formatCode>
                <c:ptCount val="9"/>
                <c:pt idx="0">
                  <c:v>0.20924117205108941</c:v>
                </c:pt>
                <c:pt idx="1">
                  <c:v>0.31</c:v>
                </c:pt>
                <c:pt idx="2">
                  <c:v>0.19372294372294371</c:v>
                </c:pt>
                <c:pt idx="3">
                  <c:v>0.30406932931424263</c:v>
                </c:pt>
                <c:pt idx="4">
                  <c:v>0.28999999999999998</c:v>
                </c:pt>
                <c:pt idx="5">
                  <c:v>0.27735644637053086</c:v>
                </c:pt>
                <c:pt idx="6">
                  <c:v>0.24143126177024482</c:v>
                </c:pt>
                <c:pt idx="7">
                  <c:v>0.21</c:v>
                </c:pt>
                <c:pt idx="8">
                  <c:v>0.17189189189189188</c:v>
                </c:pt>
              </c:numCache>
            </c:numRef>
          </c:val>
          <c:extLst>
            <c:ext xmlns:c16="http://schemas.microsoft.com/office/drawing/2014/chart" uri="{C3380CC4-5D6E-409C-BE32-E72D297353CC}">
              <c16:uniqueId val="{00000002-7E6E-4C4A-B223-A10A77AE5828}"/>
            </c:ext>
          </c:extLst>
        </c:ser>
        <c:ser>
          <c:idx val="5"/>
          <c:order val="3"/>
          <c:tx>
            <c:strRef>
              <c:f>[Slim_laden_analyse.xlsx]Figuren!$A$759</c:f>
              <c:strCache>
                <c:ptCount val="1"/>
                <c:pt idx="0">
                  <c:v>Mee eens</c:v>
                </c:pt>
              </c:strCache>
            </c:strRef>
          </c:tx>
          <c:spPr>
            <a:solidFill>
              <a:srgbClr val="BAD6ED"/>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2C307E"/>
                    </a:solidFill>
                    <a:latin typeface="+mn-lt"/>
                    <a:ea typeface="+mn-ea"/>
                    <a:cs typeface="+mn-cs"/>
                  </a:defRPr>
                </a:pPr>
                <a:endParaRPr lang="en-N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[Slim_laden_analyse.xlsx]Figuren!$B$754:$J$755</c:f>
              <c:multiLvlStrCache>
                <c:ptCount val="9"/>
                <c:lvl>
                  <c:pt idx="0">
                    <c:v>2023</c:v>
                  </c:pt>
                  <c:pt idx="1">
                    <c:v>2024</c:v>
                  </c:pt>
                  <c:pt idx="2">
                    <c:v>2025</c:v>
                  </c:pt>
                  <c:pt idx="3">
                    <c:v>2023</c:v>
                  </c:pt>
                  <c:pt idx="4">
                    <c:v>2024</c:v>
                  </c:pt>
                  <c:pt idx="5">
                    <c:v>2025</c:v>
                  </c:pt>
                  <c:pt idx="6">
                    <c:v>2023</c:v>
                  </c:pt>
                  <c:pt idx="7">
                    <c:v>2024</c:v>
                  </c:pt>
                  <c:pt idx="8">
                    <c:v>2025</c:v>
                  </c:pt>
                </c:lvl>
                <c:lvl>
                  <c:pt idx="0">
                    <c:v>Ik kies alleen voor slim laden als ik daarbij zekerheid heb over het minimale laadvolume/kWh per uur. </c:v>
                  </c:pt>
                  <c:pt idx="3">
                    <c:v>Ik vind het belangrijk te weten dat mijn EV slim wordt geladen. </c:v>
                  </c:pt>
                  <c:pt idx="6">
                    <c:v>Ik wil de mogelijkheid hebben om slim laden “uit” te zetten. </c:v>
                  </c:pt>
                </c:lvl>
              </c:multiLvlStrCache>
            </c:multiLvlStrRef>
          </c:cat>
          <c:val>
            <c:numRef>
              <c:f>[Slim_laden_analyse.xlsx]Figuren!$B$759:$J$759</c:f>
              <c:numCache>
                <c:formatCode>0%</c:formatCode>
                <c:ptCount val="9"/>
                <c:pt idx="0">
                  <c:v>0.45717505634861005</c:v>
                </c:pt>
                <c:pt idx="1">
                  <c:v>0.32</c:v>
                </c:pt>
                <c:pt idx="2">
                  <c:v>0.44480519480519481</c:v>
                </c:pt>
                <c:pt idx="3">
                  <c:v>0.38168801808590808</c:v>
                </c:pt>
                <c:pt idx="4">
                  <c:v>0.36</c:v>
                </c:pt>
                <c:pt idx="5">
                  <c:v>0.37378114842903576</c:v>
                </c:pt>
                <c:pt idx="6">
                  <c:v>0.39962335216572503</c:v>
                </c:pt>
                <c:pt idx="7">
                  <c:v>0.39</c:v>
                </c:pt>
                <c:pt idx="8">
                  <c:v>0.44324324324324327</c:v>
                </c:pt>
              </c:numCache>
            </c:numRef>
          </c:val>
          <c:extLst>
            <c:ext xmlns:c16="http://schemas.microsoft.com/office/drawing/2014/chart" uri="{C3380CC4-5D6E-409C-BE32-E72D297353CC}">
              <c16:uniqueId val="{00000003-7E6E-4C4A-B223-A10A77AE5828}"/>
            </c:ext>
          </c:extLst>
        </c:ser>
        <c:ser>
          <c:idx val="6"/>
          <c:order val="4"/>
          <c:tx>
            <c:strRef>
              <c:f>[Slim_laden_analyse.xlsx]Figuren!$A$760</c:f>
              <c:strCache>
                <c:ptCount val="1"/>
                <c:pt idx="0">
                  <c:v>Helemaal mee eens</c:v>
                </c:pt>
              </c:strCache>
            </c:strRef>
          </c:tx>
          <c:spPr>
            <a:solidFill>
              <a:srgbClr val="4EAFAA"/>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N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[Slim_laden_analyse.xlsx]Figuren!$B$754:$J$755</c:f>
              <c:multiLvlStrCache>
                <c:ptCount val="9"/>
                <c:lvl>
                  <c:pt idx="0">
                    <c:v>2023</c:v>
                  </c:pt>
                  <c:pt idx="1">
                    <c:v>2024</c:v>
                  </c:pt>
                  <c:pt idx="2">
                    <c:v>2025</c:v>
                  </c:pt>
                  <c:pt idx="3">
                    <c:v>2023</c:v>
                  </c:pt>
                  <c:pt idx="4">
                    <c:v>2024</c:v>
                  </c:pt>
                  <c:pt idx="5">
                    <c:v>2025</c:v>
                  </c:pt>
                  <c:pt idx="6">
                    <c:v>2023</c:v>
                  </c:pt>
                  <c:pt idx="7">
                    <c:v>2024</c:v>
                  </c:pt>
                  <c:pt idx="8">
                    <c:v>2025</c:v>
                  </c:pt>
                </c:lvl>
                <c:lvl>
                  <c:pt idx="0">
                    <c:v>Ik kies alleen voor slim laden als ik daarbij zekerheid heb over het minimale laadvolume/kWh per uur. </c:v>
                  </c:pt>
                  <c:pt idx="3">
                    <c:v>Ik vind het belangrijk te weten dat mijn EV slim wordt geladen. </c:v>
                  </c:pt>
                  <c:pt idx="6">
                    <c:v>Ik wil de mogelijkheid hebben om slim laden “uit” te zetten. </c:v>
                  </c:pt>
                </c:lvl>
              </c:multiLvlStrCache>
            </c:multiLvlStrRef>
          </c:cat>
          <c:val>
            <c:numRef>
              <c:f>[Slim_laden_analyse.xlsx]Figuren!$B$760:$J$760</c:f>
              <c:numCache>
                <c:formatCode>0%</c:formatCode>
                <c:ptCount val="9"/>
                <c:pt idx="0">
                  <c:v>0.26033057851239672</c:v>
                </c:pt>
                <c:pt idx="1">
                  <c:v>0.11</c:v>
                </c:pt>
                <c:pt idx="2">
                  <c:v>0.27705627705627706</c:v>
                </c:pt>
                <c:pt idx="3">
                  <c:v>0.18236623963828183</c:v>
                </c:pt>
                <c:pt idx="4">
                  <c:v>0.16</c:v>
                </c:pt>
                <c:pt idx="5">
                  <c:v>0.18093174431202599</c:v>
                </c:pt>
                <c:pt idx="6">
                  <c:v>0.26516007532956687</c:v>
                </c:pt>
                <c:pt idx="7">
                  <c:v>0.31</c:v>
                </c:pt>
                <c:pt idx="8">
                  <c:v>0.33081081081081082</c:v>
                </c:pt>
              </c:numCache>
            </c:numRef>
          </c:val>
          <c:extLst>
            <c:ext xmlns:c16="http://schemas.microsoft.com/office/drawing/2014/chart" uri="{C3380CC4-5D6E-409C-BE32-E72D297353CC}">
              <c16:uniqueId val="{00000004-7E6E-4C4A-B223-A10A77AE5828}"/>
            </c:ext>
          </c:extLst>
        </c:ser>
        <c:dLbls>
          <c:dLblPos val="ctr"/>
          <c:showLegendKey val="0"/>
          <c:showVal val="1"/>
          <c:showCatName val="0"/>
          <c:showSerName val="0"/>
          <c:showPercent val="0"/>
          <c:showBubbleSize val="0"/>
        </c:dLbls>
        <c:gapWidth val="150"/>
        <c:overlap val="100"/>
        <c:axId val="734866288"/>
        <c:axId val="734717264"/>
      </c:barChart>
      <c:catAx>
        <c:axId val="7348662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2C307E"/>
                </a:solidFill>
                <a:latin typeface="+mn-lt"/>
                <a:ea typeface="+mn-ea"/>
                <a:cs typeface="+mn-cs"/>
              </a:defRPr>
            </a:pPr>
            <a:endParaRPr lang="nl-NL"/>
          </a:p>
        </c:txPr>
        <c:crossAx val="734717264"/>
        <c:crosses val="autoZero"/>
        <c:auto val="1"/>
        <c:lblAlgn val="ctr"/>
        <c:lblOffset val="100"/>
        <c:noMultiLvlLbl val="0"/>
      </c:catAx>
      <c:valAx>
        <c:axId val="73471726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2C307E"/>
                </a:solidFill>
                <a:latin typeface="+mn-lt"/>
                <a:ea typeface="+mn-ea"/>
                <a:cs typeface="+mn-cs"/>
              </a:defRPr>
            </a:pPr>
            <a:endParaRPr lang="nl-NL"/>
          </a:p>
        </c:txPr>
        <c:crossAx val="7348662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rgbClr val="2C307E"/>
              </a:solidFill>
              <a:latin typeface="+mn-lt"/>
              <a:ea typeface="+mn-ea"/>
              <a:cs typeface="+mn-cs"/>
            </a:defRPr>
          </a:pPr>
          <a:endParaRPr lang="nl-NL"/>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10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rgbClr val="2C307E"/>
                </a:solidFill>
                <a:latin typeface="+mn-lt"/>
                <a:ea typeface="+mn-ea"/>
                <a:cs typeface="+mn-cs"/>
              </a:defRPr>
            </a:pPr>
            <a:r>
              <a:rPr lang="nl-NL" sz="1100"/>
              <a:t>Wie mag voor jou bepalen of je slim laadt bij de openbare laadpaal? </a:t>
            </a:r>
          </a:p>
        </c:rich>
      </c:tx>
      <c:overlay val="0"/>
      <c:spPr>
        <a:noFill/>
        <a:ln>
          <a:noFill/>
        </a:ln>
        <a:effectLst/>
      </c:spPr>
      <c:txPr>
        <a:bodyPr rot="0" spcFirstLastPara="1" vertOverflow="ellipsis" vert="horz" wrap="square" anchor="ctr" anchorCtr="1"/>
        <a:lstStyle/>
        <a:p>
          <a:pPr>
            <a:defRPr sz="1100" b="0" i="0" u="none" strike="noStrike" kern="1200" spc="0" baseline="0">
              <a:solidFill>
                <a:srgbClr val="2C307E"/>
              </a:solidFill>
              <a:latin typeface="+mn-lt"/>
              <a:ea typeface="+mn-ea"/>
              <a:cs typeface="+mn-cs"/>
            </a:defRPr>
          </a:pPr>
          <a:endParaRPr lang="en-NL"/>
        </a:p>
      </c:txPr>
    </c:title>
    <c:autoTitleDeleted val="0"/>
    <c:plotArea>
      <c:layout>
        <c:manualLayout>
          <c:layoutTarget val="inner"/>
          <c:xMode val="edge"/>
          <c:yMode val="edge"/>
          <c:x val="0.46800347947898191"/>
          <c:y val="0.1436800201237847"/>
          <c:w val="0.44219508429452059"/>
          <c:h val="0.7191058955669174"/>
        </c:manualLayout>
      </c:layout>
      <c:barChart>
        <c:barDir val="bar"/>
        <c:grouping val="clustered"/>
        <c:varyColors val="0"/>
        <c:ser>
          <c:idx val="0"/>
          <c:order val="0"/>
          <c:tx>
            <c:strRef>
              <c:f>Figuren!$E$723</c:f>
              <c:strCache>
                <c:ptCount val="1"/>
                <c:pt idx="0">
                  <c:v>2025</c:v>
                </c:pt>
              </c:strCache>
            </c:strRef>
          </c:tx>
          <c:spPr>
            <a:solidFill>
              <a:srgbClr val="08B46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rgbClr val="2C307E"/>
                    </a:solidFill>
                    <a:latin typeface="+mn-lt"/>
                    <a:ea typeface="+mn-ea"/>
                    <a:cs typeface="+mn-cs"/>
                  </a:defRPr>
                </a:pPr>
                <a:endParaRPr lang="en-NL"/>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Figuren!$A$724:$A$727</c:f>
              <c:strCache>
                <c:ptCount val="4"/>
                <c:pt idx="0">
                  <c:v>Alleen ikzelf</c:v>
                </c:pt>
                <c:pt idx="1">
                  <c:v>Een door mij gekozen gemachtigde</c:v>
                </c:pt>
                <c:pt idx="2">
                  <c:v>Een andere partij (bijv. netbeheerder, laadpaalbeheerder of autofabrikant)</c:v>
                </c:pt>
                <c:pt idx="3">
                  <c:v>Ik weet het niet</c:v>
                </c:pt>
              </c:strCache>
            </c:strRef>
          </c:cat>
          <c:val>
            <c:numRef>
              <c:f>Figuren!$E$724:$E$727</c:f>
              <c:numCache>
                <c:formatCode>0%</c:formatCode>
                <c:ptCount val="4"/>
                <c:pt idx="0">
                  <c:v>0.61972907214857953</c:v>
                </c:pt>
                <c:pt idx="1">
                  <c:v>4.7000249842972519E-2</c:v>
                </c:pt>
                <c:pt idx="2">
                  <c:v>0.22471390644664918</c:v>
                </c:pt>
                <c:pt idx="3">
                  <c:v>0.10855677156179877</c:v>
                </c:pt>
              </c:numCache>
            </c:numRef>
          </c:val>
          <c:extLst xmlns:c15="http://schemas.microsoft.com/office/drawing/2012/chart">
            <c:ext xmlns:c16="http://schemas.microsoft.com/office/drawing/2014/chart" uri="{C3380CC4-5D6E-409C-BE32-E72D297353CC}">
              <c16:uniqueId val="{00000000-CA6A-4A27-B6B3-E6F64C773C25}"/>
            </c:ext>
          </c:extLst>
        </c:ser>
        <c:ser>
          <c:idx val="1"/>
          <c:order val="1"/>
          <c:tx>
            <c:strRef>
              <c:f>Figuren!$F$723</c:f>
              <c:strCache>
                <c:ptCount val="1"/>
                <c:pt idx="0">
                  <c:v>2024</c:v>
                </c:pt>
              </c:strCache>
            </c:strRef>
          </c:tx>
          <c:spPr>
            <a:solidFill>
              <a:srgbClr val="2C307E"/>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rgbClr val="2C307E"/>
                    </a:solidFill>
                    <a:latin typeface="+mn-lt"/>
                    <a:ea typeface="+mn-ea"/>
                    <a:cs typeface="+mn-cs"/>
                  </a:defRPr>
                </a:pPr>
                <a:endParaRPr lang="en-N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Figuren!$A$724:$A$727</c:f>
              <c:strCache>
                <c:ptCount val="4"/>
                <c:pt idx="0">
                  <c:v>Alleen ikzelf</c:v>
                </c:pt>
                <c:pt idx="1">
                  <c:v>Een door mij gekozen gemachtigde</c:v>
                </c:pt>
                <c:pt idx="2">
                  <c:v>Een andere partij (bijv. netbeheerder, laadpaalbeheerder of autofabrikant)</c:v>
                </c:pt>
                <c:pt idx="3">
                  <c:v>Ik weet het niet</c:v>
                </c:pt>
              </c:strCache>
            </c:strRef>
          </c:cat>
          <c:val>
            <c:numRef>
              <c:f>Figuren!$F$724:$F$727</c:f>
              <c:numCache>
                <c:formatCode>0%</c:formatCode>
                <c:ptCount val="4"/>
                <c:pt idx="0">
                  <c:v>0.65212765957446805</c:v>
                </c:pt>
                <c:pt idx="1">
                  <c:v>4.8404255319148937E-2</c:v>
                </c:pt>
                <c:pt idx="2">
                  <c:v>0.17499999999999999</c:v>
                </c:pt>
                <c:pt idx="3">
                  <c:v>0.12446808510638298</c:v>
                </c:pt>
              </c:numCache>
            </c:numRef>
          </c:val>
          <c:extLst>
            <c:ext xmlns:c16="http://schemas.microsoft.com/office/drawing/2014/chart" uri="{C3380CC4-5D6E-409C-BE32-E72D297353CC}">
              <c16:uniqueId val="{00000001-CA6A-4A27-B6B3-E6F64C773C25}"/>
            </c:ext>
          </c:extLst>
        </c:ser>
        <c:dLbls>
          <c:dLblPos val="outEnd"/>
          <c:showLegendKey val="0"/>
          <c:showVal val="1"/>
          <c:showCatName val="0"/>
          <c:showSerName val="0"/>
          <c:showPercent val="0"/>
          <c:showBubbleSize val="0"/>
        </c:dLbls>
        <c:gapWidth val="182"/>
        <c:axId val="1929230511"/>
        <c:axId val="1929218031"/>
        <c:extLst/>
      </c:barChart>
      <c:catAx>
        <c:axId val="1929230511"/>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2C307E"/>
                </a:solidFill>
                <a:latin typeface="+mn-lt"/>
                <a:ea typeface="+mn-ea"/>
                <a:cs typeface="+mn-cs"/>
              </a:defRPr>
            </a:pPr>
            <a:endParaRPr lang="en-NL"/>
          </a:p>
        </c:txPr>
        <c:crossAx val="1929218031"/>
        <c:crosses val="autoZero"/>
        <c:auto val="1"/>
        <c:lblAlgn val="ctr"/>
        <c:lblOffset val="100"/>
        <c:noMultiLvlLbl val="0"/>
      </c:catAx>
      <c:valAx>
        <c:axId val="1929218031"/>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2C307E"/>
                </a:solidFill>
                <a:latin typeface="+mn-lt"/>
                <a:ea typeface="+mn-ea"/>
                <a:cs typeface="+mn-cs"/>
              </a:defRPr>
            </a:pPr>
            <a:endParaRPr lang="en-NL"/>
          </a:p>
        </c:txPr>
        <c:crossAx val="1929230511"/>
        <c:crosses val="autoZero"/>
        <c:crossBetween val="between"/>
        <c:majorUnit val="0.25"/>
      </c:valAx>
      <c:spPr>
        <a:noFill/>
        <a:ln>
          <a:noFill/>
        </a:ln>
        <a:effectLst/>
      </c:spPr>
    </c:plotArea>
    <c:legend>
      <c:legendPos val="b"/>
      <c:layout>
        <c:manualLayout>
          <c:xMode val="edge"/>
          <c:yMode val="edge"/>
          <c:x val="0.35345945850728389"/>
          <c:y val="0.91522171258359097"/>
          <c:w val="0.30202962884672974"/>
          <c:h val="8.477828741640904E-2"/>
        </c:manualLayout>
      </c:layout>
      <c:overlay val="0"/>
      <c:spPr>
        <a:noFill/>
        <a:ln>
          <a:noFill/>
        </a:ln>
        <a:effectLst/>
      </c:spPr>
      <c:txPr>
        <a:bodyPr rot="0" spcFirstLastPara="1" vertOverflow="ellipsis" vert="horz" wrap="square" anchor="ctr" anchorCtr="1"/>
        <a:lstStyle/>
        <a:p>
          <a:pPr>
            <a:defRPr sz="900" b="0" i="0" u="none" strike="noStrike" kern="1200" baseline="0">
              <a:solidFill>
                <a:srgbClr val="2C307E"/>
              </a:solidFill>
              <a:latin typeface="+mn-lt"/>
              <a:ea typeface="+mn-ea"/>
              <a:cs typeface="+mn-cs"/>
            </a:defRPr>
          </a:pPr>
          <a:endParaRPr lang="en-NL"/>
        </a:p>
      </c:txPr>
    </c:legend>
    <c:plotVisOnly val="1"/>
    <c:dispBlanksAs val="gap"/>
    <c:showDLblsOverMax val="0"/>
  </c:chart>
  <c:spPr>
    <a:noFill/>
    <a:ln w="9525" cap="flat" cmpd="sng" algn="ctr">
      <a:noFill/>
      <a:round/>
    </a:ln>
    <a:effectLst/>
  </c:spPr>
  <c:txPr>
    <a:bodyPr/>
    <a:lstStyle/>
    <a:p>
      <a:pPr>
        <a:defRPr>
          <a:solidFill>
            <a:srgbClr val="2C307E"/>
          </a:solidFill>
        </a:defRPr>
      </a:pPr>
      <a:endParaRPr lang="en-NL"/>
    </a:p>
  </c:txPr>
  <c:externalData r:id="rId3">
    <c:autoUpdate val="0"/>
  </c:externalData>
</c:chartSpace>
</file>

<file path=word/charts/chart10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rgbClr val="2C307E"/>
                </a:solidFill>
                <a:latin typeface="+mn-lt"/>
                <a:ea typeface="+mn-ea"/>
                <a:cs typeface="+mn-cs"/>
              </a:defRPr>
            </a:pPr>
            <a:r>
              <a:rPr lang="nl-NL" sz="1100"/>
              <a:t>Ben je bekend met opt-out? </a:t>
            </a:r>
          </a:p>
        </c:rich>
      </c:tx>
      <c:overlay val="0"/>
      <c:spPr>
        <a:noFill/>
        <a:ln>
          <a:noFill/>
        </a:ln>
        <a:effectLst/>
      </c:spPr>
      <c:txPr>
        <a:bodyPr rot="0" spcFirstLastPara="1" vertOverflow="ellipsis" vert="horz" wrap="square" anchor="ctr" anchorCtr="1"/>
        <a:lstStyle/>
        <a:p>
          <a:pPr>
            <a:defRPr sz="1100" b="0" i="0" u="none" strike="noStrike" kern="1200" spc="0" baseline="0">
              <a:solidFill>
                <a:srgbClr val="2C307E"/>
              </a:solidFill>
              <a:latin typeface="+mn-lt"/>
              <a:ea typeface="+mn-ea"/>
              <a:cs typeface="+mn-cs"/>
            </a:defRPr>
          </a:pPr>
          <a:endParaRPr lang="en-NL"/>
        </a:p>
      </c:txPr>
    </c:title>
    <c:autoTitleDeleted val="0"/>
    <c:plotArea>
      <c:layout>
        <c:manualLayout>
          <c:layoutTarget val="inner"/>
          <c:xMode val="edge"/>
          <c:yMode val="edge"/>
          <c:x val="0.1672126888012743"/>
          <c:y val="0.24215863817457442"/>
          <c:w val="0.78018090278170038"/>
          <c:h val="0.48929093932074141"/>
        </c:manualLayout>
      </c:layout>
      <c:barChart>
        <c:barDir val="col"/>
        <c:grouping val="stacked"/>
        <c:varyColors val="0"/>
        <c:ser>
          <c:idx val="0"/>
          <c:order val="0"/>
          <c:tx>
            <c:strRef>
              <c:f>Figuren!$E$794</c:f>
              <c:strCache>
                <c:ptCount val="1"/>
                <c:pt idx="0">
                  <c:v>Ja</c:v>
                </c:pt>
              </c:strCache>
            </c:strRef>
          </c:tx>
          <c:spPr>
            <a:solidFill>
              <a:srgbClr val="2C307E"/>
            </a:solidFill>
            <a:ln>
              <a:noFill/>
            </a:ln>
            <a:effectLst/>
          </c:spPr>
          <c:invertIfNegative val="0"/>
          <c:dLbls>
            <c:spPr>
              <a:noFill/>
              <a:ln>
                <a:noFill/>
              </a:ln>
              <a:effectLst/>
            </c:spPr>
            <c:txPr>
              <a:bodyPr rot="0" spcFirstLastPara="1" vertOverflow="ellipsis" vert="horz" wrap="square" anchor="ctr" anchorCtr="1"/>
              <a:lstStyle/>
              <a:p>
                <a:pPr>
                  <a:defRPr sz="800" b="1" i="0" u="none" strike="noStrike" kern="1200" baseline="0">
                    <a:solidFill>
                      <a:schemeClr val="bg1"/>
                    </a:solidFill>
                    <a:latin typeface="+mn-lt"/>
                    <a:ea typeface="+mn-ea"/>
                    <a:cs typeface="+mn-cs"/>
                  </a:defRPr>
                </a:pPr>
                <a:endParaRPr lang="en-N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Figuren!$F$793:$G$793</c:f>
              <c:numCache>
                <c:formatCode>General</c:formatCode>
                <c:ptCount val="2"/>
                <c:pt idx="0">
                  <c:v>2024</c:v>
                </c:pt>
                <c:pt idx="1">
                  <c:v>2025</c:v>
                </c:pt>
              </c:numCache>
            </c:numRef>
          </c:cat>
          <c:val>
            <c:numRef>
              <c:f>Figuren!$F$794:$G$794</c:f>
              <c:numCache>
                <c:formatCode>0%</c:formatCode>
                <c:ptCount val="2"/>
                <c:pt idx="0">
                  <c:v>0.13899204244031829</c:v>
                </c:pt>
                <c:pt idx="1">
                  <c:v>0.15135205891393502</c:v>
                </c:pt>
              </c:numCache>
            </c:numRef>
          </c:val>
          <c:extLst>
            <c:ext xmlns:c16="http://schemas.microsoft.com/office/drawing/2014/chart" uri="{C3380CC4-5D6E-409C-BE32-E72D297353CC}">
              <c16:uniqueId val="{00000000-0EFC-4256-90C6-7F5E6DCD62C7}"/>
            </c:ext>
          </c:extLst>
        </c:ser>
        <c:ser>
          <c:idx val="1"/>
          <c:order val="1"/>
          <c:tx>
            <c:strRef>
              <c:f>Figuren!$E$795</c:f>
              <c:strCache>
                <c:ptCount val="1"/>
                <c:pt idx="0">
                  <c:v>Nee</c:v>
                </c:pt>
              </c:strCache>
            </c:strRef>
          </c:tx>
          <c:spPr>
            <a:solidFill>
              <a:srgbClr val="08B466"/>
            </a:solidFill>
            <a:ln>
              <a:noFill/>
            </a:ln>
            <a:effectLst/>
          </c:spPr>
          <c:invertIfNegative val="0"/>
          <c:dLbls>
            <c:spPr>
              <a:noFill/>
              <a:ln>
                <a:noFill/>
              </a:ln>
              <a:effectLst/>
            </c:spPr>
            <c:txPr>
              <a:bodyPr rot="0" spcFirstLastPara="1" vertOverflow="ellipsis" vert="horz" wrap="square" anchor="ctr" anchorCtr="1"/>
              <a:lstStyle/>
              <a:p>
                <a:pPr>
                  <a:defRPr sz="800" b="1" i="0" u="none" strike="noStrike" kern="1200" baseline="0">
                    <a:solidFill>
                      <a:schemeClr val="bg1"/>
                    </a:solidFill>
                    <a:latin typeface="+mn-lt"/>
                    <a:ea typeface="+mn-ea"/>
                    <a:cs typeface="+mn-cs"/>
                  </a:defRPr>
                </a:pPr>
                <a:endParaRPr lang="en-N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Figuren!$F$793:$G$793</c:f>
              <c:numCache>
                <c:formatCode>General</c:formatCode>
                <c:ptCount val="2"/>
                <c:pt idx="0">
                  <c:v>2024</c:v>
                </c:pt>
                <c:pt idx="1">
                  <c:v>2025</c:v>
                </c:pt>
              </c:numCache>
            </c:numRef>
          </c:cat>
          <c:val>
            <c:numRef>
              <c:f>Figuren!$F$795:$G$795</c:f>
              <c:numCache>
                <c:formatCode>0%</c:formatCode>
                <c:ptCount val="2"/>
                <c:pt idx="0">
                  <c:v>0.86100795755968174</c:v>
                </c:pt>
                <c:pt idx="1">
                  <c:v>0.84864794108606501</c:v>
                </c:pt>
              </c:numCache>
            </c:numRef>
          </c:val>
          <c:extLst>
            <c:ext xmlns:c16="http://schemas.microsoft.com/office/drawing/2014/chart" uri="{C3380CC4-5D6E-409C-BE32-E72D297353CC}">
              <c16:uniqueId val="{00000001-0EFC-4256-90C6-7F5E6DCD62C7}"/>
            </c:ext>
          </c:extLst>
        </c:ser>
        <c:dLbls>
          <c:dLblPos val="ctr"/>
          <c:showLegendKey val="0"/>
          <c:showVal val="1"/>
          <c:showCatName val="0"/>
          <c:showSerName val="0"/>
          <c:showPercent val="0"/>
          <c:showBubbleSize val="0"/>
        </c:dLbls>
        <c:gapWidth val="150"/>
        <c:overlap val="100"/>
        <c:axId val="252171567"/>
        <c:axId val="252167727"/>
      </c:barChart>
      <c:catAx>
        <c:axId val="25217156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2C307E"/>
                </a:solidFill>
                <a:latin typeface="+mn-lt"/>
                <a:ea typeface="+mn-ea"/>
                <a:cs typeface="+mn-cs"/>
              </a:defRPr>
            </a:pPr>
            <a:endParaRPr lang="en-NL"/>
          </a:p>
        </c:txPr>
        <c:crossAx val="252167727"/>
        <c:crosses val="autoZero"/>
        <c:auto val="1"/>
        <c:lblAlgn val="ctr"/>
        <c:lblOffset val="100"/>
        <c:noMultiLvlLbl val="0"/>
      </c:catAx>
      <c:valAx>
        <c:axId val="252167727"/>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2C307E"/>
                </a:solidFill>
                <a:latin typeface="+mn-lt"/>
                <a:ea typeface="+mn-ea"/>
                <a:cs typeface="+mn-cs"/>
              </a:defRPr>
            </a:pPr>
            <a:endParaRPr lang="en-NL"/>
          </a:p>
        </c:txPr>
        <c:crossAx val="252171567"/>
        <c:crosses val="autoZero"/>
        <c:crossBetween val="between"/>
        <c:majorUnit val="0.25"/>
      </c:valAx>
      <c:spPr>
        <a:noFill/>
        <a:ln>
          <a:noFill/>
        </a:ln>
        <a:effectLst/>
      </c:spPr>
    </c:plotArea>
    <c:legend>
      <c:legendPos val="b"/>
      <c:layout>
        <c:manualLayout>
          <c:xMode val="edge"/>
          <c:yMode val="edge"/>
          <c:x val="0.3898428585953298"/>
          <c:y val="0.87776082498923413"/>
          <c:w val="0.23944350930308747"/>
          <c:h val="0.12223917501076581"/>
        </c:manualLayout>
      </c:layout>
      <c:overlay val="0"/>
      <c:spPr>
        <a:noFill/>
        <a:ln>
          <a:noFill/>
        </a:ln>
        <a:effectLst/>
      </c:spPr>
      <c:txPr>
        <a:bodyPr rot="0" spcFirstLastPara="1" vertOverflow="ellipsis" vert="horz" wrap="square" anchor="ctr" anchorCtr="1"/>
        <a:lstStyle/>
        <a:p>
          <a:pPr>
            <a:defRPr sz="900" b="0" i="0" u="none" strike="noStrike" kern="1200" baseline="0">
              <a:solidFill>
                <a:srgbClr val="2C307E"/>
              </a:solidFill>
              <a:latin typeface="+mn-lt"/>
              <a:ea typeface="+mn-ea"/>
              <a:cs typeface="+mn-cs"/>
            </a:defRPr>
          </a:pPr>
          <a:endParaRPr lang="en-NL"/>
        </a:p>
      </c:txPr>
    </c:legend>
    <c:plotVisOnly val="1"/>
    <c:dispBlanksAs val="gap"/>
    <c:showDLblsOverMax val="0"/>
  </c:chart>
  <c:spPr>
    <a:noFill/>
    <a:ln w="9525" cap="flat" cmpd="sng" algn="ctr">
      <a:noFill/>
      <a:round/>
    </a:ln>
    <a:effectLst/>
  </c:spPr>
  <c:txPr>
    <a:bodyPr/>
    <a:lstStyle/>
    <a:p>
      <a:pPr>
        <a:defRPr>
          <a:solidFill>
            <a:srgbClr val="2C307E"/>
          </a:solidFill>
        </a:defRPr>
      </a:pPr>
      <a:endParaRPr lang="en-NL"/>
    </a:p>
  </c:txPr>
  <c:externalData r:id="rId3">
    <c:autoUpdate val="0"/>
  </c:externalData>
</c:chartSpace>
</file>

<file path=word/charts/chart10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rgbClr val="2C307E"/>
                </a:solidFill>
                <a:latin typeface="+mn-lt"/>
                <a:ea typeface="+mn-ea"/>
                <a:cs typeface="+mn-cs"/>
              </a:defRPr>
            </a:pPr>
            <a:r>
              <a:rPr lang="nl-NL" sz="1100"/>
              <a:t>Heb je je weleens afgemeld voor een slim laden sessie aan de openbare laadpaal? </a:t>
            </a:r>
          </a:p>
        </c:rich>
      </c:tx>
      <c:overlay val="0"/>
      <c:spPr>
        <a:noFill/>
        <a:ln>
          <a:noFill/>
        </a:ln>
        <a:effectLst/>
      </c:spPr>
      <c:txPr>
        <a:bodyPr rot="0" spcFirstLastPara="1" vertOverflow="ellipsis" vert="horz" wrap="square" anchor="ctr" anchorCtr="1"/>
        <a:lstStyle/>
        <a:p>
          <a:pPr>
            <a:defRPr sz="1100" b="0" i="0" u="none" strike="noStrike" kern="1200" spc="0" baseline="0">
              <a:solidFill>
                <a:srgbClr val="2C307E"/>
              </a:solidFill>
              <a:latin typeface="+mn-lt"/>
              <a:ea typeface="+mn-ea"/>
              <a:cs typeface="+mn-cs"/>
            </a:defRPr>
          </a:pPr>
          <a:endParaRPr lang="en-NL"/>
        </a:p>
      </c:txPr>
    </c:title>
    <c:autoTitleDeleted val="0"/>
    <c:plotArea>
      <c:layout>
        <c:manualLayout>
          <c:layoutTarget val="inner"/>
          <c:xMode val="edge"/>
          <c:yMode val="edge"/>
          <c:x val="0.1672126888012743"/>
          <c:y val="0.31916357861302275"/>
          <c:w val="0.78018090278170038"/>
          <c:h val="0.43171823612043203"/>
        </c:manualLayout>
      </c:layout>
      <c:barChart>
        <c:barDir val="col"/>
        <c:grouping val="clustered"/>
        <c:varyColors val="0"/>
        <c:ser>
          <c:idx val="1"/>
          <c:order val="0"/>
          <c:tx>
            <c:strRef>
              <c:f>Figuren!$I$781</c:f>
              <c:strCache>
                <c:ptCount val="1"/>
                <c:pt idx="0">
                  <c:v>2024</c:v>
                </c:pt>
              </c:strCache>
            </c:strRef>
          </c:tx>
          <c:spPr>
            <a:solidFill>
              <a:srgbClr val="2C307E"/>
            </a:solidFill>
            <a:ln>
              <a:noFill/>
            </a:ln>
            <a:effectLst/>
          </c:spPr>
          <c:invertIfNegative val="0"/>
          <c:dLbls>
            <c:dLbl>
              <c:idx val="0"/>
              <c:layout>
                <c:manualLayout>
                  <c:x val="-1.4347202295552367E-2"/>
                  <c:y val="4.830917874396135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0ED-4EA6-9F2B-116C1F1ED506}"/>
                </c:ext>
              </c:extLst>
            </c:dLbl>
            <c:dLbl>
              <c:idx val="1"/>
              <c:layout>
                <c:manualLayout>
                  <c:x val="-1.4347202295552411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0ED-4EA6-9F2B-116C1F1ED506}"/>
                </c:ext>
              </c:extLst>
            </c:dLbl>
            <c:dLbl>
              <c:idx val="2"/>
              <c:layout>
                <c:manualLayout>
                  <c:x val="-9.5648015303682454E-3"/>
                  <c:y val="4.830917874396135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0ED-4EA6-9F2B-116C1F1ED506}"/>
                </c:ext>
              </c:extLst>
            </c:dLbl>
            <c:dLbl>
              <c:idx val="3"/>
              <c:layout>
                <c:manualLayout>
                  <c:x val="-9.5648015303683321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0ED-4EA6-9F2B-116C1F1ED506}"/>
                </c:ext>
              </c:extLst>
            </c:dLbl>
            <c:dLbl>
              <c:idx val="4"/>
              <c:layout>
                <c:manualLayout>
                  <c:x val="-9.5648015303684206E-3"/>
                  <c:y val="4.8309178743962235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10ED-4EA6-9F2B-116C1F1ED506}"/>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rgbClr val="2C307E"/>
                    </a:solidFill>
                    <a:latin typeface="+mn-lt"/>
                    <a:ea typeface="+mn-ea"/>
                    <a:cs typeface="+mn-cs"/>
                  </a:defRPr>
                </a:pPr>
                <a:endParaRPr lang="en-N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Figuren!$E$782:$E$786</c:f>
              <c:strCache>
                <c:ptCount val="5"/>
                <c:pt idx="0">
                  <c:v>Nooit</c:v>
                </c:pt>
                <c:pt idx="1">
                  <c:v>Zelden</c:v>
                </c:pt>
                <c:pt idx="2">
                  <c:v>Soms</c:v>
                </c:pt>
                <c:pt idx="3">
                  <c:v>Vaak</c:v>
                </c:pt>
                <c:pt idx="4">
                  <c:v>Heel vaak</c:v>
                </c:pt>
              </c:strCache>
            </c:strRef>
          </c:cat>
          <c:val>
            <c:numRef>
              <c:f>Figuren!$I$782:$I$786</c:f>
              <c:numCache>
                <c:formatCode>0%</c:formatCode>
                <c:ptCount val="5"/>
                <c:pt idx="0">
                  <c:v>0.82375478927203061</c:v>
                </c:pt>
                <c:pt idx="1">
                  <c:v>7.2796934865900387E-2</c:v>
                </c:pt>
                <c:pt idx="2">
                  <c:v>7.2796934865900387E-2</c:v>
                </c:pt>
                <c:pt idx="3">
                  <c:v>1.9157088122605363E-2</c:v>
                </c:pt>
                <c:pt idx="4">
                  <c:v>1.1494252873563218E-2</c:v>
                </c:pt>
              </c:numCache>
            </c:numRef>
          </c:val>
          <c:extLst>
            <c:ext xmlns:c16="http://schemas.microsoft.com/office/drawing/2014/chart" uri="{C3380CC4-5D6E-409C-BE32-E72D297353CC}">
              <c16:uniqueId val="{00000000-EFC3-492D-B1E0-1314C373CE59}"/>
            </c:ext>
          </c:extLst>
        </c:ser>
        <c:ser>
          <c:idx val="0"/>
          <c:order val="1"/>
          <c:tx>
            <c:strRef>
              <c:f>Figuren!$H$781</c:f>
              <c:strCache>
                <c:ptCount val="1"/>
                <c:pt idx="0">
                  <c:v>2025</c:v>
                </c:pt>
              </c:strCache>
            </c:strRef>
          </c:tx>
          <c:spPr>
            <a:solidFill>
              <a:srgbClr val="08B466"/>
            </a:solidFill>
            <a:ln>
              <a:noFill/>
            </a:ln>
            <a:effectLst/>
          </c:spPr>
          <c:invertIfNegative val="0"/>
          <c:dLbls>
            <c:dLbl>
              <c:idx val="0"/>
              <c:layout>
                <c:manualLayout>
                  <c:x val="1.9129603060736491E-2"/>
                  <c:y val="9.6618357487922701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0ED-4EA6-9F2B-116C1F1ED506}"/>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rgbClr val="2C307E"/>
                    </a:solidFill>
                    <a:latin typeface="+mn-lt"/>
                    <a:ea typeface="+mn-ea"/>
                    <a:cs typeface="+mn-cs"/>
                  </a:defRPr>
                </a:pPr>
                <a:endParaRPr lang="en-N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Figuren!$E$782:$E$786</c:f>
              <c:strCache>
                <c:ptCount val="5"/>
                <c:pt idx="0">
                  <c:v>Nooit</c:v>
                </c:pt>
                <c:pt idx="1">
                  <c:v>Zelden</c:v>
                </c:pt>
                <c:pt idx="2">
                  <c:v>Soms</c:v>
                </c:pt>
                <c:pt idx="3">
                  <c:v>Vaak</c:v>
                </c:pt>
                <c:pt idx="4">
                  <c:v>Heel vaak</c:v>
                </c:pt>
              </c:strCache>
            </c:strRef>
          </c:cat>
          <c:val>
            <c:numRef>
              <c:f>Figuren!$H$782:$H$786</c:f>
              <c:numCache>
                <c:formatCode>0%</c:formatCode>
                <c:ptCount val="5"/>
                <c:pt idx="0">
                  <c:v>0.8350719424460431</c:v>
                </c:pt>
                <c:pt idx="1">
                  <c:v>7.5308324768756429E-2</c:v>
                </c:pt>
                <c:pt idx="2">
                  <c:v>5.7399794450154161E-2</c:v>
                </c:pt>
                <c:pt idx="3">
                  <c:v>1.4311408016443988E-2</c:v>
                </c:pt>
                <c:pt idx="4">
                  <c:v>1.7908530318602262E-2</c:v>
                </c:pt>
              </c:numCache>
            </c:numRef>
          </c:val>
          <c:extLst>
            <c:ext xmlns:c16="http://schemas.microsoft.com/office/drawing/2014/chart" uri="{C3380CC4-5D6E-409C-BE32-E72D297353CC}">
              <c16:uniqueId val="{00000001-EFC3-492D-B1E0-1314C373CE59}"/>
            </c:ext>
          </c:extLst>
        </c:ser>
        <c:dLbls>
          <c:dLblPos val="outEnd"/>
          <c:showLegendKey val="0"/>
          <c:showVal val="1"/>
          <c:showCatName val="0"/>
          <c:showSerName val="0"/>
          <c:showPercent val="0"/>
          <c:showBubbleSize val="0"/>
        </c:dLbls>
        <c:gapWidth val="219"/>
        <c:overlap val="-27"/>
        <c:axId val="1866269359"/>
        <c:axId val="1866269839"/>
      </c:barChart>
      <c:catAx>
        <c:axId val="186626935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2C307E"/>
                </a:solidFill>
                <a:latin typeface="+mn-lt"/>
                <a:ea typeface="+mn-ea"/>
                <a:cs typeface="+mn-cs"/>
              </a:defRPr>
            </a:pPr>
            <a:endParaRPr lang="en-NL"/>
          </a:p>
        </c:txPr>
        <c:crossAx val="1866269839"/>
        <c:crosses val="autoZero"/>
        <c:auto val="1"/>
        <c:lblAlgn val="ctr"/>
        <c:lblOffset val="100"/>
        <c:noMultiLvlLbl val="0"/>
      </c:catAx>
      <c:valAx>
        <c:axId val="1866269839"/>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2C307E"/>
                </a:solidFill>
                <a:latin typeface="+mn-lt"/>
                <a:ea typeface="+mn-ea"/>
                <a:cs typeface="+mn-cs"/>
              </a:defRPr>
            </a:pPr>
            <a:endParaRPr lang="en-NL"/>
          </a:p>
        </c:txPr>
        <c:crossAx val="186626935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rgbClr val="2C307E"/>
              </a:solidFill>
              <a:latin typeface="+mn-lt"/>
              <a:ea typeface="+mn-ea"/>
              <a:cs typeface="+mn-cs"/>
            </a:defRPr>
          </a:pPr>
          <a:endParaRPr lang="en-NL"/>
        </a:p>
      </c:txPr>
    </c:legend>
    <c:plotVisOnly val="1"/>
    <c:dispBlanksAs val="gap"/>
    <c:showDLblsOverMax val="0"/>
  </c:chart>
  <c:spPr>
    <a:noFill/>
    <a:ln w="9525" cap="flat" cmpd="sng" algn="ctr">
      <a:noFill/>
      <a:round/>
    </a:ln>
    <a:effectLst/>
  </c:spPr>
  <c:txPr>
    <a:bodyPr/>
    <a:lstStyle/>
    <a:p>
      <a:pPr>
        <a:defRPr>
          <a:solidFill>
            <a:srgbClr val="2C307E"/>
          </a:solidFill>
        </a:defRPr>
      </a:pPr>
      <a:endParaRPr lang="en-NL"/>
    </a:p>
  </c:txPr>
  <c:externalData r:id="rId3">
    <c:autoUpdate val="0"/>
  </c:externalData>
</c:chartSpace>
</file>

<file path=word/charts/chart10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rgbClr val="2C307E"/>
                </a:solidFill>
                <a:latin typeface="+mn-lt"/>
                <a:ea typeface="+mn-ea"/>
                <a:cs typeface="+mn-cs"/>
              </a:defRPr>
            </a:pPr>
            <a:r>
              <a:rPr lang="nl-NL" sz="1100">
                <a:solidFill>
                  <a:srgbClr val="2C307E"/>
                </a:solidFill>
              </a:rPr>
              <a:t>Hoe vaak verwacht je je af te melden voor een slim laden sessie aan de openbare laadpaal?</a:t>
            </a:r>
          </a:p>
        </c:rich>
      </c:tx>
      <c:overlay val="0"/>
      <c:spPr>
        <a:noFill/>
        <a:ln>
          <a:noFill/>
        </a:ln>
        <a:effectLst/>
      </c:spPr>
      <c:txPr>
        <a:bodyPr rot="0" spcFirstLastPara="1" vertOverflow="ellipsis" vert="horz" wrap="square" anchor="ctr" anchorCtr="1"/>
        <a:lstStyle/>
        <a:p>
          <a:pPr>
            <a:defRPr sz="1100" b="0" i="0" u="none" strike="noStrike" kern="1200" spc="0" baseline="0">
              <a:solidFill>
                <a:srgbClr val="2C307E"/>
              </a:solidFill>
              <a:latin typeface="+mn-lt"/>
              <a:ea typeface="+mn-ea"/>
              <a:cs typeface="+mn-cs"/>
            </a:defRPr>
          </a:pPr>
          <a:endParaRPr lang="en-NL"/>
        </a:p>
      </c:txPr>
    </c:title>
    <c:autoTitleDeleted val="0"/>
    <c:plotArea>
      <c:layout>
        <c:manualLayout>
          <c:layoutTarget val="inner"/>
          <c:xMode val="edge"/>
          <c:yMode val="edge"/>
          <c:x val="0.14540494131203471"/>
          <c:y val="0.31061308603812465"/>
          <c:w val="0.80198865027093991"/>
          <c:h val="0.44694268316924074"/>
        </c:manualLayout>
      </c:layout>
      <c:barChart>
        <c:barDir val="col"/>
        <c:grouping val="clustered"/>
        <c:varyColors val="0"/>
        <c:ser>
          <c:idx val="0"/>
          <c:order val="0"/>
          <c:tx>
            <c:strRef>
              <c:f>Figuren!$H$806</c:f>
              <c:strCache>
                <c:ptCount val="1"/>
                <c:pt idx="0">
                  <c:v>2024</c:v>
                </c:pt>
              </c:strCache>
            </c:strRef>
          </c:tx>
          <c:spPr>
            <a:solidFill>
              <a:srgbClr val="2C307E"/>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rgbClr val="2C307E"/>
                    </a:solidFill>
                    <a:latin typeface="+mn-lt"/>
                    <a:ea typeface="+mn-ea"/>
                    <a:cs typeface="+mn-cs"/>
                  </a:defRPr>
                </a:pPr>
                <a:endParaRPr lang="en-N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Figuren!$E$807:$E$811</c:f>
              <c:strCache>
                <c:ptCount val="5"/>
                <c:pt idx="0">
                  <c:v>Nooit</c:v>
                </c:pt>
                <c:pt idx="1">
                  <c:v>Zelden</c:v>
                </c:pt>
                <c:pt idx="2">
                  <c:v>Soms</c:v>
                </c:pt>
                <c:pt idx="3">
                  <c:v>Vaak</c:v>
                </c:pt>
                <c:pt idx="4">
                  <c:v>Heel vaak</c:v>
                </c:pt>
              </c:strCache>
            </c:strRef>
          </c:cat>
          <c:val>
            <c:numRef>
              <c:f>Figuren!$H$807:$H$811</c:f>
              <c:numCache>
                <c:formatCode>0%</c:formatCode>
                <c:ptCount val="5"/>
                <c:pt idx="0">
                  <c:v>0.351132686084142</c:v>
                </c:pt>
                <c:pt idx="1">
                  <c:v>0.27022653721682899</c:v>
                </c:pt>
                <c:pt idx="2">
                  <c:v>0.28640776699029125</c:v>
                </c:pt>
                <c:pt idx="3">
                  <c:v>6.3646170442286903E-2</c:v>
                </c:pt>
                <c:pt idx="4">
                  <c:v>2.8586839266450916E-2</c:v>
                </c:pt>
              </c:numCache>
            </c:numRef>
          </c:val>
          <c:extLst>
            <c:ext xmlns:c16="http://schemas.microsoft.com/office/drawing/2014/chart" uri="{C3380CC4-5D6E-409C-BE32-E72D297353CC}">
              <c16:uniqueId val="{00000000-EE5A-452F-8F94-EE60C7910974}"/>
            </c:ext>
          </c:extLst>
        </c:ser>
        <c:ser>
          <c:idx val="1"/>
          <c:order val="1"/>
          <c:tx>
            <c:strRef>
              <c:f>Figuren!$I$806</c:f>
              <c:strCache>
                <c:ptCount val="1"/>
                <c:pt idx="0">
                  <c:v>2025</c:v>
                </c:pt>
              </c:strCache>
            </c:strRef>
          </c:tx>
          <c:spPr>
            <a:solidFill>
              <a:srgbClr val="08B46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rgbClr val="2C307E"/>
                    </a:solidFill>
                    <a:latin typeface="+mn-lt"/>
                    <a:ea typeface="+mn-ea"/>
                    <a:cs typeface="+mn-cs"/>
                  </a:defRPr>
                </a:pPr>
                <a:endParaRPr lang="en-N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Figuren!$E$807:$E$811</c:f>
              <c:strCache>
                <c:ptCount val="5"/>
                <c:pt idx="0">
                  <c:v>Nooit</c:v>
                </c:pt>
                <c:pt idx="1">
                  <c:v>Zelden</c:v>
                </c:pt>
                <c:pt idx="2">
                  <c:v>Soms</c:v>
                </c:pt>
                <c:pt idx="3">
                  <c:v>Vaak</c:v>
                </c:pt>
                <c:pt idx="4">
                  <c:v>Heel vaak</c:v>
                </c:pt>
              </c:strCache>
            </c:strRef>
          </c:cat>
          <c:val>
            <c:numRef>
              <c:f>Figuren!$I$807:$I$811</c:f>
              <c:numCache>
                <c:formatCode>0%</c:formatCode>
                <c:ptCount val="5"/>
                <c:pt idx="0">
                  <c:v>0.13014489006358693</c:v>
                </c:pt>
                <c:pt idx="1">
                  <c:v>0.35556720677238951</c:v>
                </c:pt>
                <c:pt idx="2">
                  <c:v>0.33977342373400748</c:v>
                </c:pt>
                <c:pt idx="3">
                  <c:v>0.10614896958553589</c:v>
                </c:pt>
                <c:pt idx="4">
                  <c:v>6.8365509844480199E-2</c:v>
                </c:pt>
              </c:numCache>
            </c:numRef>
          </c:val>
          <c:extLst>
            <c:ext xmlns:c16="http://schemas.microsoft.com/office/drawing/2014/chart" uri="{C3380CC4-5D6E-409C-BE32-E72D297353CC}">
              <c16:uniqueId val="{00000001-EE5A-452F-8F94-EE60C7910974}"/>
            </c:ext>
          </c:extLst>
        </c:ser>
        <c:dLbls>
          <c:dLblPos val="outEnd"/>
          <c:showLegendKey val="0"/>
          <c:showVal val="1"/>
          <c:showCatName val="0"/>
          <c:showSerName val="0"/>
          <c:showPercent val="0"/>
          <c:showBubbleSize val="0"/>
        </c:dLbls>
        <c:gapWidth val="219"/>
        <c:overlap val="-27"/>
        <c:axId val="1625052543"/>
        <c:axId val="1625050623"/>
      </c:barChart>
      <c:catAx>
        <c:axId val="162505254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2C307E"/>
                </a:solidFill>
                <a:latin typeface="+mn-lt"/>
                <a:ea typeface="+mn-ea"/>
                <a:cs typeface="+mn-cs"/>
              </a:defRPr>
            </a:pPr>
            <a:endParaRPr lang="en-NL"/>
          </a:p>
        </c:txPr>
        <c:crossAx val="1625050623"/>
        <c:crosses val="autoZero"/>
        <c:auto val="1"/>
        <c:lblAlgn val="ctr"/>
        <c:lblOffset val="100"/>
        <c:noMultiLvlLbl val="0"/>
      </c:catAx>
      <c:valAx>
        <c:axId val="1625050623"/>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2C307E"/>
                </a:solidFill>
                <a:latin typeface="+mn-lt"/>
                <a:ea typeface="+mn-ea"/>
                <a:cs typeface="+mn-cs"/>
              </a:defRPr>
            </a:pPr>
            <a:endParaRPr lang="en-NL"/>
          </a:p>
        </c:txPr>
        <c:crossAx val="162505254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rgbClr val="2C307E"/>
              </a:solidFill>
              <a:latin typeface="+mn-lt"/>
              <a:ea typeface="+mn-ea"/>
              <a:cs typeface="+mn-cs"/>
            </a:defRPr>
          </a:pPr>
          <a:endParaRPr lang="en-NL"/>
        </a:p>
      </c:txPr>
    </c:legend>
    <c:plotVisOnly val="1"/>
    <c:dispBlanksAs val="gap"/>
    <c:showDLblsOverMax val="0"/>
  </c:chart>
  <c:spPr>
    <a:noFill/>
    <a:ln w="9525" cap="flat" cmpd="sng" algn="ctr">
      <a:noFill/>
      <a:round/>
    </a:ln>
    <a:effectLst/>
  </c:spPr>
  <c:txPr>
    <a:bodyPr/>
    <a:lstStyle/>
    <a:p>
      <a:pPr>
        <a:defRPr/>
      </a:pPr>
      <a:endParaRPr lang="en-NL"/>
    </a:p>
  </c:txPr>
  <c:externalData r:id="rId3">
    <c:autoUpdate val="0"/>
  </c:externalData>
</c:chartSpace>
</file>

<file path=word/charts/chart10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rgbClr val="2C307E"/>
                </a:solidFill>
                <a:latin typeface="+mn-lt"/>
                <a:ea typeface="+mn-ea"/>
                <a:cs typeface="+mn-cs"/>
              </a:defRPr>
            </a:pPr>
            <a:r>
              <a:rPr lang="nl-NL" sz="1100"/>
              <a:t>Als er kosten zijn verbonden aan het afmelden voor de slimladensessie, bijvoorbeeld 5 of 10 cent extra per kWh, hoe vaak verwacht je gebruik te gaan maken van deze optie aan de openbare laadpaal?</a:t>
            </a:r>
          </a:p>
        </c:rich>
      </c:tx>
      <c:overlay val="0"/>
      <c:spPr>
        <a:noFill/>
        <a:ln>
          <a:noFill/>
        </a:ln>
        <a:effectLst/>
      </c:spPr>
      <c:txPr>
        <a:bodyPr rot="0" spcFirstLastPara="1" vertOverflow="ellipsis" vert="horz" wrap="square" anchor="ctr" anchorCtr="1"/>
        <a:lstStyle/>
        <a:p>
          <a:pPr>
            <a:defRPr sz="1100" b="0" i="0" u="none" strike="noStrike" kern="1200" spc="0" baseline="0">
              <a:solidFill>
                <a:srgbClr val="2C307E"/>
              </a:solidFill>
              <a:latin typeface="+mn-lt"/>
              <a:ea typeface="+mn-ea"/>
              <a:cs typeface="+mn-cs"/>
            </a:defRPr>
          </a:pPr>
          <a:endParaRPr lang="en-NL"/>
        </a:p>
      </c:txPr>
    </c:title>
    <c:autoTitleDeleted val="0"/>
    <c:plotArea>
      <c:layout>
        <c:manualLayout>
          <c:layoutTarget val="inner"/>
          <c:xMode val="edge"/>
          <c:yMode val="edge"/>
          <c:x val="0.14540494131203471"/>
          <c:y val="0.39723850955173073"/>
          <c:w val="0.80198865027093991"/>
          <c:h val="0.3594771466252546"/>
        </c:manualLayout>
      </c:layout>
      <c:barChart>
        <c:barDir val="col"/>
        <c:grouping val="clustered"/>
        <c:varyColors val="0"/>
        <c:ser>
          <c:idx val="1"/>
          <c:order val="0"/>
          <c:tx>
            <c:strRef>
              <c:f>Figuren!$I$855</c:f>
              <c:strCache>
                <c:ptCount val="1"/>
                <c:pt idx="0">
                  <c:v>Geen extra kosten</c:v>
                </c:pt>
              </c:strCache>
            </c:strRef>
          </c:tx>
          <c:spPr>
            <a:solidFill>
              <a:srgbClr val="2C307E"/>
            </a:solidFill>
            <a:ln>
              <a:noFill/>
            </a:ln>
            <a:effectLst/>
          </c:spPr>
          <c:invertIfNegative val="0"/>
          <c:dLbls>
            <c:dLbl>
              <c:idx val="1"/>
              <c:layout>
                <c:manualLayout>
                  <c:x val="-4.782400765184166E-3"/>
                  <c:y val="1.189296333002965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2AF-444D-AB90-A21B4FCFB773}"/>
                </c:ext>
              </c:extLst>
            </c:dLbl>
            <c:dLbl>
              <c:idx val="2"/>
              <c:layout>
                <c:manualLayout>
                  <c:x val="4.7824007651840351E-3"/>
                  <c:y val="7.9286422200198214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02AF-444D-AB90-A21B4FCFB773}"/>
                </c:ext>
              </c:extLst>
            </c:dLbl>
            <c:spPr>
              <a:noFill/>
              <a:ln>
                <a:noFill/>
              </a:ln>
              <a:effectLst/>
            </c:spPr>
            <c:txPr>
              <a:bodyPr rot="0" spcFirstLastPara="1" vertOverflow="ellipsis" vert="horz" wrap="square" anchor="ctr" anchorCtr="1"/>
              <a:lstStyle/>
              <a:p>
                <a:pPr>
                  <a:defRPr sz="800" b="1" i="0" u="none" strike="noStrike" kern="1200" baseline="0">
                    <a:solidFill>
                      <a:srgbClr val="2C307E"/>
                    </a:solidFill>
                    <a:latin typeface="+mn-lt"/>
                    <a:ea typeface="+mn-ea"/>
                    <a:cs typeface="+mn-cs"/>
                  </a:defRPr>
                </a:pPr>
                <a:endParaRPr lang="en-N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Figuren!$E$856:$E$860</c:f>
              <c:strCache>
                <c:ptCount val="5"/>
                <c:pt idx="0">
                  <c:v>Nooit</c:v>
                </c:pt>
                <c:pt idx="1">
                  <c:v>Zelden</c:v>
                </c:pt>
                <c:pt idx="2">
                  <c:v>Soms</c:v>
                </c:pt>
                <c:pt idx="3">
                  <c:v>Vaak</c:v>
                </c:pt>
                <c:pt idx="4">
                  <c:v>Heel vaak</c:v>
                </c:pt>
              </c:strCache>
            </c:strRef>
          </c:cat>
          <c:val>
            <c:numRef>
              <c:f>Figuren!$I$856:$I$860</c:f>
              <c:numCache>
                <c:formatCode>0%</c:formatCode>
                <c:ptCount val="5"/>
                <c:pt idx="0">
                  <c:v>0.13014489006358693</c:v>
                </c:pt>
                <c:pt idx="1">
                  <c:v>0.35556720677238951</c:v>
                </c:pt>
                <c:pt idx="2">
                  <c:v>0.33977342373400748</c:v>
                </c:pt>
                <c:pt idx="3">
                  <c:v>0.10614896958553589</c:v>
                </c:pt>
                <c:pt idx="4">
                  <c:v>6.8365509844480199E-2</c:v>
                </c:pt>
              </c:numCache>
            </c:numRef>
          </c:val>
          <c:extLst>
            <c:ext xmlns:c16="http://schemas.microsoft.com/office/drawing/2014/chart" uri="{C3380CC4-5D6E-409C-BE32-E72D297353CC}">
              <c16:uniqueId val="{00000000-02AF-444D-AB90-A21B4FCFB773}"/>
            </c:ext>
          </c:extLst>
        </c:ser>
        <c:ser>
          <c:idx val="0"/>
          <c:order val="1"/>
          <c:tx>
            <c:strRef>
              <c:f>Figuren!$F$855</c:f>
              <c:strCache>
                <c:ptCount val="1"/>
                <c:pt idx="0">
                  <c:v>5 cent extra kosten</c:v>
                </c:pt>
              </c:strCache>
            </c:strRef>
          </c:tx>
          <c:spPr>
            <a:solidFill>
              <a:srgbClr val="08B466"/>
            </a:solidFill>
            <a:ln>
              <a:noFill/>
            </a:ln>
            <a:effectLst/>
          </c:spPr>
          <c:invertIfNegative val="0"/>
          <c:dLbls>
            <c:dLbl>
              <c:idx val="2"/>
              <c:layout>
                <c:manualLayout>
                  <c:x val="1.4347202295552367E-2"/>
                  <c:y val="7.9286422200198214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2AF-444D-AB90-A21B4FCFB773}"/>
                </c:ext>
              </c:extLst>
            </c:dLbl>
            <c:dLbl>
              <c:idx val="3"/>
              <c:layout>
                <c:manualLayout>
                  <c:x val="0"/>
                  <c:y val="7.9286422200198214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02AF-444D-AB90-A21B4FCFB773}"/>
                </c:ext>
              </c:extLst>
            </c:dLbl>
            <c:spPr>
              <a:noFill/>
              <a:ln>
                <a:noFill/>
              </a:ln>
              <a:effectLst/>
            </c:spPr>
            <c:txPr>
              <a:bodyPr rot="0" spcFirstLastPara="1" vertOverflow="ellipsis" vert="horz" wrap="square" anchor="ctr" anchorCtr="1"/>
              <a:lstStyle/>
              <a:p>
                <a:pPr>
                  <a:defRPr sz="800" b="1" i="0" u="none" strike="noStrike" kern="1200" baseline="0">
                    <a:solidFill>
                      <a:srgbClr val="2C307E"/>
                    </a:solidFill>
                    <a:latin typeface="+mn-lt"/>
                    <a:ea typeface="+mn-ea"/>
                    <a:cs typeface="+mn-cs"/>
                  </a:defRPr>
                </a:pPr>
                <a:endParaRPr lang="en-N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Figuren!$E$856:$E$860</c:f>
              <c:strCache>
                <c:ptCount val="5"/>
                <c:pt idx="0">
                  <c:v>Nooit</c:v>
                </c:pt>
                <c:pt idx="1">
                  <c:v>Zelden</c:v>
                </c:pt>
                <c:pt idx="2">
                  <c:v>Soms</c:v>
                </c:pt>
                <c:pt idx="3">
                  <c:v>Vaak</c:v>
                </c:pt>
                <c:pt idx="4">
                  <c:v>Heel vaak</c:v>
                </c:pt>
              </c:strCache>
            </c:strRef>
          </c:cat>
          <c:val>
            <c:numRef>
              <c:f>Figuren!$F$856:$F$860</c:f>
              <c:numCache>
                <c:formatCode>0%</c:formatCode>
                <c:ptCount val="5"/>
                <c:pt idx="0">
                  <c:v>0.25054466230936817</c:v>
                </c:pt>
                <c:pt idx="1">
                  <c:v>0.37145969498910675</c:v>
                </c:pt>
                <c:pt idx="2">
                  <c:v>0.26688453159041392</c:v>
                </c:pt>
                <c:pt idx="3">
                  <c:v>7.2984749455337686E-2</c:v>
                </c:pt>
                <c:pt idx="4">
                  <c:v>3.8126361655773419E-2</c:v>
                </c:pt>
              </c:numCache>
            </c:numRef>
          </c:val>
          <c:extLst>
            <c:ext xmlns:c16="http://schemas.microsoft.com/office/drawing/2014/chart" uri="{C3380CC4-5D6E-409C-BE32-E72D297353CC}">
              <c16:uniqueId val="{00000001-02AF-444D-AB90-A21B4FCFB773}"/>
            </c:ext>
          </c:extLst>
        </c:ser>
        <c:ser>
          <c:idx val="2"/>
          <c:order val="2"/>
          <c:tx>
            <c:strRef>
              <c:f>Figuren!$H$855</c:f>
              <c:strCache>
                <c:ptCount val="1"/>
                <c:pt idx="0">
                  <c:v>10 extra kosten</c:v>
                </c:pt>
              </c:strCache>
            </c:strRef>
          </c:tx>
          <c:spPr>
            <a:solidFill>
              <a:srgbClr val="C9C743"/>
            </a:solidFill>
            <a:ln>
              <a:noFill/>
            </a:ln>
            <a:effectLst/>
          </c:spPr>
          <c:invertIfNegative val="0"/>
          <c:dLbls>
            <c:dLbl>
              <c:idx val="1"/>
              <c:layout>
                <c:manualLayout>
                  <c:x val="4.7824007651841227E-3"/>
                  <c:y val="-7.9286422200198214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02AF-444D-AB90-A21B4FCFB773}"/>
                </c:ext>
              </c:extLst>
            </c:dLbl>
            <c:dLbl>
              <c:idx val="2"/>
              <c:layout>
                <c:manualLayout>
                  <c:x val="1.4347202295552367E-2"/>
                  <c:y val="-3.9643211100099107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2AF-444D-AB90-A21B4FCFB773}"/>
                </c:ext>
              </c:extLst>
            </c:dLbl>
            <c:dLbl>
              <c:idx val="3"/>
              <c:layout>
                <c:manualLayout>
                  <c:x val="1.434720229555228E-2"/>
                  <c:y val="1.189296333002973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02AF-444D-AB90-A21B4FCFB773}"/>
                </c:ext>
              </c:extLst>
            </c:dLbl>
            <c:dLbl>
              <c:idx val="4"/>
              <c:layout>
                <c:manualLayout>
                  <c:x val="1.4347202295552367E-2"/>
                  <c:y val="7.9286422200198214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02AF-444D-AB90-A21B4FCFB773}"/>
                </c:ext>
              </c:extLst>
            </c:dLbl>
            <c:spPr>
              <a:noFill/>
              <a:ln>
                <a:noFill/>
              </a:ln>
              <a:effectLst/>
            </c:spPr>
            <c:txPr>
              <a:bodyPr rot="0" spcFirstLastPara="1" vertOverflow="ellipsis" vert="horz" wrap="square" anchor="ctr" anchorCtr="1"/>
              <a:lstStyle/>
              <a:p>
                <a:pPr>
                  <a:defRPr sz="800" b="1" i="0" u="none" strike="noStrike" kern="1200" baseline="0">
                    <a:solidFill>
                      <a:srgbClr val="2C307E"/>
                    </a:solidFill>
                    <a:latin typeface="+mn-lt"/>
                    <a:ea typeface="+mn-ea"/>
                    <a:cs typeface="+mn-cs"/>
                  </a:defRPr>
                </a:pPr>
                <a:endParaRPr lang="en-N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Figuren!$E$856:$E$860</c:f>
              <c:strCache>
                <c:ptCount val="5"/>
                <c:pt idx="0">
                  <c:v>Nooit</c:v>
                </c:pt>
                <c:pt idx="1">
                  <c:v>Zelden</c:v>
                </c:pt>
                <c:pt idx="2">
                  <c:v>Soms</c:v>
                </c:pt>
                <c:pt idx="3">
                  <c:v>Vaak</c:v>
                </c:pt>
                <c:pt idx="4">
                  <c:v>Heel vaak</c:v>
                </c:pt>
              </c:strCache>
            </c:strRef>
          </c:cat>
          <c:val>
            <c:numRef>
              <c:f>Figuren!$H$856:$H$860</c:f>
              <c:numCache>
                <c:formatCode>0%</c:formatCode>
                <c:ptCount val="5"/>
                <c:pt idx="0">
                  <c:v>0.21342134213421343</c:v>
                </c:pt>
                <c:pt idx="1">
                  <c:v>0.39273927392739272</c:v>
                </c:pt>
                <c:pt idx="2">
                  <c:v>0.29372937293729373</c:v>
                </c:pt>
                <c:pt idx="3">
                  <c:v>7.2607260726072612E-2</c:v>
                </c:pt>
                <c:pt idx="4">
                  <c:v>2.7502750275027504E-2</c:v>
                </c:pt>
              </c:numCache>
            </c:numRef>
          </c:val>
          <c:extLst>
            <c:ext xmlns:c16="http://schemas.microsoft.com/office/drawing/2014/chart" uri="{C3380CC4-5D6E-409C-BE32-E72D297353CC}">
              <c16:uniqueId val="{00000002-02AF-444D-AB90-A21B4FCFB773}"/>
            </c:ext>
          </c:extLst>
        </c:ser>
        <c:dLbls>
          <c:dLblPos val="outEnd"/>
          <c:showLegendKey val="0"/>
          <c:showVal val="1"/>
          <c:showCatName val="0"/>
          <c:showSerName val="0"/>
          <c:showPercent val="0"/>
          <c:showBubbleSize val="0"/>
        </c:dLbls>
        <c:gapWidth val="219"/>
        <c:overlap val="-27"/>
        <c:axId val="54177648"/>
        <c:axId val="54178128"/>
      </c:barChart>
      <c:catAx>
        <c:axId val="541776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2C307E"/>
                </a:solidFill>
                <a:latin typeface="+mn-lt"/>
                <a:ea typeface="+mn-ea"/>
                <a:cs typeface="+mn-cs"/>
              </a:defRPr>
            </a:pPr>
            <a:endParaRPr lang="en-NL"/>
          </a:p>
        </c:txPr>
        <c:crossAx val="54178128"/>
        <c:crosses val="autoZero"/>
        <c:auto val="1"/>
        <c:lblAlgn val="ctr"/>
        <c:lblOffset val="100"/>
        <c:noMultiLvlLbl val="0"/>
      </c:catAx>
      <c:valAx>
        <c:axId val="5417812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2C307E"/>
                </a:solidFill>
                <a:latin typeface="+mn-lt"/>
                <a:ea typeface="+mn-ea"/>
                <a:cs typeface="+mn-cs"/>
              </a:defRPr>
            </a:pPr>
            <a:endParaRPr lang="en-NL"/>
          </a:p>
        </c:txPr>
        <c:crossAx val="54177648"/>
        <c:crosses val="autoZero"/>
        <c:crossBetween val="between"/>
      </c:valAx>
      <c:spPr>
        <a:noFill/>
        <a:ln>
          <a:noFill/>
        </a:ln>
        <a:effectLst/>
      </c:spPr>
    </c:plotArea>
    <c:legend>
      <c:legendPos val="b"/>
      <c:layout>
        <c:manualLayout>
          <c:xMode val="edge"/>
          <c:yMode val="edge"/>
          <c:x val="4.5639165979431913E-2"/>
          <c:y val="0.85738693450365666"/>
          <c:w val="0.87046246191966314"/>
          <c:h val="0.13403489693533108"/>
        </c:manualLayout>
      </c:layout>
      <c:overlay val="0"/>
      <c:spPr>
        <a:noFill/>
        <a:ln>
          <a:noFill/>
        </a:ln>
        <a:effectLst/>
      </c:spPr>
      <c:txPr>
        <a:bodyPr rot="0" spcFirstLastPara="1" vertOverflow="ellipsis" vert="horz" wrap="square" anchor="ctr" anchorCtr="1"/>
        <a:lstStyle/>
        <a:p>
          <a:pPr>
            <a:defRPr sz="900" b="0" i="0" u="none" strike="noStrike" kern="1200" baseline="0">
              <a:solidFill>
                <a:srgbClr val="2C307E"/>
              </a:solidFill>
              <a:latin typeface="+mn-lt"/>
              <a:ea typeface="+mn-ea"/>
              <a:cs typeface="+mn-cs"/>
            </a:defRPr>
          </a:pPr>
          <a:endParaRPr lang="en-NL"/>
        </a:p>
      </c:txPr>
    </c:legend>
    <c:plotVisOnly val="1"/>
    <c:dispBlanksAs val="gap"/>
    <c:showDLblsOverMax val="0"/>
  </c:chart>
  <c:spPr>
    <a:noFill/>
    <a:ln w="9525" cap="flat" cmpd="sng" algn="ctr">
      <a:noFill/>
      <a:round/>
    </a:ln>
    <a:effectLst/>
  </c:spPr>
  <c:txPr>
    <a:bodyPr/>
    <a:lstStyle/>
    <a:p>
      <a:pPr>
        <a:defRPr>
          <a:solidFill>
            <a:srgbClr val="2C307E"/>
          </a:solidFill>
        </a:defRPr>
      </a:pPr>
      <a:endParaRPr lang="en-NL"/>
    </a:p>
  </c:txPr>
  <c:externalData r:id="rId3">
    <c:autoUpdate val="0"/>
  </c:externalData>
</c:chartSpace>
</file>

<file path=word/charts/chart10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rgbClr val="2C307E"/>
                </a:solidFill>
                <a:latin typeface="+mn-lt"/>
                <a:ea typeface="+mn-ea"/>
                <a:cs typeface="+mn-cs"/>
              </a:defRPr>
            </a:pPr>
            <a:r>
              <a:rPr lang="nl-NL" sz="1100" b="0" i="0" u="none" strike="noStrike" baseline="0">
                <a:effectLst/>
              </a:rPr>
              <a:t>Hoe vaak ben je bereid om je vertrektijden door te geven zodat je auto slim geladen kan worden bij de openbare laadpaal?</a:t>
            </a:r>
            <a:endParaRPr lang="nl-NL" sz="1100"/>
          </a:p>
        </c:rich>
      </c:tx>
      <c:overlay val="0"/>
      <c:spPr>
        <a:noFill/>
        <a:ln>
          <a:noFill/>
        </a:ln>
        <a:effectLst/>
      </c:spPr>
    </c:title>
    <c:autoTitleDeleted val="0"/>
    <c:plotArea>
      <c:layout>
        <c:manualLayout>
          <c:layoutTarget val="inner"/>
          <c:xMode val="edge"/>
          <c:yMode val="edge"/>
          <c:x val="0.14540494131203471"/>
          <c:y val="0.35852634938069122"/>
          <c:w val="0.80198865027093991"/>
          <c:h val="0.40654968199663072"/>
        </c:manualLayout>
      </c:layout>
      <c:barChart>
        <c:barDir val="col"/>
        <c:grouping val="clustered"/>
        <c:varyColors val="0"/>
        <c:ser>
          <c:idx val="0"/>
          <c:order val="0"/>
          <c:tx>
            <c:strRef>
              <c:f>Figuren!$I$880</c:f>
              <c:strCache>
                <c:ptCount val="1"/>
                <c:pt idx="0">
                  <c:v>2024</c:v>
                </c:pt>
              </c:strCache>
            </c:strRef>
          </c:tx>
          <c:spPr>
            <a:solidFill>
              <a:srgbClr val="2C307E"/>
            </a:solidFill>
          </c:spPr>
          <c:invertIfNegative val="0"/>
          <c:dLbls>
            <c:dLbl>
              <c:idx val="3"/>
              <c:layout>
                <c:manualLayout>
                  <c:x val="-1.4347202295552456E-2"/>
                  <c:y val="-5.6069526212503508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ECA-412F-BDF3-940105191482}"/>
                </c:ext>
              </c:extLst>
            </c:dLbl>
            <c:spPr>
              <a:noFill/>
              <a:ln>
                <a:noFill/>
              </a:ln>
              <a:effectLst/>
            </c:spPr>
            <c:txPr>
              <a:bodyPr wrap="square" lIns="38100" tIns="19050" rIns="38100" bIns="19050" anchor="ctr">
                <a:spAutoFit/>
              </a:bodyPr>
              <a:lstStyle/>
              <a:p>
                <a:pPr>
                  <a:defRPr sz="800" b="1">
                    <a:solidFill>
                      <a:srgbClr val="2C307E"/>
                    </a:solidFill>
                  </a:defRPr>
                </a:pPr>
                <a:endParaRPr lang="en-N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Figuren!$E$881:$E$885</c:f>
              <c:strCache>
                <c:ptCount val="5"/>
                <c:pt idx="0">
                  <c:v>Nooit</c:v>
                </c:pt>
                <c:pt idx="1">
                  <c:v>Zelden</c:v>
                </c:pt>
                <c:pt idx="2">
                  <c:v>Soms</c:v>
                </c:pt>
                <c:pt idx="3">
                  <c:v>Vaak</c:v>
                </c:pt>
                <c:pt idx="4">
                  <c:v>Heel vaak</c:v>
                </c:pt>
              </c:strCache>
            </c:strRef>
          </c:cat>
          <c:val>
            <c:numRef>
              <c:f>Figuren!$I$881:$I$885</c:f>
              <c:numCache>
                <c:formatCode>0%</c:formatCode>
                <c:ptCount val="5"/>
                <c:pt idx="0">
                  <c:v>0.10678056593699947</c:v>
                </c:pt>
                <c:pt idx="1">
                  <c:v>8.4356647090229581E-2</c:v>
                </c:pt>
                <c:pt idx="2">
                  <c:v>0.26321409503470367</c:v>
                </c:pt>
                <c:pt idx="3">
                  <c:v>0.37106246663107312</c:v>
                </c:pt>
                <c:pt idx="4">
                  <c:v>0.17458622530699414</c:v>
                </c:pt>
              </c:numCache>
            </c:numRef>
          </c:val>
          <c:extLst>
            <c:ext xmlns:c16="http://schemas.microsoft.com/office/drawing/2014/chart" uri="{C3380CC4-5D6E-409C-BE32-E72D297353CC}">
              <c16:uniqueId val="{00000000-5619-44D1-A95A-764823B6F5D2}"/>
            </c:ext>
          </c:extLst>
        </c:ser>
        <c:ser>
          <c:idx val="3"/>
          <c:order val="1"/>
          <c:tx>
            <c:strRef>
              <c:f>Figuren!$H$880</c:f>
              <c:strCache>
                <c:ptCount val="1"/>
                <c:pt idx="0">
                  <c:v>2025</c:v>
                </c:pt>
              </c:strCache>
            </c:strRef>
          </c:tx>
          <c:spPr>
            <a:solidFill>
              <a:srgbClr val="08B466"/>
            </a:solidFill>
          </c:spPr>
          <c:invertIfNegative val="0"/>
          <c:dLbls>
            <c:dLbl>
              <c:idx val="0"/>
              <c:layout>
                <c:manualLayout>
                  <c:x val="1.4347202295552367E-2"/>
                  <c:y val="-1.0279294391672997E-16"/>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ECA-412F-BDF3-940105191482}"/>
                </c:ext>
              </c:extLst>
            </c:dLbl>
            <c:dLbl>
              <c:idx val="1"/>
              <c:layout>
                <c:manualLayout>
                  <c:x val="9.5648015303681569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ECA-412F-BDF3-940105191482}"/>
                </c:ext>
              </c:extLst>
            </c:dLbl>
            <c:dLbl>
              <c:idx val="2"/>
              <c:layout>
                <c:manualLayout>
                  <c:x val="1.4347202295552367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ECA-412F-BDF3-940105191482}"/>
                </c:ext>
              </c:extLst>
            </c:dLbl>
            <c:dLbl>
              <c:idx val="3"/>
              <c:layout>
                <c:manualLayout>
                  <c:x val="1.4347202295552456E-2"/>
                  <c:y val="-5.6069526212503508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ECA-412F-BDF3-940105191482}"/>
                </c:ext>
              </c:extLst>
            </c:dLbl>
            <c:dLbl>
              <c:idx val="4"/>
              <c:layout>
                <c:manualLayout>
                  <c:x val="2.3912003825920437E-2"/>
                  <c:y val="-1.0279294391672997E-16"/>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ECA-412F-BDF3-940105191482}"/>
                </c:ext>
              </c:extLst>
            </c:dLbl>
            <c:spPr>
              <a:noFill/>
              <a:ln>
                <a:noFill/>
              </a:ln>
              <a:effectLst/>
            </c:spPr>
            <c:txPr>
              <a:bodyPr wrap="square" lIns="38100" tIns="19050" rIns="38100" bIns="19050" anchor="ctr">
                <a:spAutoFit/>
              </a:bodyPr>
              <a:lstStyle/>
              <a:p>
                <a:pPr>
                  <a:defRPr sz="800" b="1">
                    <a:solidFill>
                      <a:srgbClr val="2C307E"/>
                    </a:solidFill>
                  </a:defRPr>
                </a:pPr>
                <a:endParaRPr lang="en-N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Figuren!$E$881:$E$885</c:f>
              <c:strCache>
                <c:ptCount val="5"/>
                <c:pt idx="0">
                  <c:v>Nooit</c:v>
                </c:pt>
                <c:pt idx="1">
                  <c:v>Zelden</c:v>
                </c:pt>
                <c:pt idx="2">
                  <c:v>Soms</c:v>
                </c:pt>
                <c:pt idx="3">
                  <c:v>Vaak</c:v>
                </c:pt>
                <c:pt idx="4">
                  <c:v>Heel vaak</c:v>
                </c:pt>
              </c:strCache>
            </c:strRef>
          </c:cat>
          <c:val>
            <c:numRef>
              <c:f>Figuren!$H$881:$H$885</c:f>
              <c:numCache>
                <c:formatCode>0%</c:formatCode>
                <c:ptCount val="5"/>
                <c:pt idx="0">
                  <c:v>0.13773372596902009</c:v>
                </c:pt>
                <c:pt idx="1">
                  <c:v>9.9612152553329031E-2</c:v>
                </c:pt>
                <c:pt idx="2">
                  <c:v>0.20514855514855512</c:v>
                </c:pt>
                <c:pt idx="3">
                  <c:v>0.37858699035169624</c:v>
                </c:pt>
                <c:pt idx="4">
                  <c:v>0.17891857597739952</c:v>
                </c:pt>
              </c:numCache>
            </c:numRef>
          </c:val>
          <c:extLst>
            <c:ext xmlns:c16="http://schemas.microsoft.com/office/drawing/2014/chart" uri="{C3380CC4-5D6E-409C-BE32-E72D297353CC}">
              <c16:uniqueId val="{00000001-5619-44D1-A95A-764823B6F5D2}"/>
            </c:ext>
          </c:extLst>
        </c:ser>
        <c:dLbls>
          <c:dLblPos val="outEnd"/>
          <c:showLegendKey val="0"/>
          <c:showVal val="1"/>
          <c:showCatName val="0"/>
          <c:showSerName val="0"/>
          <c:showPercent val="0"/>
          <c:showBubbleSize val="0"/>
        </c:dLbls>
        <c:gapWidth val="219"/>
        <c:overlap val="-27"/>
        <c:axId val="1425051087"/>
        <c:axId val="1425049167"/>
      </c:barChart>
      <c:catAx>
        <c:axId val="142505108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2C307E"/>
                </a:solidFill>
                <a:latin typeface="+mn-lt"/>
                <a:ea typeface="+mn-ea"/>
                <a:cs typeface="+mn-cs"/>
              </a:defRPr>
            </a:pPr>
            <a:endParaRPr lang="en-NL"/>
          </a:p>
        </c:txPr>
        <c:crossAx val="1425049167"/>
        <c:crosses val="autoZero"/>
        <c:auto val="1"/>
        <c:lblAlgn val="ctr"/>
        <c:lblOffset val="100"/>
        <c:noMultiLvlLbl val="0"/>
      </c:catAx>
      <c:valAx>
        <c:axId val="1425049167"/>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2C307E"/>
                </a:solidFill>
                <a:latin typeface="+mn-lt"/>
                <a:ea typeface="+mn-ea"/>
                <a:cs typeface="+mn-cs"/>
              </a:defRPr>
            </a:pPr>
            <a:endParaRPr lang="en-NL"/>
          </a:p>
        </c:txPr>
        <c:crossAx val="1425051087"/>
        <c:crosses val="autoZero"/>
        <c:crossBetween val="between"/>
      </c:valAx>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rgbClr val="2C307E"/>
              </a:solidFill>
              <a:latin typeface="+mn-lt"/>
              <a:ea typeface="+mn-ea"/>
              <a:cs typeface="+mn-cs"/>
            </a:defRPr>
          </a:pPr>
          <a:endParaRPr lang="en-NL"/>
        </a:p>
      </c:txPr>
    </c:legend>
    <c:plotVisOnly val="1"/>
    <c:dispBlanksAs val="gap"/>
    <c:showDLblsOverMax val="0"/>
  </c:chart>
  <c:spPr>
    <a:noFill/>
    <a:ln>
      <a:noFill/>
    </a:ln>
  </c:spPr>
  <c:txPr>
    <a:bodyPr/>
    <a:lstStyle/>
    <a:p>
      <a:pPr>
        <a:defRPr>
          <a:solidFill>
            <a:srgbClr val="2C307E"/>
          </a:solidFill>
        </a:defRPr>
      </a:pPr>
      <a:endParaRPr lang="en-NL"/>
    </a:p>
  </c:txPr>
  <c:externalData r:id="rId1">
    <c:autoUpdate val="0"/>
  </c:externalData>
</c:chartSpace>
</file>

<file path=word/charts/chart10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rgbClr val="2C307E"/>
                </a:solidFill>
                <a:latin typeface="+mn-lt"/>
                <a:ea typeface="+mn-ea"/>
                <a:cs typeface="+mn-cs"/>
              </a:defRPr>
            </a:pPr>
            <a:r>
              <a:rPr lang="nl-NL" sz="1100" b="0" i="0" u="none" strike="noStrike" baseline="0">
                <a:effectLst/>
              </a:rPr>
              <a:t>Als er korting wordt gegeven, bijvoorbeeld 5 of 10 cent per kWh, zou je dan je vertrektijden doorgeven zodat je auto slim geladen kan worden aan de openbare laadpaal?</a:t>
            </a:r>
            <a:endParaRPr lang="nl-NL" sz="1100"/>
          </a:p>
        </c:rich>
      </c:tx>
      <c:overlay val="0"/>
      <c:spPr>
        <a:noFill/>
        <a:ln>
          <a:noFill/>
        </a:ln>
        <a:effectLst/>
      </c:spPr>
      <c:txPr>
        <a:bodyPr rot="0" spcFirstLastPara="1" vertOverflow="ellipsis" vert="horz" wrap="square" anchor="ctr" anchorCtr="1"/>
        <a:lstStyle/>
        <a:p>
          <a:pPr>
            <a:defRPr sz="1100" b="0" i="0" u="none" strike="noStrike" kern="1200" spc="0" baseline="0">
              <a:solidFill>
                <a:srgbClr val="2C307E"/>
              </a:solidFill>
              <a:latin typeface="+mn-lt"/>
              <a:ea typeface="+mn-ea"/>
              <a:cs typeface="+mn-cs"/>
            </a:defRPr>
          </a:pPr>
          <a:endParaRPr lang="nl-NL"/>
        </a:p>
      </c:txPr>
    </c:title>
    <c:autoTitleDeleted val="0"/>
    <c:plotArea>
      <c:layout/>
      <c:barChart>
        <c:barDir val="col"/>
        <c:grouping val="clustered"/>
        <c:varyColors val="0"/>
        <c:ser>
          <c:idx val="2"/>
          <c:order val="0"/>
          <c:tx>
            <c:strRef>
              <c:f>Figuren!$H$903</c:f>
              <c:strCache>
                <c:ptCount val="1"/>
                <c:pt idx="0">
                  <c:v>Geen korting</c:v>
                </c:pt>
              </c:strCache>
            </c:strRef>
          </c:tx>
          <c:spPr>
            <a:solidFill>
              <a:srgbClr val="2C307E"/>
            </a:solidFill>
            <a:ln>
              <a:noFill/>
            </a:ln>
            <a:effectLst/>
          </c:spPr>
          <c:invertIfNegative val="0"/>
          <c:dLbls>
            <c:dLbl>
              <c:idx val="2"/>
              <c:layout>
                <c:manualLayout>
                  <c:x val="-2.3912003825920611E-2"/>
                  <c:y val="3.8491147036182386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1DF-4DBD-B70E-2D2106DF341E}"/>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rgbClr val="2C307E"/>
                    </a:solidFill>
                    <a:latin typeface="+mn-lt"/>
                    <a:ea typeface="+mn-ea"/>
                    <a:cs typeface="+mn-cs"/>
                  </a:defRPr>
                </a:pPr>
                <a:endParaRPr lang="en-N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Figuren!$E$904:$E$908</c:f>
              <c:strCache>
                <c:ptCount val="5"/>
                <c:pt idx="0">
                  <c:v>Nooit</c:v>
                </c:pt>
                <c:pt idx="1">
                  <c:v>Zelden</c:v>
                </c:pt>
                <c:pt idx="2">
                  <c:v>Soms</c:v>
                </c:pt>
                <c:pt idx="3">
                  <c:v>Vaak</c:v>
                </c:pt>
                <c:pt idx="4">
                  <c:v>Heel vaak</c:v>
                </c:pt>
              </c:strCache>
            </c:strRef>
          </c:cat>
          <c:val>
            <c:numRef>
              <c:f>Figuren!$H$904:$H$908</c:f>
              <c:numCache>
                <c:formatCode>0%</c:formatCode>
                <c:ptCount val="5"/>
                <c:pt idx="0">
                  <c:v>0.13773372596902009</c:v>
                </c:pt>
                <c:pt idx="1">
                  <c:v>9.9612152553329031E-2</c:v>
                </c:pt>
                <c:pt idx="2">
                  <c:v>0.20514855514855512</c:v>
                </c:pt>
                <c:pt idx="3">
                  <c:v>0.37858699035169624</c:v>
                </c:pt>
                <c:pt idx="4">
                  <c:v>0.17891857597739952</c:v>
                </c:pt>
              </c:numCache>
            </c:numRef>
          </c:val>
          <c:extLst>
            <c:ext xmlns:c16="http://schemas.microsoft.com/office/drawing/2014/chart" uri="{C3380CC4-5D6E-409C-BE32-E72D297353CC}">
              <c16:uniqueId val="{00000000-0FE8-494D-A26D-FAF2846D474E}"/>
            </c:ext>
          </c:extLst>
        </c:ser>
        <c:ser>
          <c:idx val="0"/>
          <c:order val="1"/>
          <c:tx>
            <c:strRef>
              <c:f>Figuren!$F$903</c:f>
              <c:strCache>
                <c:ptCount val="1"/>
                <c:pt idx="0">
                  <c:v>5 cent korting</c:v>
                </c:pt>
              </c:strCache>
            </c:strRef>
          </c:tx>
          <c:spPr>
            <a:solidFill>
              <a:srgbClr val="08B466"/>
            </a:solidFill>
            <a:ln>
              <a:noFill/>
            </a:ln>
            <a:effectLst/>
          </c:spPr>
          <c:invertIfNegative val="0"/>
          <c:dLbls>
            <c:dLbl>
              <c:idx val="0"/>
              <c:layout>
                <c:manualLayout>
                  <c:x val="1.4347202295552345E-2"/>
                  <c:y val="3.8491147036180972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D1DF-4DBD-B70E-2D2106DF341E}"/>
                </c:ext>
              </c:extLst>
            </c:dLbl>
            <c:dLbl>
              <c:idx val="2"/>
              <c:layout>
                <c:manualLayout>
                  <c:x val="9.5648015303682454E-3"/>
                  <c:y val="1.1547344110854433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1DF-4DBD-B70E-2D2106DF341E}"/>
                </c:ext>
              </c:extLst>
            </c:dLbl>
            <c:dLbl>
              <c:idx val="3"/>
              <c:layout>
                <c:manualLayout>
                  <c:x val="1.4347202295552367E-2"/>
                  <c:y val="1.92455735180908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1DF-4DBD-B70E-2D2106DF341E}"/>
                </c:ext>
              </c:extLst>
            </c:dLbl>
            <c:spPr>
              <a:noFill/>
              <a:ln>
                <a:noFill/>
              </a:ln>
              <a:effectLst/>
            </c:spPr>
            <c:txPr>
              <a:bodyPr rot="0" spcFirstLastPara="1" vertOverflow="ellipsis" vert="horz" wrap="square" anchor="ctr" anchorCtr="1"/>
              <a:lstStyle/>
              <a:p>
                <a:pPr>
                  <a:defRPr sz="800" b="1" i="0" u="none" strike="noStrike" kern="1200" baseline="0">
                    <a:solidFill>
                      <a:srgbClr val="2C307E"/>
                    </a:solidFill>
                    <a:latin typeface="+mn-lt"/>
                    <a:ea typeface="+mn-ea"/>
                    <a:cs typeface="+mn-cs"/>
                  </a:defRPr>
                </a:pPr>
                <a:endParaRPr lang="en-N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Figuren!$E$904:$E$908</c:f>
              <c:strCache>
                <c:ptCount val="5"/>
                <c:pt idx="0">
                  <c:v>Nooit</c:v>
                </c:pt>
                <c:pt idx="1">
                  <c:v>Zelden</c:v>
                </c:pt>
                <c:pt idx="2">
                  <c:v>Soms</c:v>
                </c:pt>
                <c:pt idx="3">
                  <c:v>Vaak</c:v>
                </c:pt>
                <c:pt idx="4">
                  <c:v>Heel vaak</c:v>
                </c:pt>
              </c:strCache>
            </c:strRef>
          </c:cat>
          <c:val>
            <c:numRef>
              <c:f>Figuren!$F$904:$F$908</c:f>
              <c:numCache>
                <c:formatCode>0%</c:formatCode>
                <c:ptCount val="5"/>
                <c:pt idx="0">
                  <c:v>9.6949891067538124E-2</c:v>
                </c:pt>
                <c:pt idx="1">
                  <c:v>7.0806100217864917E-2</c:v>
                </c:pt>
                <c:pt idx="2">
                  <c:v>0.20152505446623092</c:v>
                </c:pt>
                <c:pt idx="3">
                  <c:v>0.33442265795206971</c:v>
                </c:pt>
                <c:pt idx="4">
                  <c:v>0.29629629629629628</c:v>
                </c:pt>
              </c:numCache>
            </c:numRef>
          </c:val>
          <c:extLst>
            <c:ext xmlns:c16="http://schemas.microsoft.com/office/drawing/2014/chart" uri="{C3380CC4-5D6E-409C-BE32-E72D297353CC}">
              <c16:uniqueId val="{00000001-0FE8-494D-A26D-FAF2846D474E}"/>
            </c:ext>
          </c:extLst>
        </c:ser>
        <c:ser>
          <c:idx val="1"/>
          <c:order val="2"/>
          <c:tx>
            <c:strRef>
              <c:f>Figuren!$G$903</c:f>
              <c:strCache>
                <c:ptCount val="1"/>
                <c:pt idx="0">
                  <c:v>10 cent korting</c:v>
                </c:pt>
              </c:strCache>
            </c:strRef>
          </c:tx>
          <c:spPr>
            <a:solidFill>
              <a:srgbClr val="C9C743"/>
            </a:solidFill>
            <a:ln>
              <a:noFill/>
            </a:ln>
            <a:effectLst/>
          </c:spPr>
          <c:invertIfNegative val="0"/>
          <c:dLbls>
            <c:dLbl>
              <c:idx val="0"/>
              <c:layout>
                <c:manualLayout>
                  <c:x val="2.3912003825920611E-2"/>
                  <c:y val="7.6982294072363358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D1DF-4DBD-B70E-2D2106DF341E}"/>
                </c:ext>
              </c:extLst>
            </c:dLbl>
            <c:dLbl>
              <c:idx val="1"/>
              <c:layout>
                <c:manualLayout>
                  <c:x val="1.4347202295552367E-2"/>
                  <c:y val="3.8491147036181679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1DF-4DBD-B70E-2D2106DF341E}"/>
                </c:ext>
              </c:extLst>
            </c:dLbl>
            <c:dLbl>
              <c:idx val="2"/>
              <c:layout>
                <c:manualLayout>
                  <c:x val="3.8259206121472981E-2"/>
                  <c:y val="1.539645881447267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1DF-4DBD-B70E-2D2106DF341E}"/>
                </c:ext>
              </c:extLst>
            </c:dLbl>
            <c:dLbl>
              <c:idx val="3"/>
              <c:layout>
                <c:manualLayout>
                  <c:x val="1.9129603060736401E-2"/>
                  <c:y val="-3.8491147036182386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1DF-4DBD-B70E-2D2106DF341E}"/>
                </c:ext>
              </c:extLst>
            </c:dLbl>
            <c:spPr>
              <a:noFill/>
              <a:ln>
                <a:noFill/>
              </a:ln>
              <a:effectLst/>
            </c:spPr>
            <c:txPr>
              <a:bodyPr rot="0" spcFirstLastPara="1" vertOverflow="ellipsis" vert="horz" wrap="square" anchor="ctr" anchorCtr="1"/>
              <a:lstStyle/>
              <a:p>
                <a:pPr>
                  <a:defRPr sz="800" b="1" i="0" u="none" strike="noStrike" kern="1200" baseline="0">
                    <a:solidFill>
                      <a:srgbClr val="2C307E"/>
                    </a:solidFill>
                    <a:latin typeface="+mn-lt"/>
                    <a:ea typeface="+mn-ea"/>
                    <a:cs typeface="+mn-cs"/>
                  </a:defRPr>
                </a:pPr>
                <a:endParaRPr lang="en-N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Figuren!$E$904:$E$908</c:f>
              <c:strCache>
                <c:ptCount val="5"/>
                <c:pt idx="0">
                  <c:v>Nooit</c:v>
                </c:pt>
                <c:pt idx="1">
                  <c:v>Zelden</c:v>
                </c:pt>
                <c:pt idx="2">
                  <c:v>Soms</c:v>
                </c:pt>
                <c:pt idx="3">
                  <c:v>Vaak</c:v>
                </c:pt>
                <c:pt idx="4">
                  <c:v>Heel vaak</c:v>
                </c:pt>
              </c:strCache>
            </c:strRef>
          </c:cat>
          <c:val>
            <c:numRef>
              <c:f>Figuren!$G$904:$G$908</c:f>
              <c:numCache>
                <c:formatCode>0%</c:formatCode>
                <c:ptCount val="5"/>
                <c:pt idx="0">
                  <c:v>7.6508620689655166E-2</c:v>
                </c:pt>
                <c:pt idx="1">
                  <c:v>6.0344827586206899E-2</c:v>
                </c:pt>
                <c:pt idx="2">
                  <c:v>0.19827586206896552</c:v>
                </c:pt>
                <c:pt idx="3">
                  <c:v>0.34159482758620691</c:v>
                </c:pt>
                <c:pt idx="4">
                  <c:v>0.32327586206896552</c:v>
                </c:pt>
              </c:numCache>
            </c:numRef>
          </c:val>
          <c:extLst>
            <c:ext xmlns:c16="http://schemas.microsoft.com/office/drawing/2014/chart" uri="{C3380CC4-5D6E-409C-BE32-E72D297353CC}">
              <c16:uniqueId val="{00000002-0FE8-494D-A26D-FAF2846D474E}"/>
            </c:ext>
          </c:extLst>
        </c:ser>
        <c:dLbls>
          <c:dLblPos val="outEnd"/>
          <c:showLegendKey val="0"/>
          <c:showVal val="1"/>
          <c:showCatName val="0"/>
          <c:showSerName val="0"/>
          <c:showPercent val="0"/>
          <c:showBubbleSize val="0"/>
        </c:dLbls>
        <c:gapWidth val="219"/>
        <c:overlap val="-27"/>
        <c:axId val="1899098143"/>
        <c:axId val="1899102943"/>
      </c:barChart>
      <c:catAx>
        <c:axId val="189909814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2C307E"/>
                </a:solidFill>
                <a:latin typeface="+mn-lt"/>
                <a:ea typeface="+mn-ea"/>
                <a:cs typeface="+mn-cs"/>
              </a:defRPr>
            </a:pPr>
            <a:endParaRPr lang="en-NL"/>
          </a:p>
        </c:txPr>
        <c:crossAx val="1899102943"/>
        <c:crosses val="autoZero"/>
        <c:auto val="1"/>
        <c:lblAlgn val="ctr"/>
        <c:lblOffset val="100"/>
        <c:noMultiLvlLbl val="0"/>
      </c:catAx>
      <c:valAx>
        <c:axId val="1899102943"/>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2C307E"/>
                </a:solidFill>
                <a:latin typeface="+mn-lt"/>
                <a:ea typeface="+mn-ea"/>
                <a:cs typeface="+mn-cs"/>
              </a:defRPr>
            </a:pPr>
            <a:endParaRPr lang="en-NL"/>
          </a:p>
        </c:txPr>
        <c:crossAx val="189909814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rgbClr val="2C307E"/>
              </a:solidFill>
              <a:latin typeface="+mn-lt"/>
              <a:ea typeface="+mn-ea"/>
              <a:cs typeface="+mn-cs"/>
            </a:defRPr>
          </a:pPr>
          <a:endParaRPr lang="en-NL"/>
        </a:p>
      </c:txPr>
    </c:legend>
    <c:plotVisOnly val="1"/>
    <c:dispBlanksAs val="gap"/>
    <c:showDLblsOverMax val="0"/>
  </c:chart>
  <c:spPr>
    <a:noFill/>
    <a:ln w="9525" cap="flat" cmpd="sng" algn="ctr">
      <a:noFill/>
      <a:round/>
    </a:ln>
    <a:effectLst/>
  </c:spPr>
  <c:txPr>
    <a:bodyPr/>
    <a:lstStyle/>
    <a:p>
      <a:pPr>
        <a:defRPr>
          <a:solidFill>
            <a:srgbClr val="2C307E"/>
          </a:solidFill>
        </a:defRPr>
      </a:pPr>
      <a:endParaRPr lang="en-NL"/>
    </a:p>
  </c:txPr>
  <c:externalData r:id="rId3">
    <c:autoUpdate val="0"/>
  </c:externalData>
</c:chartSpace>
</file>

<file path=word/charts/chart10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rgbClr val="2C307E"/>
                </a:solidFill>
                <a:latin typeface="+mn-lt"/>
                <a:ea typeface="+mn-ea"/>
                <a:cs typeface="+mn-cs"/>
              </a:defRPr>
            </a:pPr>
            <a:r>
              <a:rPr lang="en-US" sz="1100">
                <a:solidFill>
                  <a:srgbClr val="2C307E"/>
                </a:solidFill>
              </a:rPr>
              <a:t>In welke situaties let je bewust op de snelheid </a:t>
            </a:r>
            <a:r>
              <a:rPr lang="en-US" sz="1100" i="0">
                <a:solidFill>
                  <a:srgbClr val="2C307E"/>
                </a:solidFill>
              </a:rPr>
              <a:t>waarmee</a:t>
            </a:r>
            <a:r>
              <a:rPr lang="en-US" sz="1100">
                <a:solidFill>
                  <a:srgbClr val="2C307E"/>
                </a:solidFill>
              </a:rPr>
              <a:t> jouw auto wordt geladen?</a:t>
            </a:r>
          </a:p>
        </c:rich>
      </c:tx>
      <c:overlay val="0"/>
      <c:spPr>
        <a:noFill/>
        <a:ln>
          <a:noFill/>
        </a:ln>
        <a:effectLst/>
      </c:spPr>
      <c:txPr>
        <a:bodyPr rot="0" spcFirstLastPara="1" vertOverflow="ellipsis" vert="horz" wrap="square" anchor="ctr" anchorCtr="1"/>
        <a:lstStyle/>
        <a:p>
          <a:pPr>
            <a:defRPr sz="1100" b="0" i="0" u="none" strike="noStrike" kern="1200" spc="0" baseline="0">
              <a:solidFill>
                <a:srgbClr val="2C307E"/>
              </a:solidFill>
              <a:latin typeface="+mn-lt"/>
              <a:ea typeface="+mn-ea"/>
              <a:cs typeface="+mn-cs"/>
            </a:defRPr>
          </a:pPr>
          <a:endParaRPr lang="en-NL"/>
        </a:p>
      </c:txPr>
    </c:title>
    <c:autoTitleDeleted val="0"/>
    <c:plotArea>
      <c:layout>
        <c:manualLayout>
          <c:layoutTarget val="inner"/>
          <c:xMode val="edge"/>
          <c:yMode val="edge"/>
          <c:x val="0.47854848488271823"/>
          <c:y val="0.17620893007582139"/>
          <c:w val="0.43165007889078427"/>
          <c:h val="0.6820104942653018"/>
        </c:manualLayout>
      </c:layout>
      <c:barChart>
        <c:barDir val="bar"/>
        <c:grouping val="clustered"/>
        <c:varyColors val="0"/>
        <c:ser>
          <c:idx val="0"/>
          <c:order val="0"/>
          <c:tx>
            <c:strRef>
              <c:f>Figuren!$F$496</c:f>
              <c:strCache>
                <c:ptCount val="1"/>
                <c:pt idx="0">
                  <c:v>2025</c:v>
                </c:pt>
              </c:strCache>
            </c:strRef>
          </c:tx>
          <c:spPr>
            <a:solidFill>
              <a:srgbClr val="BAD6ED"/>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rgbClr val="2C307E"/>
                    </a:solidFill>
                    <a:latin typeface="+mn-lt"/>
                    <a:ea typeface="+mn-ea"/>
                    <a:cs typeface="+mn-cs"/>
                  </a:defRPr>
                </a:pPr>
                <a:endParaRPr lang="en-N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Figuren!$E$499:$E$503</c:f>
              <c:strCache>
                <c:ptCount val="5"/>
                <c:pt idx="0">
                  <c:v>Als ik meer moet betalen voor een hogere laadsnelheid</c:v>
                </c:pt>
                <c:pt idx="1">
                  <c:v>Als ik parkeerkosten per tijdseenheid moet betalen tijdens het laden</c:v>
                </c:pt>
                <c:pt idx="2">
                  <c:v>Als ik de laadpaal moet delen met meerdere gebruikers</c:v>
                </c:pt>
                <c:pt idx="3">
                  <c:v>Als ik onderweg ben en moet bijladen</c:v>
                </c:pt>
                <c:pt idx="4">
                  <c:v>Als ik meerdere bestemmingen heb op 1 dag</c:v>
                </c:pt>
              </c:strCache>
            </c:strRef>
          </c:cat>
          <c:val>
            <c:numRef>
              <c:f>Figuren!$F$499:$F$503</c:f>
              <c:numCache>
                <c:formatCode>0%</c:formatCode>
                <c:ptCount val="5"/>
                <c:pt idx="0">
                  <c:v>0.1558872305140962</c:v>
                </c:pt>
                <c:pt idx="1">
                  <c:v>0.14262023217247097</c:v>
                </c:pt>
                <c:pt idx="2">
                  <c:v>9.6738529574350474E-2</c:v>
                </c:pt>
                <c:pt idx="3">
                  <c:v>0.68490878938640132</c:v>
                </c:pt>
                <c:pt idx="4">
                  <c:v>0.29629629629629628</c:v>
                </c:pt>
              </c:numCache>
            </c:numRef>
          </c:val>
          <c:extLst>
            <c:ext xmlns:c16="http://schemas.microsoft.com/office/drawing/2014/chart" uri="{C3380CC4-5D6E-409C-BE32-E72D297353CC}">
              <c16:uniqueId val="{00000000-126B-49F7-960B-89416980D9D6}"/>
            </c:ext>
          </c:extLst>
        </c:ser>
        <c:ser>
          <c:idx val="1"/>
          <c:order val="1"/>
          <c:tx>
            <c:strRef>
              <c:f>Figuren!$G$496</c:f>
              <c:strCache>
                <c:ptCount val="1"/>
                <c:pt idx="0">
                  <c:v>2024</c:v>
                </c:pt>
              </c:strCache>
            </c:strRef>
          </c:tx>
          <c:spPr>
            <a:solidFill>
              <a:srgbClr val="C9C74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rgbClr val="2C307E"/>
                    </a:solidFill>
                    <a:latin typeface="+mn-lt"/>
                    <a:ea typeface="+mn-ea"/>
                    <a:cs typeface="+mn-cs"/>
                  </a:defRPr>
                </a:pPr>
                <a:endParaRPr lang="en-N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Figuren!$E$499:$E$503</c:f>
              <c:strCache>
                <c:ptCount val="5"/>
                <c:pt idx="0">
                  <c:v>Als ik meer moet betalen voor een hogere laadsnelheid</c:v>
                </c:pt>
                <c:pt idx="1">
                  <c:v>Als ik parkeerkosten per tijdseenheid moet betalen tijdens het laden</c:v>
                </c:pt>
                <c:pt idx="2">
                  <c:v>Als ik de laadpaal moet delen met meerdere gebruikers</c:v>
                </c:pt>
                <c:pt idx="3">
                  <c:v>Als ik onderweg ben en moet bijladen</c:v>
                </c:pt>
                <c:pt idx="4">
                  <c:v>Als ik meerdere bestemmingen heb op 1 dag</c:v>
                </c:pt>
              </c:strCache>
            </c:strRef>
          </c:cat>
          <c:val>
            <c:numRef>
              <c:f>Figuren!$G$499:$G$503</c:f>
              <c:numCache>
                <c:formatCode>0%</c:formatCode>
                <c:ptCount val="5"/>
                <c:pt idx="0">
                  <c:v>0.17</c:v>
                </c:pt>
                <c:pt idx="1">
                  <c:v>0.2</c:v>
                </c:pt>
                <c:pt idx="2">
                  <c:v>0.14000000000000001</c:v>
                </c:pt>
                <c:pt idx="3">
                  <c:v>0.72</c:v>
                </c:pt>
                <c:pt idx="4">
                  <c:v>0.38</c:v>
                </c:pt>
              </c:numCache>
            </c:numRef>
          </c:val>
          <c:extLst>
            <c:ext xmlns:c16="http://schemas.microsoft.com/office/drawing/2014/chart" uri="{C3380CC4-5D6E-409C-BE32-E72D297353CC}">
              <c16:uniqueId val="{00000001-126B-49F7-960B-89416980D9D6}"/>
            </c:ext>
          </c:extLst>
        </c:ser>
        <c:ser>
          <c:idx val="2"/>
          <c:order val="2"/>
          <c:tx>
            <c:strRef>
              <c:f>Figuren!$H$496</c:f>
              <c:strCache>
                <c:ptCount val="1"/>
                <c:pt idx="0">
                  <c:v>2023</c:v>
                </c:pt>
              </c:strCache>
            </c:strRef>
          </c:tx>
          <c:spPr>
            <a:solidFill>
              <a:srgbClr val="08B46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rgbClr val="2C307E"/>
                    </a:solidFill>
                    <a:latin typeface="+mn-lt"/>
                    <a:ea typeface="+mn-ea"/>
                    <a:cs typeface="+mn-cs"/>
                  </a:defRPr>
                </a:pPr>
                <a:endParaRPr lang="en-N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Figuren!$E$499:$E$503</c:f>
              <c:strCache>
                <c:ptCount val="5"/>
                <c:pt idx="0">
                  <c:v>Als ik meer moet betalen voor een hogere laadsnelheid</c:v>
                </c:pt>
                <c:pt idx="1">
                  <c:v>Als ik parkeerkosten per tijdseenheid moet betalen tijdens het laden</c:v>
                </c:pt>
                <c:pt idx="2">
                  <c:v>Als ik de laadpaal moet delen met meerdere gebruikers</c:v>
                </c:pt>
                <c:pt idx="3">
                  <c:v>Als ik onderweg ben en moet bijladen</c:v>
                </c:pt>
                <c:pt idx="4">
                  <c:v>Als ik meerdere bestemmingen heb op 1 dag</c:v>
                </c:pt>
              </c:strCache>
            </c:strRef>
          </c:cat>
          <c:val>
            <c:numRef>
              <c:f>Figuren!$H$499:$H$503</c:f>
              <c:numCache>
                <c:formatCode>0%</c:formatCode>
                <c:ptCount val="5"/>
                <c:pt idx="0">
                  <c:v>0.2</c:v>
                </c:pt>
                <c:pt idx="1">
                  <c:v>0.18</c:v>
                </c:pt>
                <c:pt idx="2">
                  <c:v>0.13</c:v>
                </c:pt>
                <c:pt idx="3">
                  <c:v>0.73</c:v>
                </c:pt>
                <c:pt idx="4">
                  <c:v>0.38</c:v>
                </c:pt>
              </c:numCache>
            </c:numRef>
          </c:val>
          <c:extLst>
            <c:ext xmlns:c16="http://schemas.microsoft.com/office/drawing/2014/chart" uri="{C3380CC4-5D6E-409C-BE32-E72D297353CC}">
              <c16:uniqueId val="{00000002-126B-49F7-960B-89416980D9D6}"/>
            </c:ext>
          </c:extLst>
        </c:ser>
        <c:ser>
          <c:idx val="3"/>
          <c:order val="3"/>
          <c:tx>
            <c:strRef>
              <c:f>Figuren!$I$496</c:f>
              <c:strCache>
                <c:ptCount val="1"/>
                <c:pt idx="0">
                  <c:v>2022</c:v>
                </c:pt>
              </c:strCache>
            </c:strRef>
          </c:tx>
          <c:spPr>
            <a:solidFill>
              <a:srgbClr val="2C307E"/>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rgbClr val="2C307E"/>
                    </a:solidFill>
                    <a:latin typeface="+mn-lt"/>
                    <a:ea typeface="+mn-ea"/>
                    <a:cs typeface="+mn-cs"/>
                  </a:defRPr>
                </a:pPr>
                <a:endParaRPr lang="en-N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Figuren!$E$499:$E$503</c:f>
              <c:strCache>
                <c:ptCount val="5"/>
                <c:pt idx="0">
                  <c:v>Als ik meer moet betalen voor een hogere laadsnelheid</c:v>
                </c:pt>
                <c:pt idx="1">
                  <c:v>Als ik parkeerkosten per tijdseenheid moet betalen tijdens het laden</c:v>
                </c:pt>
                <c:pt idx="2">
                  <c:v>Als ik de laadpaal moet delen met meerdere gebruikers</c:v>
                </c:pt>
                <c:pt idx="3">
                  <c:v>Als ik onderweg ben en moet bijladen</c:v>
                </c:pt>
                <c:pt idx="4">
                  <c:v>Als ik meerdere bestemmingen heb op 1 dag</c:v>
                </c:pt>
              </c:strCache>
            </c:strRef>
          </c:cat>
          <c:val>
            <c:numRef>
              <c:f>Figuren!$I$499:$I$503</c:f>
              <c:numCache>
                <c:formatCode>0%</c:formatCode>
                <c:ptCount val="5"/>
                <c:pt idx="0">
                  <c:v>0.12</c:v>
                </c:pt>
                <c:pt idx="1">
                  <c:v>0.1</c:v>
                </c:pt>
                <c:pt idx="2">
                  <c:v>0.11</c:v>
                </c:pt>
                <c:pt idx="3">
                  <c:v>0.71</c:v>
                </c:pt>
                <c:pt idx="4">
                  <c:v>0.38</c:v>
                </c:pt>
              </c:numCache>
            </c:numRef>
          </c:val>
          <c:extLst>
            <c:ext xmlns:c16="http://schemas.microsoft.com/office/drawing/2014/chart" uri="{C3380CC4-5D6E-409C-BE32-E72D297353CC}">
              <c16:uniqueId val="{00000003-126B-49F7-960B-89416980D9D6}"/>
            </c:ext>
          </c:extLst>
        </c:ser>
        <c:dLbls>
          <c:dLblPos val="outEnd"/>
          <c:showLegendKey val="0"/>
          <c:showVal val="1"/>
          <c:showCatName val="0"/>
          <c:showSerName val="0"/>
          <c:showPercent val="0"/>
          <c:showBubbleSize val="0"/>
        </c:dLbls>
        <c:gapWidth val="182"/>
        <c:axId val="620368128"/>
        <c:axId val="620361408"/>
      </c:barChart>
      <c:catAx>
        <c:axId val="62036812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2C307E"/>
                </a:solidFill>
                <a:latin typeface="+mn-lt"/>
                <a:ea typeface="+mn-ea"/>
                <a:cs typeface="+mn-cs"/>
              </a:defRPr>
            </a:pPr>
            <a:endParaRPr lang="en-NL"/>
          </a:p>
        </c:txPr>
        <c:crossAx val="620361408"/>
        <c:crosses val="autoZero"/>
        <c:auto val="1"/>
        <c:lblAlgn val="ctr"/>
        <c:lblOffset val="100"/>
        <c:noMultiLvlLbl val="0"/>
      </c:catAx>
      <c:valAx>
        <c:axId val="62036140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2C307E"/>
                </a:solidFill>
                <a:latin typeface="+mn-lt"/>
                <a:ea typeface="+mn-ea"/>
                <a:cs typeface="+mn-cs"/>
              </a:defRPr>
            </a:pPr>
            <a:endParaRPr lang="en-NL"/>
          </a:p>
        </c:txPr>
        <c:crossAx val="620368128"/>
        <c:crosses val="autoZero"/>
        <c:crossBetween val="between"/>
        <c:majorUnit val="0.2"/>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rgbClr val="2C307E"/>
              </a:solidFill>
              <a:latin typeface="+mn-lt"/>
              <a:ea typeface="+mn-ea"/>
              <a:cs typeface="+mn-cs"/>
            </a:defRPr>
          </a:pPr>
          <a:endParaRPr lang="en-NL"/>
        </a:p>
      </c:txPr>
    </c:legend>
    <c:plotVisOnly val="1"/>
    <c:dispBlanksAs val="gap"/>
    <c:showDLblsOverMax val="0"/>
  </c:chart>
  <c:spPr>
    <a:noFill/>
    <a:ln w="9525" cap="flat" cmpd="sng" algn="ctr">
      <a:noFill/>
      <a:round/>
    </a:ln>
    <a:effectLst/>
  </c:spPr>
  <c:txPr>
    <a:bodyPr/>
    <a:lstStyle/>
    <a:p>
      <a:pPr>
        <a:defRPr/>
      </a:pPr>
      <a:endParaRPr lang="en-NL"/>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marL="0" marR="0" lvl="0" indent="0" algn="ctr" defTabSz="914400" rtl="0" eaLnBrk="1" fontAlgn="auto" latinLnBrk="0" hangingPunct="1">
              <a:lnSpc>
                <a:spcPct val="100000"/>
              </a:lnSpc>
              <a:spcBef>
                <a:spcPts val="0"/>
              </a:spcBef>
              <a:spcAft>
                <a:spcPts val="0"/>
              </a:spcAft>
              <a:buClrTx/>
              <a:buSzTx/>
              <a:buFontTx/>
              <a:buNone/>
              <a:tabLst/>
              <a:defRPr lang="nl-NL" sz="1100" b="0" i="0" u="none" strike="noStrike" kern="1200" spc="0" baseline="0">
                <a:solidFill>
                  <a:srgbClr val="2C307E"/>
                </a:solidFill>
                <a:latin typeface="+mn-lt"/>
                <a:ea typeface="+mn-ea"/>
                <a:cs typeface="+mn-cs"/>
              </a:defRPr>
            </a:pPr>
            <a:r>
              <a:rPr lang="nl-NL" sz="1100" b="0" i="0" u="none" strike="noStrike" kern="1200" spc="0" baseline="0">
                <a:solidFill>
                  <a:srgbClr val="2C307E"/>
                </a:solidFill>
                <a:latin typeface="+mn-lt"/>
                <a:ea typeface="+mn-ea"/>
                <a:cs typeface="+mn-cs"/>
              </a:rPr>
              <a:t>EV-rijders met zonnepanelen</a:t>
            </a:r>
          </a:p>
          <a:p>
            <a:pPr marL="0" marR="0" lvl="0" indent="0" algn="ctr" defTabSz="914400" rtl="0" eaLnBrk="1" fontAlgn="auto" latinLnBrk="0" hangingPunct="1">
              <a:lnSpc>
                <a:spcPct val="100000"/>
              </a:lnSpc>
              <a:spcBef>
                <a:spcPts val="0"/>
              </a:spcBef>
              <a:spcAft>
                <a:spcPts val="0"/>
              </a:spcAft>
              <a:buClrTx/>
              <a:buSzTx/>
              <a:buFontTx/>
              <a:buNone/>
              <a:tabLst/>
              <a:defRPr lang="nl-NL" sz="1100" b="0" i="0" u="none" strike="noStrike" kern="1200" spc="0" baseline="0">
                <a:solidFill>
                  <a:srgbClr val="2C307E"/>
                </a:solidFill>
                <a:latin typeface="+mn-lt"/>
                <a:ea typeface="+mn-ea"/>
                <a:cs typeface="+mn-cs"/>
              </a:defRPr>
            </a:pPr>
            <a:endParaRPr lang="nl-NL" sz="1100" b="0" i="0" u="none" strike="noStrike" kern="1200" spc="0" baseline="0">
              <a:solidFill>
                <a:srgbClr val="2C307E"/>
              </a:solidFill>
              <a:latin typeface="+mn-lt"/>
              <a:ea typeface="+mn-ea"/>
              <a:cs typeface="+mn-cs"/>
            </a:endParaRPr>
          </a:p>
        </c:rich>
      </c:tx>
      <c:layout>
        <c:manualLayout>
          <c:xMode val="edge"/>
          <c:yMode val="edge"/>
          <c:x val="0.17484457197513151"/>
          <c:y val="1.9059720457433291E-2"/>
        </c:manualLayout>
      </c:layout>
      <c:overlay val="0"/>
    </c:title>
    <c:autoTitleDeleted val="0"/>
    <c:plotArea>
      <c:layout>
        <c:manualLayout>
          <c:layoutTarget val="inner"/>
          <c:xMode val="edge"/>
          <c:yMode val="edge"/>
          <c:x val="8.2746159320758475E-2"/>
          <c:y val="0.22597484362265369"/>
          <c:w val="0.89192281016686381"/>
          <c:h val="0.4883470471873162"/>
        </c:manualLayout>
      </c:layout>
      <c:barChart>
        <c:barDir val="col"/>
        <c:grouping val="clustered"/>
        <c:varyColors val="0"/>
        <c:ser>
          <c:idx val="3"/>
          <c:order val="0"/>
          <c:tx>
            <c:strRef>
              <c:f>'[Figuren H3_intro_betalen_prijstransparantie.xlsx]3.2 de elektrische auto'!$A$231</c:f>
              <c:strCache>
                <c:ptCount val="1"/>
                <c:pt idx="0">
                  <c:v>2022</c:v>
                </c:pt>
              </c:strCache>
            </c:strRef>
          </c:tx>
          <c:spPr>
            <a:solidFill>
              <a:srgbClr val="2C307E"/>
            </a:solidFill>
          </c:spPr>
          <c:invertIfNegative val="0"/>
          <c:cat>
            <c:strRef>
              <c:f>'[Figuren H3_intro_betalen_prijstransparantie.xlsx]3.2 de elektrische auto'!$B$230:$D$230</c:f>
              <c:strCache>
                <c:ptCount val="3"/>
                <c:pt idx="0">
                  <c:v>Totaal</c:v>
                </c:pt>
                <c:pt idx="1">
                  <c:v>Thuislader</c:v>
                </c:pt>
                <c:pt idx="2">
                  <c:v>Niet thuislader</c:v>
                </c:pt>
              </c:strCache>
            </c:strRef>
          </c:cat>
          <c:val>
            <c:numRef>
              <c:f>'[Figuren H3_intro_betalen_prijstransparantie.xlsx]3.2 de elektrische auto'!$B$231:$D$231</c:f>
              <c:numCache>
                <c:formatCode>0%</c:formatCode>
                <c:ptCount val="3"/>
                <c:pt idx="0">
                  <c:v>0.68</c:v>
                </c:pt>
                <c:pt idx="1">
                  <c:v>0.80573770491803276</c:v>
                </c:pt>
                <c:pt idx="2">
                  <c:v>0.51921182266009858</c:v>
                </c:pt>
              </c:numCache>
            </c:numRef>
          </c:val>
          <c:extLst>
            <c:ext xmlns:c16="http://schemas.microsoft.com/office/drawing/2014/chart" uri="{C3380CC4-5D6E-409C-BE32-E72D297353CC}">
              <c16:uniqueId val="{00000000-604F-486E-8D50-545449B31930}"/>
            </c:ext>
          </c:extLst>
        </c:ser>
        <c:ser>
          <c:idx val="2"/>
          <c:order val="1"/>
          <c:tx>
            <c:strRef>
              <c:f>'[Figuren H3_intro_betalen_prijstransparantie.xlsx]3.2 de elektrische auto'!$A$232</c:f>
              <c:strCache>
                <c:ptCount val="1"/>
                <c:pt idx="0">
                  <c:v>2023</c:v>
                </c:pt>
              </c:strCache>
            </c:strRef>
          </c:tx>
          <c:spPr>
            <a:solidFill>
              <a:srgbClr val="08B466"/>
            </a:solidFill>
          </c:spPr>
          <c:invertIfNegative val="0"/>
          <c:cat>
            <c:strRef>
              <c:f>'[Figuren H3_intro_betalen_prijstransparantie.xlsx]3.2 de elektrische auto'!$B$230:$D$230</c:f>
              <c:strCache>
                <c:ptCount val="3"/>
                <c:pt idx="0">
                  <c:v>Totaal</c:v>
                </c:pt>
                <c:pt idx="1">
                  <c:v>Thuislader</c:v>
                </c:pt>
                <c:pt idx="2">
                  <c:v>Niet thuislader</c:v>
                </c:pt>
              </c:strCache>
            </c:strRef>
          </c:cat>
          <c:val>
            <c:numRef>
              <c:f>'[Figuren H3_intro_betalen_prijstransparantie.xlsx]3.2 de elektrische auto'!$B$232:$D$232</c:f>
              <c:numCache>
                <c:formatCode>0%</c:formatCode>
                <c:ptCount val="3"/>
                <c:pt idx="0">
                  <c:v>0.77</c:v>
                </c:pt>
                <c:pt idx="1">
                  <c:v>0.88449848024316113</c:v>
                </c:pt>
                <c:pt idx="2">
                  <c:v>0.53524004085801835</c:v>
                </c:pt>
              </c:numCache>
            </c:numRef>
          </c:val>
          <c:extLst>
            <c:ext xmlns:c16="http://schemas.microsoft.com/office/drawing/2014/chart" uri="{C3380CC4-5D6E-409C-BE32-E72D297353CC}">
              <c16:uniqueId val="{00000001-604F-486E-8D50-545449B31930}"/>
            </c:ext>
          </c:extLst>
        </c:ser>
        <c:ser>
          <c:idx val="1"/>
          <c:order val="2"/>
          <c:tx>
            <c:strRef>
              <c:f>'[Figuren H3_intro_betalen_prijstransparantie.xlsx]3.2 de elektrische auto'!$A$233</c:f>
              <c:strCache>
                <c:ptCount val="1"/>
                <c:pt idx="0">
                  <c:v>2024</c:v>
                </c:pt>
              </c:strCache>
            </c:strRef>
          </c:tx>
          <c:spPr>
            <a:solidFill>
              <a:srgbClr val="C9C743"/>
            </a:solidFill>
          </c:spPr>
          <c:invertIfNegative val="0"/>
          <c:cat>
            <c:strRef>
              <c:f>'[Figuren H3_intro_betalen_prijstransparantie.xlsx]3.2 de elektrische auto'!$B$230:$D$230</c:f>
              <c:strCache>
                <c:ptCount val="3"/>
                <c:pt idx="0">
                  <c:v>Totaal</c:v>
                </c:pt>
                <c:pt idx="1">
                  <c:v>Thuislader</c:v>
                </c:pt>
                <c:pt idx="2">
                  <c:v>Niet thuislader</c:v>
                </c:pt>
              </c:strCache>
            </c:strRef>
          </c:cat>
          <c:val>
            <c:numRef>
              <c:f>'[Figuren H3_intro_betalen_prijstransparantie.xlsx]3.2 de elektrische auto'!$B$233:$D$233</c:f>
              <c:numCache>
                <c:formatCode>0%</c:formatCode>
                <c:ptCount val="3"/>
                <c:pt idx="0">
                  <c:v>0.81</c:v>
                </c:pt>
                <c:pt idx="1">
                  <c:v>0.91</c:v>
                </c:pt>
                <c:pt idx="2">
                  <c:v>0.56999999999999995</c:v>
                </c:pt>
              </c:numCache>
            </c:numRef>
          </c:val>
          <c:extLst>
            <c:ext xmlns:c16="http://schemas.microsoft.com/office/drawing/2014/chart" uri="{C3380CC4-5D6E-409C-BE32-E72D297353CC}">
              <c16:uniqueId val="{00000002-604F-486E-8D50-545449B31930}"/>
            </c:ext>
          </c:extLst>
        </c:ser>
        <c:ser>
          <c:idx val="0"/>
          <c:order val="3"/>
          <c:tx>
            <c:strRef>
              <c:f>'[Figuren H3_intro_betalen_prijstransparantie.xlsx]3.2 de elektrische auto'!$A$234</c:f>
              <c:strCache>
                <c:ptCount val="1"/>
                <c:pt idx="0">
                  <c:v>2025</c:v>
                </c:pt>
              </c:strCache>
            </c:strRef>
          </c:tx>
          <c:spPr>
            <a:solidFill>
              <a:srgbClr val="BAD6ED"/>
            </a:solidFill>
            <a:ln>
              <a:noFill/>
            </a:ln>
            <a:effectLst/>
          </c:spPr>
          <c:invertIfNegative val="0"/>
          <c:dLbls>
            <c:dLbl>
              <c:idx val="2"/>
              <c:layout>
                <c:manualLayout>
                  <c:x val="9.5648015303682454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04F-486E-8D50-545449B31930}"/>
                </c:ext>
              </c:extLst>
            </c:dLbl>
            <c:spPr>
              <a:noFill/>
              <a:ln>
                <a:noFill/>
              </a:ln>
              <a:effectLst/>
            </c:spPr>
            <c:txPr>
              <a:bodyPr wrap="square" lIns="38100" tIns="19050" rIns="38100" bIns="19050" anchor="ctr" anchorCtr="0">
                <a:spAutoFit/>
              </a:bodyPr>
              <a:lstStyle/>
              <a:p>
                <a:pPr algn="ctr">
                  <a:defRPr lang="en-US" sz="800" b="1" i="0" u="none" strike="noStrike" kern="1200" baseline="0">
                    <a:solidFill>
                      <a:srgbClr val="4EAFAA"/>
                    </a:solidFill>
                    <a:latin typeface="+mn-lt"/>
                    <a:ea typeface="+mn-ea"/>
                    <a:cs typeface="+mn-cs"/>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'[Figuren H3_intro_betalen_prijstransparantie.xlsx]3.2 de elektrische auto'!$B$230:$D$230</c:f>
              <c:strCache>
                <c:ptCount val="3"/>
                <c:pt idx="0">
                  <c:v>Totaal</c:v>
                </c:pt>
                <c:pt idx="1">
                  <c:v>Thuislader</c:v>
                </c:pt>
                <c:pt idx="2">
                  <c:v>Niet thuislader</c:v>
                </c:pt>
              </c:strCache>
            </c:strRef>
          </c:cat>
          <c:val>
            <c:numRef>
              <c:f>'[Figuren H3_intro_betalen_prijstransparantie.xlsx]3.2 de elektrische auto'!$B$234:$D$234</c:f>
              <c:numCache>
                <c:formatCode>0%</c:formatCode>
                <c:ptCount val="3"/>
                <c:pt idx="0">
                  <c:v>0.79249931563098819</c:v>
                </c:pt>
                <c:pt idx="1">
                  <c:v>0.903874269005848</c:v>
                </c:pt>
                <c:pt idx="2">
                  <c:v>0.46019629225736092</c:v>
                </c:pt>
              </c:numCache>
            </c:numRef>
          </c:val>
          <c:extLst>
            <c:ext xmlns:c16="http://schemas.microsoft.com/office/drawing/2014/chart" uri="{C3380CC4-5D6E-409C-BE32-E72D297353CC}">
              <c16:uniqueId val="{00000004-604F-486E-8D50-545449B31930}"/>
            </c:ext>
          </c:extLst>
        </c:ser>
        <c:dLbls>
          <c:showLegendKey val="0"/>
          <c:showVal val="0"/>
          <c:showCatName val="0"/>
          <c:showSerName val="0"/>
          <c:showPercent val="0"/>
          <c:showBubbleSize val="0"/>
        </c:dLbls>
        <c:gapWidth val="219"/>
        <c:overlap val="-27"/>
        <c:axId val="488549280"/>
        <c:axId val="488558136"/>
      </c:barChart>
      <c:catAx>
        <c:axId val="4885492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sz="900" b="0" i="0" u="none" strike="noStrike" kern="1200" baseline="0">
                <a:solidFill>
                  <a:srgbClr val="2C307E"/>
                </a:solidFill>
                <a:latin typeface="+mn-lt"/>
                <a:ea typeface="+mn-ea"/>
                <a:cs typeface="+mn-cs"/>
              </a:defRPr>
            </a:pPr>
            <a:endParaRPr lang="nl-NL"/>
          </a:p>
        </c:txPr>
        <c:crossAx val="488558136"/>
        <c:crosses val="autoZero"/>
        <c:auto val="1"/>
        <c:lblAlgn val="ctr"/>
        <c:lblOffset val="100"/>
        <c:noMultiLvlLbl val="0"/>
      </c:catAx>
      <c:valAx>
        <c:axId val="488558136"/>
        <c:scaling>
          <c:orientation val="minMax"/>
        </c:scaling>
        <c:delete val="0"/>
        <c:axPos val="l"/>
        <c:majorGridlines>
          <c:spPr>
            <a:ln>
              <a:solidFill>
                <a:srgbClr val="D9D9D9"/>
              </a:solidFill>
            </a:ln>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2C307E"/>
                </a:solidFill>
                <a:latin typeface="+mn-lt"/>
                <a:ea typeface="+mn-ea"/>
                <a:cs typeface="+mn-cs"/>
              </a:defRPr>
            </a:pPr>
            <a:endParaRPr lang="nl-NL"/>
          </a:p>
        </c:txPr>
        <c:crossAx val="488549280"/>
        <c:crosses val="autoZero"/>
        <c:crossBetween val="between"/>
        <c:majorUnit val="0.25"/>
      </c:valAx>
      <c:spPr>
        <a:noFill/>
        <a:ln>
          <a:noFill/>
        </a:ln>
      </c:spPr>
    </c:plotArea>
    <c:legend>
      <c:legendPos val="b"/>
      <c:overlay val="0"/>
      <c:txPr>
        <a:bodyPr/>
        <a:lstStyle/>
        <a:p>
          <a:pPr>
            <a:defRPr sz="900">
              <a:solidFill>
                <a:srgbClr val="2C307E"/>
              </a:solidFill>
            </a:defRPr>
          </a:pPr>
          <a:endParaRPr lang="nl-NL"/>
        </a:p>
      </c:txPr>
    </c:legend>
    <c:plotVisOnly val="1"/>
    <c:dispBlanksAs val="gap"/>
    <c:showDLblsOverMax val="0"/>
    <c:extLst/>
  </c:chart>
  <c:spPr>
    <a:noFill/>
    <a:ln w="9525" cap="flat" cmpd="sng" algn="ctr">
      <a:noFill/>
      <a:round/>
    </a:ln>
    <a:effectLst/>
  </c:spPr>
  <c:txPr>
    <a:bodyPr/>
    <a:lstStyle/>
    <a:p>
      <a:pPr>
        <a:defRPr/>
      </a:pPr>
      <a:endParaRPr lang="nl-NL"/>
    </a:p>
  </c:txPr>
  <c:externalData r:id="rId1">
    <c:autoUpdate val="0"/>
  </c:externalData>
</c:chartSpace>
</file>

<file path=word/charts/chart1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rgbClr val="2C307E"/>
                </a:solidFill>
                <a:latin typeface="+mn-lt"/>
                <a:ea typeface="+mn-ea"/>
                <a:cs typeface="+mn-cs"/>
              </a:defRPr>
            </a:pPr>
            <a:r>
              <a:rPr lang="nl-NL" sz="1100"/>
              <a:t>Slim</a:t>
            </a:r>
            <a:r>
              <a:rPr lang="nl-NL" sz="1100" baseline="0"/>
              <a:t> laden werk</a:t>
            </a:r>
            <a:endParaRPr lang="nl-NL" sz="1100"/>
          </a:p>
        </c:rich>
      </c:tx>
      <c:overlay val="0"/>
      <c:spPr>
        <a:noFill/>
        <a:ln>
          <a:noFill/>
        </a:ln>
        <a:effectLst/>
      </c:spPr>
      <c:txPr>
        <a:bodyPr rot="0" spcFirstLastPara="1" vertOverflow="ellipsis" vert="horz" wrap="square" anchor="ctr" anchorCtr="1"/>
        <a:lstStyle/>
        <a:p>
          <a:pPr>
            <a:defRPr sz="1100" b="0" i="0" u="none" strike="noStrike" kern="1200" spc="0" baseline="0">
              <a:solidFill>
                <a:srgbClr val="2C307E"/>
              </a:solidFill>
              <a:latin typeface="+mn-lt"/>
              <a:ea typeface="+mn-ea"/>
              <a:cs typeface="+mn-cs"/>
            </a:defRPr>
          </a:pPr>
          <a:endParaRPr lang="nl-NL"/>
        </a:p>
      </c:txPr>
    </c:title>
    <c:autoTitleDeleted val="0"/>
    <c:plotArea>
      <c:layout/>
      <c:barChart>
        <c:barDir val="bar"/>
        <c:grouping val="percentStacked"/>
        <c:varyColors val="0"/>
        <c:ser>
          <c:idx val="0"/>
          <c:order val="0"/>
          <c:tx>
            <c:strRef>
              <c:f>Testsheet!$C$643</c:f>
              <c:strCache>
                <c:ptCount val="1"/>
                <c:pt idx="0">
                  <c:v>Gebruik ik</c:v>
                </c:pt>
              </c:strCache>
            </c:strRef>
          </c:tx>
          <c:spPr>
            <a:solidFill>
              <a:srgbClr val="2C307E"/>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N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Testsheet!$A$683:$B$690</c:f>
              <c:multiLvlStrCache>
                <c:ptCount val="8"/>
                <c:lvl>
                  <c:pt idx="0">
                    <c:v>2024</c:v>
                  </c:pt>
                  <c:pt idx="1">
                    <c:v>2025</c:v>
                  </c:pt>
                  <c:pt idx="2">
                    <c:v>2024</c:v>
                  </c:pt>
                  <c:pt idx="3">
                    <c:v>2025</c:v>
                  </c:pt>
                  <c:pt idx="4">
                    <c:v>2024</c:v>
                  </c:pt>
                  <c:pt idx="5">
                    <c:v>2025</c:v>
                  </c:pt>
                  <c:pt idx="6">
                    <c:v>2024</c:v>
                  </c:pt>
                  <c:pt idx="7">
                    <c:v>2025</c:v>
                  </c:pt>
                </c:lvl>
                <c:lvl>
                  <c:pt idx="0">
                    <c:v>Bidirectioneel laden</c:v>
                  </c:pt>
                  <c:pt idx="2">
                    <c:v>Laden o.b.v. netcapaciteit</c:v>
                  </c:pt>
                  <c:pt idx="4">
                    <c:v>Laden op basis van dynamische stroomtarieven</c:v>
                  </c:pt>
                  <c:pt idx="6">
                    <c:v>Laden op duurzame opwek (zon en wind)</c:v>
                  </c:pt>
                </c:lvl>
              </c:multiLvlStrCache>
            </c:multiLvlStrRef>
          </c:cat>
          <c:val>
            <c:numRef>
              <c:f>Testsheet!$C$683:$C$690</c:f>
              <c:numCache>
                <c:formatCode>0%</c:formatCode>
                <c:ptCount val="8"/>
                <c:pt idx="0">
                  <c:v>1.6012810248198558E-3</c:v>
                </c:pt>
                <c:pt idx="1">
                  <c:v>1.9038076152304611E-2</c:v>
                </c:pt>
                <c:pt idx="2">
                  <c:v>4.9639711769415534E-2</c:v>
                </c:pt>
                <c:pt idx="3">
                  <c:v>9.5190380761523044E-2</c:v>
                </c:pt>
                <c:pt idx="4">
                  <c:v>1.6413130504403524E-2</c:v>
                </c:pt>
                <c:pt idx="5">
                  <c:v>5.2104208416833664E-2</c:v>
                </c:pt>
                <c:pt idx="6">
                  <c:v>7.8863090472377897E-2</c:v>
                </c:pt>
                <c:pt idx="7">
                  <c:v>8.2164328657314628E-2</c:v>
                </c:pt>
              </c:numCache>
            </c:numRef>
          </c:val>
          <c:extLst>
            <c:ext xmlns:c16="http://schemas.microsoft.com/office/drawing/2014/chart" uri="{C3380CC4-5D6E-409C-BE32-E72D297353CC}">
              <c16:uniqueId val="{00000000-6584-42A6-889E-556083E8ECB0}"/>
            </c:ext>
          </c:extLst>
        </c:ser>
        <c:ser>
          <c:idx val="1"/>
          <c:order val="1"/>
          <c:tx>
            <c:strRef>
              <c:f>Testsheet!$D$643</c:f>
              <c:strCache>
                <c:ptCount val="1"/>
                <c:pt idx="0">
                  <c:v>Wil ik gebruiken</c:v>
                </c:pt>
              </c:strCache>
            </c:strRef>
          </c:tx>
          <c:spPr>
            <a:solidFill>
              <a:srgbClr val="08B46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N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Testsheet!$A$683:$B$690</c:f>
              <c:multiLvlStrCache>
                <c:ptCount val="8"/>
                <c:lvl>
                  <c:pt idx="0">
                    <c:v>2024</c:v>
                  </c:pt>
                  <c:pt idx="1">
                    <c:v>2025</c:v>
                  </c:pt>
                  <c:pt idx="2">
                    <c:v>2024</c:v>
                  </c:pt>
                  <c:pt idx="3">
                    <c:v>2025</c:v>
                  </c:pt>
                  <c:pt idx="4">
                    <c:v>2024</c:v>
                  </c:pt>
                  <c:pt idx="5">
                    <c:v>2025</c:v>
                  </c:pt>
                  <c:pt idx="6">
                    <c:v>2024</c:v>
                  </c:pt>
                  <c:pt idx="7">
                    <c:v>2025</c:v>
                  </c:pt>
                </c:lvl>
                <c:lvl>
                  <c:pt idx="0">
                    <c:v>Bidirectioneel laden</c:v>
                  </c:pt>
                  <c:pt idx="2">
                    <c:v>Laden o.b.v. netcapaciteit</c:v>
                  </c:pt>
                  <c:pt idx="4">
                    <c:v>Laden op basis van dynamische stroomtarieven</c:v>
                  </c:pt>
                  <c:pt idx="6">
                    <c:v>Laden op duurzame opwek (zon en wind)</c:v>
                  </c:pt>
                </c:lvl>
              </c:multiLvlStrCache>
            </c:multiLvlStrRef>
          </c:cat>
          <c:val>
            <c:numRef>
              <c:f>Testsheet!$D$683:$D$690</c:f>
              <c:numCache>
                <c:formatCode>0%</c:formatCode>
                <c:ptCount val="8"/>
                <c:pt idx="0">
                  <c:v>4.9239391513210572E-2</c:v>
                </c:pt>
                <c:pt idx="1">
                  <c:v>0.15130260521042085</c:v>
                </c:pt>
                <c:pt idx="2">
                  <c:v>6.1248999199359486E-2</c:v>
                </c:pt>
                <c:pt idx="3">
                  <c:v>3.7074148296593189E-2</c:v>
                </c:pt>
                <c:pt idx="4">
                  <c:v>6.1248999199359486E-2</c:v>
                </c:pt>
                <c:pt idx="5">
                  <c:v>0.22645290581162325</c:v>
                </c:pt>
                <c:pt idx="6">
                  <c:v>8.9271417133706968E-2</c:v>
                </c:pt>
                <c:pt idx="7">
                  <c:v>0.23146292585170342</c:v>
                </c:pt>
              </c:numCache>
            </c:numRef>
          </c:val>
          <c:extLst>
            <c:ext xmlns:c16="http://schemas.microsoft.com/office/drawing/2014/chart" uri="{C3380CC4-5D6E-409C-BE32-E72D297353CC}">
              <c16:uniqueId val="{00000001-6584-42A6-889E-556083E8ECB0}"/>
            </c:ext>
          </c:extLst>
        </c:ser>
        <c:ser>
          <c:idx val="2"/>
          <c:order val="2"/>
          <c:tx>
            <c:strRef>
              <c:f>Testsheet!$E$643</c:f>
              <c:strCache>
                <c:ptCount val="1"/>
                <c:pt idx="0">
                  <c:v>Niet</c:v>
                </c:pt>
              </c:strCache>
            </c:strRef>
          </c:tx>
          <c:spPr>
            <a:solidFill>
              <a:srgbClr val="C9C74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N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Testsheet!$A$683:$B$690</c:f>
              <c:multiLvlStrCache>
                <c:ptCount val="8"/>
                <c:lvl>
                  <c:pt idx="0">
                    <c:v>2024</c:v>
                  </c:pt>
                  <c:pt idx="1">
                    <c:v>2025</c:v>
                  </c:pt>
                  <c:pt idx="2">
                    <c:v>2024</c:v>
                  </c:pt>
                  <c:pt idx="3">
                    <c:v>2025</c:v>
                  </c:pt>
                  <c:pt idx="4">
                    <c:v>2024</c:v>
                  </c:pt>
                  <c:pt idx="5">
                    <c:v>2025</c:v>
                  </c:pt>
                  <c:pt idx="6">
                    <c:v>2024</c:v>
                  </c:pt>
                  <c:pt idx="7">
                    <c:v>2025</c:v>
                  </c:pt>
                </c:lvl>
                <c:lvl>
                  <c:pt idx="0">
                    <c:v>Bidirectioneel laden</c:v>
                  </c:pt>
                  <c:pt idx="2">
                    <c:v>Laden o.b.v. netcapaciteit</c:v>
                  </c:pt>
                  <c:pt idx="4">
                    <c:v>Laden op basis van dynamische stroomtarieven</c:v>
                  </c:pt>
                  <c:pt idx="6">
                    <c:v>Laden op duurzame opwek (zon en wind)</c:v>
                  </c:pt>
                </c:lvl>
              </c:multiLvlStrCache>
            </c:multiLvlStrRef>
          </c:cat>
          <c:val>
            <c:numRef>
              <c:f>Testsheet!$E$683:$E$690</c:f>
              <c:numCache>
                <c:formatCode>0%</c:formatCode>
                <c:ptCount val="8"/>
                <c:pt idx="0">
                  <c:v>0.94915932746196963</c:v>
                </c:pt>
                <c:pt idx="1">
                  <c:v>0.8296593186372746</c:v>
                </c:pt>
                <c:pt idx="2">
                  <c:v>0.88911128903122505</c:v>
                </c:pt>
                <c:pt idx="3">
                  <c:v>0.86773547094188375</c:v>
                </c:pt>
                <c:pt idx="4">
                  <c:v>0.92233787029623704</c:v>
                </c:pt>
                <c:pt idx="5">
                  <c:v>0.72144288577154303</c:v>
                </c:pt>
                <c:pt idx="6">
                  <c:v>0.83186549239391505</c:v>
                </c:pt>
                <c:pt idx="7">
                  <c:v>0.68637274549098204</c:v>
                </c:pt>
              </c:numCache>
            </c:numRef>
          </c:val>
          <c:extLst>
            <c:ext xmlns:c16="http://schemas.microsoft.com/office/drawing/2014/chart" uri="{C3380CC4-5D6E-409C-BE32-E72D297353CC}">
              <c16:uniqueId val="{00000002-6584-42A6-889E-556083E8ECB0}"/>
            </c:ext>
          </c:extLst>
        </c:ser>
        <c:dLbls>
          <c:dLblPos val="ctr"/>
          <c:showLegendKey val="0"/>
          <c:showVal val="1"/>
          <c:showCatName val="0"/>
          <c:showSerName val="0"/>
          <c:showPercent val="0"/>
          <c:showBubbleSize val="0"/>
        </c:dLbls>
        <c:gapWidth val="150"/>
        <c:overlap val="100"/>
        <c:axId val="315504831"/>
        <c:axId val="315500511"/>
      </c:barChart>
      <c:catAx>
        <c:axId val="315504831"/>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2C307E"/>
                </a:solidFill>
                <a:latin typeface="+mn-lt"/>
                <a:ea typeface="+mn-ea"/>
                <a:cs typeface="+mn-cs"/>
              </a:defRPr>
            </a:pPr>
            <a:endParaRPr lang="en-NL"/>
          </a:p>
        </c:txPr>
        <c:crossAx val="315500511"/>
        <c:crosses val="autoZero"/>
        <c:auto val="1"/>
        <c:lblAlgn val="ctr"/>
        <c:lblOffset val="100"/>
        <c:noMultiLvlLbl val="0"/>
      </c:catAx>
      <c:valAx>
        <c:axId val="315500511"/>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2C307E"/>
                </a:solidFill>
                <a:latin typeface="+mn-lt"/>
                <a:ea typeface="+mn-ea"/>
                <a:cs typeface="+mn-cs"/>
              </a:defRPr>
            </a:pPr>
            <a:endParaRPr lang="en-NL"/>
          </a:p>
        </c:txPr>
        <c:crossAx val="31550483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rgbClr val="2C307E"/>
              </a:solidFill>
              <a:latin typeface="+mn-lt"/>
              <a:ea typeface="+mn-ea"/>
              <a:cs typeface="+mn-cs"/>
            </a:defRPr>
          </a:pPr>
          <a:endParaRPr lang="en-NL"/>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a:pPr>
      <a:endParaRPr lang="en-NL"/>
    </a:p>
  </c:txPr>
  <c:externalData r:id="rId3">
    <c:autoUpdate val="0"/>
  </c:externalData>
</c:chartSpace>
</file>

<file path=word/charts/chart1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rgbClr val="2C307E"/>
                </a:solidFill>
                <a:latin typeface="+mn-lt"/>
                <a:ea typeface="+mn-ea"/>
                <a:cs typeface="+mn-cs"/>
              </a:defRPr>
            </a:pPr>
            <a:r>
              <a:rPr lang="nl-NL" sz="1100">
                <a:solidFill>
                  <a:srgbClr val="2C307E"/>
                </a:solidFill>
              </a:rPr>
              <a:t>Hoe ervaar je de volgende vormen van slim laden bij je werklaadpunt? </a:t>
            </a:r>
          </a:p>
        </c:rich>
      </c:tx>
      <c:overlay val="0"/>
      <c:spPr>
        <a:noFill/>
        <a:ln>
          <a:noFill/>
        </a:ln>
        <a:effectLst/>
      </c:spPr>
      <c:txPr>
        <a:bodyPr rot="0" spcFirstLastPara="1" vertOverflow="ellipsis" vert="horz" wrap="square" anchor="ctr" anchorCtr="1"/>
        <a:lstStyle/>
        <a:p>
          <a:pPr>
            <a:defRPr sz="1100" b="0" i="0" u="none" strike="noStrike" kern="1200" spc="0" baseline="0">
              <a:solidFill>
                <a:srgbClr val="2C307E"/>
              </a:solidFill>
              <a:latin typeface="+mn-lt"/>
              <a:ea typeface="+mn-ea"/>
              <a:cs typeface="+mn-cs"/>
            </a:defRPr>
          </a:pPr>
          <a:endParaRPr lang="en-NL"/>
        </a:p>
      </c:txPr>
    </c:title>
    <c:autoTitleDeleted val="0"/>
    <c:plotArea>
      <c:layout>
        <c:manualLayout>
          <c:layoutTarget val="inner"/>
          <c:xMode val="edge"/>
          <c:yMode val="edge"/>
          <c:x val="0.47084844308378238"/>
          <c:y val="0.15880295375048581"/>
          <c:w val="0.42844624694510031"/>
          <c:h val="0.53679120852217599"/>
        </c:manualLayout>
      </c:layout>
      <c:barChart>
        <c:barDir val="bar"/>
        <c:grouping val="stacked"/>
        <c:varyColors val="0"/>
        <c:ser>
          <c:idx val="0"/>
          <c:order val="0"/>
          <c:tx>
            <c:strRef>
              <c:f>Figuren!$B$397</c:f>
              <c:strCache>
                <c:ptCount val="1"/>
                <c:pt idx="0">
                  <c:v>zeer negatief</c:v>
                </c:pt>
              </c:strCache>
            </c:strRef>
          </c:tx>
          <c:spPr>
            <a:solidFill>
              <a:srgbClr val="2C307E"/>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bg1"/>
                    </a:solidFill>
                    <a:latin typeface="+mn-lt"/>
                    <a:ea typeface="+mn-ea"/>
                    <a:cs typeface="+mn-cs"/>
                  </a:defRPr>
                </a:pPr>
                <a:endParaRPr lang="en-N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Figuren!$A$399:$A$401</c:f>
              <c:strCache>
                <c:ptCount val="3"/>
                <c:pt idx="0">
                  <c:v>Laden op basis van netcapaciteit [N=118]</c:v>
                </c:pt>
                <c:pt idx="1">
                  <c:v>Laden op basis van dynamische stroomtarieven [N=64]</c:v>
                </c:pt>
                <c:pt idx="2">
                  <c:v>Laden op duurzame opwek (zon en wind) [N=97]</c:v>
                </c:pt>
              </c:strCache>
            </c:strRef>
          </c:cat>
          <c:val>
            <c:numRef>
              <c:f>Figuren!$B$399:$B$401</c:f>
              <c:numCache>
                <c:formatCode>0%</c:formatCode>
                <c:ptCount val="3"/>
                <c:pt idx="0">
                  <c:v>4.2372881355932202E-2</c:v>
                </c:pt>
                <c:pt idx="1">
                  <c:v>4.6875E-2</c:v>
                </c:pt>
                <c:pt idx="2">
                  <c:v>3.0927835051546393E-2</c:v>
                </c:pt>
              </c:numCache>
            </c:numRef>
          </c:val>
          <c:extLst>
            <c:ext xmlns:c16="http://schemas.microsoft.com/office/drawing/2014/chart" uri="{C3380CC4-5D6E-409C-BE32-E72D297353CC}">
              <c16:uniqueId val="{00000000-ECB3-48A8-BC3A-82C6B98C8835}"/>
            </c:ext>
          </c:extLst>
        </c:ser>
        <c:ser>
          <c:idx val="1"/>
          <c:order val="1"/>
          <c:tx>
            <c:strRef>
              <c:f>Figuren!$C$397</c:f>
              <c:strCache>
                <c:ptCount val="1"/>
                <c:pt idx="0">
                  <c:v>enigszins negatief</c:v>
                </c:pt>
              </c:strCache>
            </c:strRef>
          </c:tx>
          <c:spPr>
            <a:solidFill>
              <a:srgbClr val="08B46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bg1"/>
                    </a:solidFill>
                    <a:latin typeface="+mn-lt"/>
                    <a:ea typeface="+mn-ea"/>
                    <a:cs typeface="+mn-cs"/>
                  </a:defRPr>
                </a:pPr>
                <a:endParaRPr lang="en-N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Figuren!$A$399:$A$401</c:f>
              <c:strCache>
                <c:ptCount val="3"/>
                <c:pt idx="0">
                  <c:v>Laden op basis van netcapaciteit [N=118]</c:v>
                </c:pt>
                <c:pt idx="1">
                  <c:v>Laden op basis van dynamische stroomtarieven [N=64]</c:v>
                </c:pt>
                <c:pt idx="2">
                  <c:v>Laden op duurzame opwek (zon en wind) [N=97]</c:v>
                </c:pt>
              </c:strCache>
            </c:strRef>
          </c:cat>
          <c:val>
            <c:numRef>
              <c:f>Figuren!$C$399:$C$401</c:f>
              <c:numCache>
                <c:formatCode>0%</c:formatCode>
                <c:ptCount val="3"/>
                <c:pt idx="0">
                  <c:v>0.1271186440677966</c:v>
                </c:pt>
                <c:pt idx="1">
                  <c:v>4.6875E-2</c:v>
                </c:pt>
                <c:pt idx="2">
                  <c:v>0.12371134020618557</c:v>
                </c:pt>
              </c:numCache>
            </c:numRef>
          </c:val>
          <c:extLst>
            <c:ext xmlns:c16="http://schemas.microsoft.com/office/drawing/2014/chart" uri="{C3380CC4-5D6E-409C-BE32-E72D297353CC}">
              <c16:uniqueId val="{00000001-ECB3-48A8-BC3A-82C6B98C8835}"/>
            </c:ext>
          </c:extLst>
        </c:ser>
        <c:ser>
          <c:idx val="2"/>
          <c:order val="2"/>
          <c:tx>
            <c:strRef>
              <c:f>Figuren!$D$397</c:f>
              <c:strCache>
                <c:ptCount val="1"/>
                <c:pt idx="0">
                  <c:v>neutraal </c:v>
                </c:pt>
              </c:strCache>
            </c:strRef>
          </c:tx>
          <c:spPr>
            <a:solidFill>
              <a:srgbClr val="C9C74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bg1"/>
                    </a:solidFill>
                    <a:latin typeface="+mn-lt"/>
                    <a:ea typeface="+mn-ea"/>
                    <a:cs typeface="+mn-cs"/>
                  </a:defRPr>
                </a:pPr>
                <a:endParaRPr lang="en-N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Figuren!$A$399:$A$401</c:f>
              <c:strCache>
                <c:ptCount val="3"/>
                <c:pt idx="0">
                  <c:v>Laden op basis van netcapaciteit [N=118]</c:v>
                </c:pt>
                <c:pt idx="1">
                  <c:v>Laden op basis van dynamische stroomtarieven [N=64]</c:v>
                </c:pt>
                <c:pt idx="2">
                  <c:v>Laden op duurzame opwek (zon en wind) [N=97]</c:v>
                </c:pt>
              </c:strCache>
            </c:strRef>
          </c:cat>
          <c:val>
            <c:numRef>
              <c:f>Figuren!$D$399:$D$401</c:f>
              <c:numCache>
                <c:formatCode>0%</c:formatCode>
                <c:ptCount val="3"/>
                <c:pt idx="0">
                  <c:v>0.29661016949152541</c:v>
                </c:pt>
                <c:pt idx="1">
                  <c:v>0.34375</c:v>
                </c:pt>
                <c:pt idx="2">
                  <c:v>0.28865979381443296</c:v>
                </c:pt>
              </c:numCache>
            </c:numRef>
          </c:val>
          <c:extLst>
            <c:ext xmlns:c16="http://schemas.microsoft.com/office/drawing/2014/chart" uri="{C3380CC4-5D6E-409C-BE32-E72D297353CC}">
              <c16:uniqueId val="{00000002-ECB3-48A8-BC3A-82C6B98C8835}"/>
            </c:ext>
          </c:extLst>
        </c:ser>
        <c:ser>
          <c:idx val="3"/>
          <c:order val="3"/>
          <c:tx>
            <c:strRef>
              <c:f>Figuren!$E$397</c:f>
              <c:strCache>
                <c:ptCount val="1"/>
                <c:pt idx="0">
                  <c:v>enigszins positief</c:v>
                </c:pt>
              </c:strCache>
            </c:strRef>
          </c:tx>
          <c:spPr>
            <a:solidFill>
              <a:srgbClr val="BAD6ED"/>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rgbClr val="2C307E"/>
                    </a:solidFill>
                    <a:latin typeface="+mn-lt"/>
                    <a:ea typeface="+mn-ea"/>
                    <a:cs typeface="+mn-cs"/>
                  </a:defRPr>
                </a:pPr>
                <a:endParaRPr lang="en-N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Figuren!$A$399:$A$401</c:f>
              <c:strCache>
                <c:ptCount val="3"/>
                <c:pt idx="0">
                  <c:v>Laden op basis van netcapaciteit [N=118]</c:v>
                </c:pt>
                <c:pt idx="1">
                  <c:v>Laden op basis van dynamische stroomtarieven [N=64]</c:v>
                </c:pt>
                <c:pt idx="2">
                  <c:v>Laden op duurzame opwek (zon en wind) [N=97]</c:v>
                </c:pt>
              </c:strCache>
            </c:strRef>
          </c:cat>
          <c:val>
            <c:numRef>
              <c:f>Figuren!$E$399:$E$401</c:f>
              <c:numCache>
                <c:formatCode>0%</c:formatCode>
                <c:ptCount val="3"/>
                <c:pt idx="0">
                  <c:v>0.27966101694915252</c:v>
                </c:pt>
                <c:pt idx="1">
                  <c:v>0.1875</c:v>
                </c:pt>
                <c:pt idx="2">
                  <c:v>0.17525773195876287</c:v>
                </c:pt>
              </c:numCache>
            </c:numRef>
          </c:val>
          <c:extLst>
            <c:ext xmlns:c16="http://schemas.microsoft.com/office/drawing/2014/chart" uri="{C3380CC4-5D6E-409C-BE32-E72D297353CC}">
              <c16:uniqueId val="{00000003-ECB3-48A8-BC3A-82C6B98C8835}"/>
            </c:ext>
          </c:extLst>
        </c:ser>
        <c:ser>
          <c:idx val="4"/>
          <c:order val="4"/>
          <c:tx>
            <c:strRef>
              <c:f>Figuren!$F$397</c:f>
              <c:strCache>
                <c:ptCount val="1"/>
                <c:pt idx="0">
                  <c:v>zeer positief</c:v>
                </c:pt>
              </c:strCache>
            </c:strRef>
          </c:tx>
          <c:spPr>
            <a:solidFill>
              <a:srgbClr val="4EAFAA"/>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bg1"/>
                    </a:solidFill>
                    <a:latin typeface="+mn-lt"/>
                    <a:ea typeface="+mn-ea"/>
                    <a:cs typeface="+mn-cs"/>
                  </a:defRPr>
                </a:pPr>
                <a:endParaRPr lang="en-N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Figuren!$A$399:$A$401</c:f>
              <c:strCache>
                <c:ptCount val="3"/>
                <c:pt idx="0">
                  <c:v>Laden op basis van netcapaciteit [N=118]</c:v>
                </c:pt>
                <c:pt idx="1">
                  <c:v>Laden op basis van dynamische stroomtarieven [N=64]</c:v>
                </c:pt>
                <c:pt idx="2">
                  <c:v>Laden op duurzame opwek (zon en wind) [N=97]</c:v>
                </c:pt>
              </c:strCache>
            </c:strRef>
          </c:cat>
          <c:val>
            <c:numRef>
              <c:f>Figuren!$F$399:$F$401</c:f>
              <c:numCache>
                <c:formatCode>0%</c:formatCode>
                <c:ptCount val="3"/>
                <c:pt idx="0">
                  <c:v>0.25423728813559321</c:v>
                </c:pt>
                <c:pt idx="1">
                  <c:v>0.375</c:v>
                </c:pt>
                <c:pt idx="2">
                  <c:v>0.38144329896907214</c:v>
                </c:pt>
              </c:numCache>
            </c:numRef>
          </c:val>
          <c:extLst>
            <c:ext xmlns:c16="http://schemas.microsoft.com/office/drawing/2014/chart" uri="{C3380CC4-5D6E-409C-BE32-E72D297353CC}">
              <c16:uniqueId val="{00000004-ECB3-48A8-BC3A-82C6B98C8835}"/>
            </c:ext>
          </c:extLst>
        </c:ser>
        <c:dLbls>
          <c:dLblPos val="ctr"/>
          <c:showLegendKey val="0"/>
          <c:showVal val="1"/>
          <c:showCatName val="0"/>
          <c:showSerName val="0"/>
          <c:showPercent val="0"/>
          <c:showBubbleSize val="0"/>
        </c:dLbls>
        <c:gapWidth val="150"/>
        <c:overlap val="100"/>
        <c:axId val="1713281103"/>
        <c:axId val="1713287823"/>
      </c:barChart>
      <c:catAx>
        <c:axId val="1713281103"/>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2C307E"/>
                </a:solidFill>
                <a:latin typeface="+mn-lt"/>
                <a:ea typeface="+mn-ea"/>
                <a:cs typeface="+mn-cs"/>
              </a:defRPr>
            </a:pPr>
            <a:endParaRPr lang="en-NL"/>
          </a:p>
        </c:txPr>
        <c:crossAx val="1713287823"/>
        <c:crosses val="autoZero"/>
        <c:auto val="1"/>
        <c:lblAlgn val="ctr"/>
        <c:lblOffset val="100"/>
        <c:noMultiLvlLbl val="0"/>
      </c:catAx>
      <c:valAx>
        <c:axId val="1713287823"/>
        <c:scaling>
          <c:orientation val="minMax"/>
          <c:max val="1"/>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2C307E"/>
                </a:solidFill>
                <a:latin typeface="+mn-lt"/>
                <a:ea typeface="+mn-ea"/>
                <a:cs typeface="+mn-cs"/>
              </a:defRPr>
            </a:pPr>
            <a:endParaRPr lang="en-NL"/>
          </a:p>
        </c:txPr>
        <c:crossAx val="1713281103"/>
        <c:crosses val="autoZero"/>
        <c:crossBetween val="between"/>
        <c:majorUnit val="0.25"/>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rgbClr val="2C307E"/>
              </a:solidFill>
              <a:latin typeface="+mn-lt"/>
              <a:ea typeface="+mn-ea"/>
              <a:cs typeface="+mn-cs"/>
            </a:defRPr>
          </a:pPr>
          <a:endParaRPr lang="en-NL"/>
        </a:p>
      </c:txPr>
    </c:legend>
    <c:plotVisOnly val="1"/>
    <c:dispBlanksAs val="gap"/>
    <c:showDLblsOverMax val="0"/>
  </c:chart>
  <c:spPr>
    <a:noFill/>
    <a:ln w="9525" cap="flat" cmpd="sng" algn="ctr">
      <a:noFill/>
      <a:round/>
    </a:ln>
    <a:effectLst/>
  </c:spPr>
  <c:txPr>
    <a:bodyPr/>
    <a:lstStyle/>
    <a:p>
      <a:pPr>
        <a:defRPr/>
      </a:pPr>
      <a:endParaRPr lang="en-NL"/>
    </a:p>
  </c:txPr>
  <c:externalData r:id="rId3">
    <c:autoUpdate val="0"/>
  </c:externalData>
</c:chartSpace>
</file>

<file path=word/charts/chart1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rgbClr val="2C307E"/>
                </a:solidFill>
                <a:latin typeface="+mn-lt"/>
                <a:ea typeface="+mn-ea"/>
                <a:cs typeface="+mn-cs"/>
              </a:defRPr>
            </a:pPr>
            <a:r>
              <a:rPr lang="nl-NL" sz="1100"/>
              <a:t>Hoe belangrijk vind jij de volgende redenen om deel te nemen aan bi-directioneel laden?</a:t>
            </a:r>
          </a:p>
        </c:rich>
      </c:tx>
      <c:overlay val="0"/>
      <c:spPr>
        <a:noFill/>
        <a:ln>
          <a:noFill/>
        </a:ln>
        <a:effectLst/>
      </c:spPr>
      <c:txPr>
        <a:bodyPr rot="0" spcFirstLastPara="1" vertOverflow="ellipsis" vert="horz" wrap="square" anchor="ctr" anchorCtr="1"/>
        <a:lstStyle/>
        <a:p>
          <a:pPr>
            <a:defRPr sz="1100" b="0" i="0" u="none" strike="noStrike" kern="1200" spc="0" baseline="0">
              <a:solidFill>
                <a:srgbClr val="2C307E"/>
              </a:solidFill>
              <a:latin typeface="+mn-lt"/>
              <a:ea typeface="+mn-ea"/>
              <a:cs typeface="+mn-cs"/>
            </a:defRPr>
          </a:pPr>
          <a:endParaRPr lang="en-NL"/>
        </a:p>
      </c:txPr>
    </c:title>
    <c:autoTitleDeleted val="0"/>
    <c:plotArea>
      <c:layout/>
      <c:barChart>
        <c:barDir val="bar"/>
        <c:grouping val="clustered"/>
        <c:varyColors val="0"/>
        <c:ser>
          <c:idx val="0"/>
          <c:order val="0"/>
          <c:tx>
            <c:strRef>
              <c:f>Figuren!$B$936</c:f>
              <c:strCache>
                <c:ptCount val="1"/>
                <c:pt idx="0">
                  <c:v>2025</c:v>
                </c:pt>
              </c:strCache>
            </c:strRef>
          </c:tx>
          <c:spPr>
            <a:solidFill>
              <a:srgbClr val="BAD6ED"/>
            </a:solidFill>
            <a:ln>
              <a:noFill/>
            </a:ln>
            <a:effectLst/>
          </c:spPr>
          <c:invertIfNegative val="0"/>
          <c:dLbls>
            <c:spPr>
              <a:noFill/>
              <a:ln>
                <a:noFill/>
              </a:ln>
              <a:effectLst/>
            </c:spPr>
            <c:txPr>
              <a:bodyPr rot="0" spcFirstLastPara="1" vertOverflow="ellipsis" vert="horz" wrap="square" anchor="ctr" anchorCtr="1"/>
              <a:lstStyle/>
              <a:p>
                <a:pPr>
                  <a:defRPr sz="800" b="1" i="0" u="none" strike="noStrike" kern="1200" baseline="0">
                    <a:solidFill>
                      <a:srgbClr val="2C307E"/>
                    </a:solidFill>
                    <a:latin typeface="+mn-lt"/>
                    <a:ea typeface="+mn-ea"/>
                    <a:cs typeface="+mn-cs"/>
                  </a:defRPr>
                </a:pPr>
                <a:endParaRPr lang="en-N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Figuren!$A$937:$A$940</c:f>
              <c:strCache>
                <c:ptCount val="4"/>
                <c:pt idx="0">
                  <c:v>Financieel voordeel</c:v>
                </c:pt>
                <c:pt idx="1">
                  <c:v>Hoger aandeel gebruik van duurzame energie</c:v>
                </c:pt>
                <c:pt idx="2">
                  <c:v>Bijdragen aan een stabiel energienetwerk </c:v>
                </c:pt>
                <c:pt idx="3">
                  <c:v>Meer zelfvoorzienend in stroomgebruik thuis </c:v>
                </c:pt>
              </c:strCache>
            </c:strRef>
          </c:cat>
          <c:val>
            <c:numRef>
              <c:f>Figuren!$B$937:$B$940</c:f>
              <c:numCache>
                <c:formatCode>0.0</c:formatCode>
                <c:ptCount val="4"/>
                <c:pt idx="0">
                  <c:v>3.6446469248291571</c:v>
                </c:pt>
                <c:pt idx="1">
                  <c:v>3.7504273504273504</c:v>
                </c:pt>
                <c:pt idx="2">
                  <c:v>3.75769669327252</c:v>
                </c:pt>
                <c:pt idx="3">
                  <c:v>4.1239669421487601</c:v>
                </c:pt>
              </c:numCache>
            </c:numRef>
          </c:val>
          <c:extLst>
            <c:ext xmlns:c16="http://schemas.microsoft.com/office/drawing/2014/chart" uri="{C3380CC4-5D6E-409C-BE32-E72D297353CC}">
              <c16:uniqueId val="{00000000-BC31-474F-A34B-58C82B92BD9A}"/>
            </c:ext>
          </c:extLst>
        </c:ser>
        <c:ser>
          <c:idx val="1"/>
          <c:order val="1"/>
          <c:tx>
            <c:strRef>
              <c:f>Figuren!$C$936</c:f>
              <c:strCache>
                <c:ptCount val="1"/>
                <c:pt idx="0">
                  <c:v>2024</c:v>
                </c:pt>
              </c:strCache>
            </c:strRef>
          </c:tx>
          <c:spPr>
            <a:solidFill>
              <a:srgbClr val="C9C743"/>
            </a:solidFill>
            <a:ln>
              <a:noFill/>
            </a:ln>
            <a:effectLst/>
          </c:spPr>
          <c:invertIfNegative val="0"/>
          <c:dLbls>
            <c:spPr>
              <a:noFill/>
              <a:ln>
                <a:noFill/>
              </a:ln>
              <a:effectLst/>
            </c:spPr>
            <c:txPr>
              <a:bodyPr rot="0" spcFirstLastPara="1" vertOverflow="ellipsis" vert="horz" wrap="square" anchor="ctr" anchorCtr="1"/>
              <a:lstStyle/>
              <a:p>
                <a:pPr>
                  <a:defRPr sz="800" b="1" i="0" u="none" strike="noStrike" kern="1200" baseline="0">
                    <a:solidFill>
                      <a:srgbClr val="2C307E"/>
                    </a:solidFill>
                    <a:latin typeface="+mn-lt"/>
                    <a:ea typeface="+mn-ea"/>
                    <a:cs typeface="+mn-cs"/>
                  </a:defRPr>
                </a:pPr>
                <a:endParaRPr lang="en-N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Figuren!$A$937:$A$940</c:f>
              <c:strCache>
                <c:ptCount val="4"/>
                <c:pt idx="0">
                  <c:v>Financieel voordeel</c:v>
                </c:pt>
                <c:pt idx="1">
                  <c:v>Hoger aandeel gebruik van duurzame energie</c:v>
                </c:pt>
                <c:pt idx="2">
                  <c:v>Bijdragen aan een stabiel energienetwerk </c:v>
                </c:pt>
                <c:pt idx="3">
                  <c:v>Meer zelfvoorzienend in stroomgebruik thuis </c:v>
                </c:pt>
              </c:strCache>
            </c:strRef>
          </c:cat>
          <c:val>
            <c:numRef>
              <c:f>Figuren!$C$937:$C$940</c:f>
              <c:numCache>
                <c:formatCode>0.0</c:formatCode>
                <c:ptCount val="4"/>
                <c:pt idx="0">
                  <c:v>3.7</c:v>
                </c:pt>
                <c:pt idx="1">
                  <c:v>3.8</c:v>
                </c:pt>
                <c:pt idx="2">
                  <c:v>3.8</c:v>
                </c:pt>
                <c:pt idx="3">
                  <c:v>4.0999999999999996</c:v>
                </c:pt>
              </c:numCache>
            </c:numRef>
          </c:val>
          <c:extLst>
            <c:ext xmlns:c16="http://schemas.microsoft.com/office/drawing/2014/chart" uri="{C3380CC4-5D6E-409C-BE32-E72D297353CC}">
              <c16:uniqueId val="{00000001-BC31-474F-A34B-58C82B92BD9A}"/>
            </c:ext>
          </c:extLst>
        </c:ser>
        <c:ser>
          <c:idx val="2"/>
          <c:order val="2"/>
          <c:tx>
            <c:strRef>
              <c:f>Figuren!$D$936</c:f>
              <c:strCache>
                <c:ptCount val="1"/>
                <c:pt idx="0">
                  <c:v>2023</c:v>
                </c:pt>
              </c:strCache>
            </c:strRef>
          </c:tx>
          <c:spPr>
            <a:solidFill>
              <a:srgbClr val="08B466"/>
            </a:solidFill>
            <a:ln>
              <a:noFill/>
            </a:ln>
            <a:effectLst/>
          </c:spPr>
          <c:invertIfNegative val="0"/>
          <c:dLbls>
            <c:spPr>
              <a:noFill/>
              <a:ln>
                <a:noFill/>
              </a:ln>
              <a:effectLst/>
            </c:spPr>
            <c:txPr>
              <a:bodyPr rot="0" spcFirstLastPara="1" vertOverflow="ellipsis" vert="horz" wrap="square" anchor="ctr" anchorCtr="1"/>
              <a:lstStyle/>
              <a:p>
                <a:pPr>
                  <a:defRPr sz="800" b="1" i="0" u="none" strike="noStrike" kern="1200" baseline="0">
                    <a:solidFill>
                      <a:srgbClr val="2C307E"/>
                    </a:solidFill>
                    <a:latin typeface="+mn-lt"/>
                    <a:ea typeface="+mn-ea"/>
                    <a:cs typeface="+mn-cs"/>
                  </a:defRPr>
                </a:pPr>
                <a:endParaRPr lang="en-N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Figuren!$A$937:$A$940</c:f>
              <c:strCache>
                <c:ptCount val="4"/>
                <c:pt idx="0">
                  <c:v>Financieel voordeel</c:v>
                </c:pt>
                <c:pt idx="1">
                  <c:v>Hoger aandeel gebruik van duurzame energie</c:v>
                </c:pt>
                <c:pt idx="2">
                  <c:v>Bijdragen aan een stabiel energienetwerk </c:v>
                </c:pt>
                <c:pt idx="3">
                  <c:v>Meer zelfvoorzienend in stroomgebruik thuis </c:v>
                </c:pt>
              </c:strCache>
            </c:strRef>
          </c:cat>
          <c:val>
            <c:numRef>
              <c:f>Figuren!$D$937:$D$940</c:f>
              <c:numCache>
                <c:formatCode>0.0</c:formatCode>
                <c:ptCount val="4"/>
                <c:pt idx="0">
                  <c:v>3.97</c:v>
                </c:pt>
                <c:pt idx="1">
                  <c:v>4.17</c:v>
                </c:pt>
                <c:pt idx="2">
                  <c:v>4.1100000000000003</c:v>
                </c:pt>
                <c:pt idx="3">
                  <c:v>4.32</c:v>
                </c:pt>
              </c:numCache>
            </c:numRef>
          </c:val>
          <c:extLst>
            <c:ext xmlns:c16="http://schemas.microsoft.com/office/drawing/2014/chart" uri="{C3380CC4-5D6E-409C-BE32-E72D297353CC}">
              <c16:uniqueId val="{00000002-BC31-474F-A34B-58C82B92BD9A}"/>
            </c:ext>
          </c:extLst>
        </c:ser>
        <c:ser>
          <c:idx val="3"/>
          <c:order val="3"/>
          <c:tx>
            <c:strRef>
              <c:f>Figuren!$E$936</c:f>
              <c:strCache>
                <c:ptCount val="1"/>
                <c:pt idx="0">
                  <c:v>2022</c:v>
                </c:pt>
              </c:strCache>
            </c:strRef>
          </c:tx>
          <c:spPr>
            <a:solidFill>
              <a:srgbClr val="2C307E"/>
            </a:solidFill>
            <a:ln>
              <a:noFill/>
            </a:ln>
            <a:effectLst/>
          </c:spPr>
          <c:invertIfNegative val="0"/>
          <c:dLbls>
            <c:spPr>
              <a:noFill/>
              <a:ln>
                <a:noFill/>
              </a:ln>
              <a:effectLst/>
            </c:spPr>
            <c:txPr>
              <a:bodyPr rot="0" spcFirstLastPara="1" vertOverflow="ellipsis" vert="horz" wrap="square" anchor="ctr" anchorCtr="1"/>
              <a:lstStyle/>
              <a:p>
                <a:pPr>
                  <a:defRPr sz="800" b="1" i="0" u="none" strike="noStrike" kern="1200" baseline="0">
                    <a:solidFill>
                      <a:srgbClr val="2C307E"/>
                    </a:solidFill>
                    <a:latin typeface="+mn-lt"/>
                    <a:ea typeface="+mn-ea"/>
                    <a:cs typeface="+mn-cs"/>
                  </a:defRPr>
                </a:pPr>
                <a:endParaRPr lang="en-N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Figuren!$A$937:$A$940</c:f>
              <c:strCache>
                <c:ptCount val="4"/>
                <c:pt idx="0">
                  <c:v>Financieel voordeel</c:v>
                </c:pt>
                <c:pt idx="1">
                  <c:v>Hoger aandeel gebruik van duurzame energie</c:v>
                </c:pt>
                <c:pt idx="2">
                  <c:v>Bijdragen aan een stabiel energienetwerk </c:v>
                </c:pt>
                <c:pt idx="3">
                  <c:v>Meer zelfvoorzienend in stroomgebruik thuis </c:v>
                </c:pt>
              </c:strCache>
            </c:strRef>
          </c:cat>
          <c:val>
            <c:numRef>
              <c:f>Figuren!$E$937:$E$940</c:f>
              <c:numCache>
                <c:formatCode>0.0</c:formatCode>
                <c:ptCount val="4"/>
                <c:pt idx="0">
                  <c:v>3.7</c:v>
                </c:pt>
                <c:pt idx="1">
                  <c:v>4</c:v>
                </c:pt>
                <c:pt idx="2">
                  <c:v>3.9</c:v>
                </c:pt>
                <c:pt idx="3">
                  <c:v>4.0999999999999996</c:v>
                </c:pt>
              </c:numCache>
            </c:numRef>
          </c:val>
          <c:extLst>
            <c:ext xmlns:c16="http://schemas.microsoft.com/office/drawing/2014/chart" uri="{C3380CC4-5D6E-409C-BE32-E72D297353CC}">
              <c16:uniqueId val="{00000003-BC31-474F-A34B-58C82B92BD9A}"/>
            </c:ext>
          </c:extLst>
        </c:ser>
        <c:dLbls>
          <c:dLblPos val="outEnd"/>
          <c:showLegendKey val="0"/>
          <c:showVal val="1"/>
          <c:showCatName val="0"/>
          <c:showSerName val="0"/>
          <c:showPercent val="0"/>
          <c:showBubbleSize val="0"/>
        </c:dLbls>
        <c:gapWidth val="182"/>
        <c:axId val="749461104"/>
        <c:axId val="749460624"/>
      </c:barChart>
      <c:catAx>
        <c:axId val="74946110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2C307E"/>
                </a:solidFill>
                <a:latin typeface="+mn-lt"/>
                <a:ea typeface="+mn-ea"/>
                <a:cs typeface="+mn-cs"/>
              </a:defRPr>
            </a:pPr>
            <a:endParaRPr lang="en-NL"/>
          </a:p>
        </c:txPr>
        <c:crossAx val="749460624"/>
        <c:crosses val="autoZero"/>
        <c:auto val="1"/>
        <c:lblAlgn val="ctr"/>
        <c:lblOffset val="100"/>
        <c:noMultiLvlLbl val="0"/>
      </c:catAx>
      <c:valAx>
        <c:axId val="749460624"/>
        <c:scaling>
          <c:orientation val="minMax"/>
          <c:max val="5"/>
          <c:min val="1"/>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2C307E"/>
                </a:solidFill>
                <a:latin typeface="+mn-lt"/>
                <a:ea typeface="+mn-ea"/>
                <a:cs typeface="+mn-cs"/>
              </a:defRPr>
            </a:pPr>
            <a:endParaRPr lang="en-NL"/>
          </a:p>
        </c:txPr>
        <c:crossAx val="7494611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rgbClr val="2C307E"/>
              </a:solidFill>
              <a:latin typeface="+mn-lt"/>
              <a:ea typeface="+mn-ea"/>
              <a:cs typeface="+mn-cs"/>
            </a:defRPr>
          </a:pPr>
          <a:endParaRPr lang="en-NL"/>
        </a:p>
      </c:txPr>
    </c:legend>
    <c:plotVisOnly val="1"/>
    <c:dispBlanksAs val="gap"/>
    <c:showDLblsOverMax val="0"/>
  </c:chart>
  <c:spPr>
    <a:noFill/>
    <a:ln w="9525" cap="flat" cmpd="sng" algn="ctr">
      <a:noFill/>
      <a:round/>
    </a:ln>
    <a:effectLst/>
  </c:spPr>
  <c:txPr>
    <a:bodyPr/>
    <a:lstStyle/>
    <a:p>
      <a:pPr>
        <a:defRPr>
          <a:solidFill>
            <a:srgbClr val="2C307E"/>
          </a:solidFill>
        </a:defRPr>
      </a:pPr>
      <a:endParaRPr lang="en-NL"/>
    </a:p>
  </c:txPr>
  <c:externalData r:id="rId3">
    <c:autoUpdate val="0"/>
  </c:externalData>
</c:chartSpace>
</file>

<file path=word/charts/chart1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rgbClr val="2C307E"/>
                </a:solidFill>
                <a:latin typeface="+mn-lt"/>
                <a:ea typeface="+mn-ea"/>
                <a:cs typeface="+mn-cs"/>
              </a:defRPr>
            </a:pPr>
            <a:r>
              <a:rPr lang="nl-NL" sz="1100"/>
              <a:t>Als je bidirectioneel zou kunnen laden, waar zou je dit voor gebruiken?</a:t>
            </a:r>
          </a:p>
        </c:rich>
      </c:tx>
      <c:overlay val="0"/>
      <c:spPr>
        <a:noFill/>
        <a:ln>
          <a:noFill/>
        </a:ln>
        <a:effectLst/>
      </c:spPr>
      <c:txPr>
        <a:bodyPr rot="0" spcFirstLastPara="1" vertOverflow="ellipsis" vert="horz" wrap="square" anchor="ctr" anchorCtr="1"/>
        <a:lstStyle/>
        <a:p>
          <a:pPr>
            <a:defRPr sz="1100" b="0" i="0" u="none" strike="noStrike" kern="1200" spc="0" baseline="0">
              <a:solidFill>
                <a:srgbClr val="2C307E"/>
              </a:solidFill>
              <a:latin typeface="+mn-lt"/>
              <a:ea typeface="+mn-ea"/>
              <a:cs typeface="+mn-cs"/>
            </a:defRPr>
          </a:pPr>
          <a:endParaRPr lang="en-NL"/>
        </a:p>
      </c:txPr>
    </c:title>
    <c:autoTitleDeleted val="0"/>
    <c:plotArea>
      <c:layout>
        <c:manualLayout>
          <c:layoutTarget val="inner"/>
          <c:xMode val="edge"/>
          <c:yMode val="edge"/>
          <c:x val="0.48666500977191335"/>
          <c:y val="0.21282157676348548"/>
          <c:w val="0.4235335540015891"/>
          <c:h val="0.63334694677688108"/>
        </c:manualLayout>
      </c:layout>
      <c:barChart>
        <c:barDir val="bar"/>
        <c:grouping val="clustered"/>
        <c:varyColors val="0"/>
        <c:ser>
          <c:idx val="0"/>
          <c:order val="0"/>
          <c:tx>
            <c:strRef>
              <c:f>Figuren!$C$947</c:f>
              <c:strCache>
                <c:ptCount val="1"/>
                <c:pt idx="0">
                  <c:v>2025</c:v>
                </c:pt>
              </c:strCache>
            </c:strRef>
          </c:tx>
          <c:spPr>
            <a:solidFill>
              <a:srgbClr val="08B46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rgbClr val="2C307E"/>
                    </a:solidFill>
                    <a:latin typeface="+mn-lt"/>
                    <a:ea typeface="+mn-ea"/>
                    <a:cs typeface="+mn-cs"/>
                  </a:defRPr>
                </a:pPr>
                <a:endParaRPr lang="en-N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Figuren!$A$950:$A$953</c:f>
              <c:strCache>
                <c:ptCount val="4"/>
                <c:pt idx="0">
                  <c:v>Stroom zonnepanelen opslaan en later gebruiken  </c:v>
                </c:pt>
                <c:pt idx="1">
                  <c:v>Elektriciteit terugleveren (verkopen) aan het net   </c:v>
                </c:pt>
                <c:pt idx="2">
                  <c:v>Iemand anders’ EV van stroom voorzien   </c:v>
                </c:pt>
                <c:pt idx="3">
                  <c:v>Mijn huis van stroom voorzien   </c:v>
                </c:pt>
              </c:strCache>
            </c:strRef>
          </c:cat>
          <c:val>
            <c:numRef>
              <c:f>Figuren!$C$950:$C$953</c:f>
              <c:numCache>
                <c:formatCode>0%</c:formatCode>
                <c:ptCount val="4"/>
                <c:pt idx="0">
                  <c:v>0.70949403069926098</c:v>
                </c:pt>
                <c:pt idx="1">
                  <c:v>0.3803297328027288</c:v>
                </c:pt>
                <c:pt idx="2">
                  <c:v>5.1733939738487777E-2</c:v>
                </c:pt>
                <c:pt idx="3">
                  <c:v>0.72711768050028425</c:v>
                </c:pt>
              </c:numCache>
            </c:numRef>
          </c:val>
          <c:extLst>
            <c:ext xmlns:c16="http://schemas.microsoft.com/office/drawing/2014/chart" uri="{C3380CC4-5D6E-409C-BE32-E72D297353CC}">
              <c16:uniqueId val="{00000000-7461-41F3-98F9-376947E108DC}"/>
            </c:ext>
          </c:extLst>
        </c:ser>
        <c:ser>
          <c:idx val="1"/>
          <c:order val="1"/>
          <c:tx>
            <c:strRef>
              <c:f>Figuren!$D$947</c:f>
              <c:strCache>
                <c:ptCount val="1"/>
                <c:pt idx="0">
                  <c:v>2024</c:v>
                </c:pt>
              </c:strCache>
            </c:strRef>
          </c:tx>
          <c:spPr>
            <a:solidFill>
              <a:srgbClr val="2C307E"/>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rgbClr val="2C307E"/>
                    </a:solidFill>
                    <a:latin typeface="+mn-lt"/>
                    <a:ea typeface="+mn-ea"/>
                    <a:cs typeface="+mn-cs"/>
                  </a:defRPr>
                </a:pPr>
                <a:endParaRPr lang="en-N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Figuren!$A$950:$A$953</c:f>
              <c:strCache>
                <c:ptCount val="4"/>
                <c:pt idx="0">
                  <c:v>Stroom zonnepanelen opslaan en later gebruiken  </c:v>
                </c:pt>
                <c:pt idx="1">
                  <c:v>Elektriciteit terugleveren (verkopen) aan het net   </c:v>
                </c:pt>
                <c:pt idx="2">
                  <c:v>Iemand anders’ EV van stroom voorzien   </c:v>
                </c:pt>
                <c:pt idx="3">
                  <c:v>Mijn huis van stroom voorzien   </c:v>
                </c:pt>
              </c:strCache>
            </c:strRef>
          </c:cat>
          <c:val>
            <c:numRef>
              <c:f>Figuren!$D$950:$D$953</c:f>
              <c:numCache>
                <c:formatCode>0%</c:formatCode>
                <c:ptCount val="4"/>
                <c:pt idx="0">
                  <c:v>0.74457831325301205</c:v>
                </c:pt>
                <c:pt idx="1">
                  <c:v>0.3920826161790017</c:v>
                </c:pt>
                <c:pt idx="2">
                  <c:v>6.746987951807229E-2</c:v>
                </c:pt>
                <c:pt idx="3">
                  <c:v>0.74388984509466438</c:v>
                </c:pt>
              </c:numCache>
            </c:numRef>
          </c:val>
          <c:extLst>
            <c:ext xmlns:c16="http://schemas.microsoft.com/office/drawing/2014/chart" uri="{C3380CC4-5D6E-409C-BE32-E72D297353CC}">
              <c16:uniqueId val="{00000001-7461-41F3-98F9-376947E108DC}"/>
            </c:ext>
          </c:extLst>
        </c:ser>
        <c:dLbls>
          <c:dLblPos val="outEnd"/>
          <c:showLegendKey val="0"/>
          <c:showVal val="1"/>
          <c:showCatName val="0"/>
          <c:showSerName val="0"/>
          <c:showPercent val="0"/>
          <c:showBubbleSize val="0"/>
        </c:dLbls>
        <c:gapWidth val="182"/>
        <c:axId val="106419791"/>
        <c:axId val="106421231"/>
      </c:barChart>
      <c:catAx>
        <c:axId val="106419791"/>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2C307E"/>
                </a:solidFill>
                <a:latin typeface="+mn-lt"/>
                <a:ea typeface="+mn-ea"/>
                <a:cs typeface="+mn-cs"/>
              </a:defRPr>
            </a:pPr>
            <a:endParaRPr lang="en-NL"/>
          </a:p>
        </c:txPr>
        <c:crossAx val="106421231"/>
        <c:crosses val="autoZero"/>
        <c:auto val="1"/>
        <c:lblAlgn val="ctr"/>
        <c:lblOffset val="100"/>
        <c:noMultiLvlLbl val="0"/>
      </c:catAx>
      <c:valAx>
        <c:axId val="106421231"/>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2C307E"/>
                </a:solidFill>
                <a:latin typeface="+mn-lt"/>
                <a:ea typeface="+mn-ea"/>
                <a:cs typeface="+mn-cs"/>
              </a:defRPr>
            </a:pPr>
            <a:endParaRPr lang="en-NL"/>
          </a:p>
        </c:txPr>
        <c:crossAx val="106419791"/>
        <c:crosses val="autoZero"/>
        <c:crossBetween val="between"/>
      </c:valAx>
      <c:spPr>
        <a:noFill/>
        <a:ln>
          <a:noFill/>
        </a:ln>
        <a:effectLst/>
      </c:spPr>
    </c:plotArea>
    <c:legend>
      <c:legendPos val="b"/>
      <c:layout>
        <c:manualLayout>
          <c:xMode val="edge"/>
          <c:yMode val="edge"/>
          <c:x val="0.33858531313428009"/>
          <c:y val="0.92997876302806537"/>
          <c:w val="0.32282937373143994"/>
          <c:h val="7.002123697193452E-2"/>
        </c:manualLayout>
      </c:layout>
      <c:overlay val="0"/>
      <c:spPr>
        <a:noFill/>
        <a:ln>
          <a:noFill/>
        </a:ln>
        <a:effectLst/>
      </c:spPr>
      <c:txPr>
        <a:bodyPr rot="0" spcFirstLastPara="1" vertOverflow="ellipsis" vert="horz" wrap="square" anchor="ctr" anchorCtr="1"/>
        <a:lstStyle/>
        <a:p>
          <a:pPr>
            <a:defRPr sz="900" b="0" i="0" u="none" strike="noStrike" kern="1200" baseline="0">
              <a:solidFill>
                <a:srgbClr val="2C307E"/>
              </a:solidFill>
              <a:latin typeface="+mn-lt"/>
              <a:ea typeface="+mn-ea"/>
              <a:cs typeface="+mn-cs"/>
            </a:defRPr>
          </a:pPr>
          <a:endParaRPr lang="en-NL"/>
        </a:p>
      </c:txPr>
    </c:legend>
    <c:plotVisOnly val="1"/>
    <c:dispBlanksAs val="gap"/>
    <c:showDLblsOverMax val="0"/>
  </c:chart>
  <c:spPr>
    <a:noFill/>
    <a:ln w="9525" cap="flat" cmpd="sng" algn="ctr">
      <a:noFill/>
      <a:round/>
    </a:ln>
    <a:effectLst/>
  </c:spPr>
  <c:txPr>
    <a:bodyPr/>
    <a:lstStyle/>
    <a:p>
      <a:pPr>
        <a:defRPr>
          <a:solidFill>
            <a:srgbClr val="2C307E"/>
          </a:solidFill>
        </a:defRPr>
      </a:pPr>
      <a:endParaRPr lang="en-NL"/>
    </a:p>
  </c:txPr>
  <c:externalData r:id="rId3">
    <c:autoUpdate val="0"/>
  </c:externalData>
</c:chartSpace>
</file>

<file path=word/charts/chart1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rgbClr val="2C307E"/>
                </a:solidFill>
                <a:latin typeface="+mn-lt"/>
                <a:ea typeface="+mn-ea"/>
                <a:cs typeface="+mn-cs"/>
              </a:defRPr>
            </a:pPr>
            <a:r>
              <a:rPr lang="nl-NL" sz="1100"/>
              <a:t>Mag je auto aan de openbare laadpaal gebruikt worden om het net te balanceren? </a:t>
            </a:r>
          </a:p>
        </c:rich>
      </c:tx>
      <c:layout>
        <c:manualLayout>
          <c:xMode val="edge"/>
          <c:yMode val="edge"/>
          <c:x val="0.11774270683883309"/>
          <c:y val="2.5220680958385876E-2"/>
        </c:manualLayout>
      </c:layout>
      <c:overlay val="0"/>
      <c:spPr>
        <a:noFill/>
        <a:ln>
          <a:noFill/>
        </a:ln>
        <a:effectLst/>
      </c:spPr>
      <c:txPr>
        <a:bodyPr rot="0" spcFirstLastPara="1" vertOverflow="ellipsis" vert="horz" wrap="square" anchor="ctr" anchorCtr="1"/>
        <a:lstStyle/>
        <a:p>
          <a:pPr>
            <a:defRPr sz="1100" b="0" i="0" u="none" strike="noStrike" kern="1200" spc="0" baseline="0">
              <a:solidFill>
                <a:srgbClr val="2C307E"/>
              </a:solidFill>
              <a:latin typeface="+mn-lt"/>
              <a:ea typeface="+mn-ea"/>
              <a:cs typeface="+mn-cs"/>
            </a:defRPr>
          </a:pPr>
          <a:endParaRPr lang="en-NL"/>
        </a:p>
      </c:txPr>
    </c:title>
    <c:autoTitleDeleted val="0"/>
    <c:plotArea>
      <c:layout>
        <c:manualLayout>
          <c:layoutTarget val="inner"/>
          <c:xMode val="edge"/>
          <c:yMode val="edge"/>
          <c:x val="0.13961659855809164"/>
          <c:y val="0.28450216450216448"/>
          <c:w val="0.77153327353068213"/>
          <c:h val="0.24753905761779776"/>
        </c:manualLayout>
      </c:layout>
      <c:barChart>
        <c:barDir val="bar"/>
        <c:grouping val="stacked"/>
        <c:varyColors val="0"/>
        <c:ser>
          <c:idx val="0"/>
          <c:order val="0"/>
          <c:tx>
            <c:strRef>
              <c:f>Figuren!$E$967</c:f>
              <c:strCache>
                <c:ptCount val="1"/>
                <c:pt idx="0">
                  <c:v>Ja</c:v>
                </c:pt>
              </c:strCache>
            </c:strRef>
          </c:tx>
          <c:spPr>
            <a:solidFill>
              <a:srgbClr val="2C307E"/>
            </a:solidFill>
            <a:ln>
              <a:noFill/>
            </a:ln>
            <a:effectLst/>
          </c:spPr>
          <c:invertIfNegative val="0"/>
          <c:dLbls>
            <c:spPr>
              <a:noFill/>
              <a:ln>
                <a:noFill/>
              </a:ln>
              <a:effectLst/>
            </c:spPr>
            <c:txPr>
              <a:bodyPr rot="0" spcFirstLastPara="1" vertOverflow="ellipsis" vert="horz" wrap="square" anchor="ctr" anchorCtr="1"/>
              <a:lstStyle/>
              <a:p>
                <a:pPr>
                  <a:defRPr sz="800" b="1" i="0" u="none" strike="noStrike" kern="1200" baseline="0">
                    <a:solidFill>
                      <a:schemeClr val="bg1"/>
                    </a:solidFill>
                    <a:latin typeface="+mn-lt"/>
                    <a:ea typeface="+mn-ea"/>
                    <a:cs typeface="+mn-cs"/>
                  </a:defRPr>
                </a:pPr>
                <a:endParaRPr lang="en-N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Figuren!$D$970:$D$971</c:f>
              <c:numCache>
                <c:formatCode>General</c:formatCode>
                <c:ptCount val="2"/>
                <c:pt idx="0">
                  <c:v>2024</c:v>
                </c:pt>
                <c:pt idx="1">
                  <c:v>2025</c:v>
                </c:pt>
              </c:numCache>
            </c:numRef>
          </c:cat>
          <c:val>
            <c:numRef>
              <c:f>Figuren!$E$970:$E$971</c:f>
              <c:numCache>
                <c:formatCode>0%</c:formatCode>
                <c:ptCount val="2"/>
                <c:pt idx="0">
                  <c:v>0.15</c:v>
                </c:pt>
                <c:pt idx="1">
                  <c:v>0.19</c:v>
                </c:pt>
              </c:numCache>
            </c:numRef>
          </c:val>
          <c:extLst>
            <c:ext xmlns:c16="http://schemas.microsoft.com/office/drawing/2014/chart" uri="{C3380CC4-5D6E-409C-BE32-E72D297353CC}">
              <c16:uniqueId val="{00000000-DFA8-40AC-AB1A-457D14859CB1}"/>
            </c:ext>
          </c:extLst>
        </c:ser>
        <c:ser>
          <c:idx val="1"/>
          <c:order val="1"/>
          <c:tx>
            <c:strRef>
              <c:f>Figuren!$F$967</c:f>
              <c:strCache>
                <c:ptCount val="1"/>
                <c:pt idx="0">
                  <c:v>Alleen als ik hiervoor gecompenseerd word met een lager tarief en voldoende capaciteit behoud</c:v>
                </c:pt>
              </c:strCache>
            </c:strRef>
          </c:tx>
          <c:spPr>
            <a:solidFill>
              <a:srgbClr val="08B466"/>
            </a:solidFill>
            <a:ln>
              <a:noFill/>
            </a:ln>
            <a:effectLst/>
          </c:spPr>
          <c:invertIfNegative val="0"/>
          <c:dLbls>
            <c:spPr>
              <a:noFill/>
              <a:ln>
                <a:noFill/>
              </a:ln>
              <a:effectLst/>
            </c:spPr>
            <c:txPr>
              <a:bodyPr rot="0" spcFirstLastPara="1" vertOverflow="ellipsis" vert="horz" wrap="square" anchor="ctr" anchorCtr="1"/>
              <a:lstStyle/>
              <a:p>
                <a:pPr>
                  <a:defRPr sz="800" b="1" i="0" u="none" strike="noStrike" kern="1200" baseline="0">
                    <a:solidFill>
                      <a:schemeClr val="bg1"/>
                    </a:solidFill>
                    <a:latin typeface="+mn-lt"/>
                    <a:ea typeface="+mn-ea"/>
                    <a:cs typeface="+mn-cs"/>
                  </a:defRPr>
                </a:pPr>
                <a:endParaRPr lang="en-N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Figuren!$D$970:$D$971</c:f>
              <c:numCache>
                <c:formatCode>General</c:formatCode>
                <c:ptCount val="2"/>
                <c:pt idx="0">
                  <c:v>2024</c:v>
                </c:pt>
                <c:pt idx="1">
                  <c:v>2025</c:v>
                </c:pt>
              </c:numCache>
            </c:numRef>
          </c:cat>
          <c:val>
            <c:numRef>
              <c:f>Figuren!$F$970:$F$971</c:f>
              <c:numCache>
                <c:formatCode>0%</c:formatCode>
                <c:ptCount val="2"/>
                <c:pt idx="0">
                  <c:v>0.56999999999999995</c:v>
                </c:pt>
                <c:pt idx="1">
                  <c:v>0.56000000000000005</c:v>
                </c:pt>
              </c:numCache>
            </c:numRef>
          </c:val>
          <c:extLst>
            <c:ext xmlns:c16="http://schemas.microsoft.com/office/drawing/2014/chart" uri="{C3380CC4-5D6E-409C-BE32-E72D297353CC}">
              <c16:uniqueId val="{00000001-DFA8-40AC-AB1A-457D14859CB1}"/>
            </c:ext>
          </c:extLst>
        </c:ser>
        <c:ser>
          <c:idx val="2"/>
          <c:order val="2"/>
          <c:tx>
            <c:strRef>
              <c:f>Figuren!$G$967</c:f>
              <c:strCache>
                <c:ptCount val="1"/>
                <c:pt idx="0">
                  <c:v>Nee</c:v>
                </c:pt>
              </c:strCache>
            </c:strRef>
          </c:tx>
          <c:spPr>
            <a:solidFill>
              <a:srgbClr val="C9C743"/>
            </a:solidFill>
            <a:ln>
              <a:noFill/>
            </a:ln>
            <a:effectLst/>
          </c:spPr>
          <c:invertIfNegative val="0"/>
          <c:dLbls>
            <c:spPr>
              <a:noFill/>
              <a:ln>
                <a:noFill/>
              </a:ln>
              <a:effectLst/>
            </c:spPr>
            <c:txPr>
              <a:bodyPr rot="0" spcFirstLastPara="1" vertOverflow="ellipsis" vert="horz" wrap="square" anchor="ctr" anchorCtr="1"/>
              <a:lstStyle/>
              <a:p>
                <a:pPr>
                  <a:defRPr sz="800" b="1" i="0" u="none" strike="noStrike" kern="1200" baseline="0">
                    <a:solidFill>
                      <a:schemeClr val="bg1"/>
                    </a:solidFill>
                    <a:latin typeface="+mn-lt"/>
                    <a:ea typeface="+mn-ea"/>
                    <a:cs typeface="+mn-cs"/>
                  </a:defRPr>
                </a:pPr>
                <a:endParaRPr lang="en-N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Figuren!$D$970:$D$971</c:f>
              <c:numCache>
                <c:formatCode>General</c:formatCode>
                <c:ptCount val="2"/>
                <c:pt idx="0">
                  <c:v>2024</c:v>
                </c:pt>
                <c:pt idx="1">
                  <c:v>2025</c:v>
                </c:pt>
              </c:numCache>
            </c:numRef>
          </c:cat>
          <c:val>
            <c:numRef>
              <c:f>Figuren!$G$970:$G$971</c:f>
              <c:numCache>
                <c:formatCode>0%</c:formatCode>
                <c:ptCount val="2"/>
                <c:pt idx="0">
                  <c:v>0.27</c:v>
                </c:pt>
                <c:pt idx="1">
                  <c:v>0.25</c:v>
                </c:pt>
              </c:numCache>
            </c:numRef>
          </c:val>
          <c:extLst>
            <c:ext xmlns:c16="http://schemas.microsoft.com/office/drawing/2014/chart" uri="{C3380CC4-5D6E-409C-BE32-E72D297353CC}">
              <c16:uniqueId val="{00000002-DFA8-40AC-AB1A-457D14859CB1}"/>
            </c:ext>
          </c:extLst>
        </c:ser>
        <c:dLbls>
          <c:dLblPos val="ctr"/>
          <c:showLegendKey val="0"/>
          <c:showVal val="1"/>
          <c:showCatName val="0"/>
          <c:showSerName val="0"/>
          <c:showPercent val="0"/>
          <c:showBubbleSize val="0"/>
        </c:dLbls>
        <c:gapWidth val="150"/>
        <c:overlap val="100"/>
        <c:axId val="749307024"/>
        <c:axId val="749306544"/>
      </c:barChart>
      <c:catAx>
        <c:axId val="74930702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2C307E"/>
                </a:solidFill>
                <a:latin typeface="+mn-lt"/>
                <a:ea typeface="+mn-ea"/>
                <a:cs typeface="+mn-cs"/>
              </a:defRPr>
            </a:pPr>
            <a:endParaRPr lang="en-NL"/>
          </a:p>
        </c:txPr>
        <c:crossAx val="749306544"/>
        <c:crosses val="autoZero"/>
        <c:auto val="1"/>
        <c:lblAlgn val="ctr"/>
        <c:lblOffset val="100"/>
        <c:noMultiLvlLbl val="0"/>
      </c:catAx>
      <c:valAx>
        <c:axId val="749306544"/>
        <c:scaling>
          <c:orientation val="minMax"/>
          <c:max val="1"/>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2C307E"/>
                </a:solidFill>
                <a:latin typeface="+mn-lt"/>
                <a:ea typeface="+mn-ea"/>
                <a:cs typeface="+mn-cs"/>
              </a:defRPr>
            </a:pPr>
            <a:endParaRPr lang="en-NL"/>
          </a:p>
        </c:txPr>
        <c:crossAx val="749307024"/>
        <c:crosses val="autoZero"/>
        <c:crossBetween val="between"/>
        <c:majorUnit val="0.25"/>
      </c:valAx>
      <c:spPr>
        <a:noFill/>
        <a:ln>
          <a:noFill/>
        </a:ln>
        <a:effectLst/>
      </c:spPr>
    </c:plotArea>
    <c:legend>
      <c:legendPos val="b"/>
      <c:layout>
        <c:manualLayout>
          <c:xMode val="edge"/>
          <c:yMode val="edge"/>
          <c:x val="0"/>
          <c:y val="0.65913760779902508"/>
          <c:w val="0.99566607399881468"/>
          <c:h val="0.33999159196009587"/>
        </c:manualLayout>
      </c:layout>
      <c:overlay val="0"/>
      <c:spPr>
        <a:noFill/>
        <a:ln>
          <a:noFill/>
        </a:ln>
        <a:effectLst/>
      </c:spPr>
      <c:txPr>
        <a:bodyPr rot="0" spcFirstLastPara="1" vertOverflow="ellipsis" vert="horz" wrap="square" anchor="ctr" anchorCtr="1"/>
        <a:lstStyle/>
        <a:p>
          <a:pPr>
            <a:defRPr sz="900" b="0" i="0" u="none" strike="noStrike" kern="1200" baseline="0">
              <a:solidFill>
                <a:srgbClr val="2C307E"/>
              </a:solidFill>
              <a:latin typeface="+mn-lt"/>
              <a:ea typeface="+mn-ea"/>
              <a:cs typeface="+mn-cs"/>
            </a:defRPr>
          </a:pPr>
          <a:endParaRPr lang="en-NL"/>
        </a:p>
      </c:txPr>
    </c:legend>
    <c:plotVisOnly val="1"/>
    <c:dispBlanksAs val="gap"/>
    <c:showDLblsOverMax val="0"/>
  </c:chart>
  <c:spPr>
    <a:noFill/>
    <a:ln w="9525" cap="flat" cmpd="sng" algn="ctr">
      <a:noFill/>
      <a:round/>
    </a:ln>
    <a:effectLst/>
  </c:spPr>
  <c:txPr>
    <a:bodyPr/>
    <a:lstStyle/>
    <a:p>
      <a:pPr>
        <a:defRPr>
          <a:solidFill>
            <a:srgbClr val="2C307E"/>
          </a:solidFill>
        </a:defRPr>
      </a:pPr>
      <a:endParaRPr lang="en-NL"/>
    </a:p>
  </c:txPr>
  <c:externalData r:id="rId3">
    <c:autoUpdate val="0"/>
  </c:externalData>
</c:chartSpace>
</file>

<file path=word/charts/chart1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rgbClr val="2C307E"/>
                </a:solidFill>
                <a:latin typeface="+mn-lt"/>
                <a:ea typeface="+mn-ea"/>
                <a:cs typeface="+mn-cs"/>
              </a:defRPr>
            </a:pPr>
            <a:r>
              <a:rPr lang="nl-NL" sz="1100"/>
              <a:t>Voorzie je knelpunten bij bidirectioneel laden?</a:t>
            </a:r>
          </a:p>
        </c:rich>
      </c:tx>
      <c:overlay val="0"/>
      <c:spPr>
        <a:noFill/>
        <a:ln>
          <a:noFill/>
        </a:ln>
        <a:effectLst/>
      </c:spPr>
      <c:txPr>
        <a:bodyPr rot="0" spcFirstLastPara="1" vertOverflow="ellipsis" vert="horz" wrap="square" anchor="ctr" anchorCtr="1"/>
        <a:lstStyle/>
        <a:p>
          <a:pPr>
            <a:defRPr sz="1100" b="0" i="0" u="none" strike="noStrike" kern="1200" spc="0" baseline="0">
              <a:solidFill>
                <a:srgbClr val="2C307E"/>
              </a:solidFill>
              <a:latin typeface="+mn-lt"/>
              <a:ea typeface="+mn-ea"/>
              <a:cs typeface="+mn-cs"/>
            </a:defRPr>
          </a:pPr>
          <a:endParaRPr lang="en-NL"/>
        </a:p>
      </c:txPr>
    </c:title>
    <c:autoTitleDeleted val="0"/>
    <c:plotArea>
      <c:layout>
        <c:manualLayout>
          <c:layoutTarget val="inner"/>
          <c:xMode val="edge"/>
          <c:yMode val="edge"/>
          <c:x val="0.48666500977191335"/>
          <c:y val="9.4296388542963891E-2"/>
          <c:w val="0.4235335540015891"/>
          <c:h val="0.79095047116619766"/>
        </c:manualLayout>
      </c:layout>
      <c:barChart>
        <c:barDir val="bar"/>
        <c:grouping val="clustered"/>
        <c:varyColors val="0"/>
        <c:ser>
          <c:idx val="0"/>
          <c:order val="0"/>
          <c:tx>
            <c:strRef>
              <c:f>Figuren!$B$989</c:f>
              <c:strCache>
                <c:ptCount val="1"/>
                <c:pt idx="0">
                  <c:v>2025</c:v>
                </c:pt>
              </c:strCache>
            </c:strRef>
          </c:tx>
          <c:spPr>
            <a:solidFill>
              <a:srgbClr val="C9C743"/>
            </a:solidFill>
            <a:ln>
              <a:noFill/>
            </a:ln>
            <a:effectLst/>
          </c:spPr>
          <c:invertIfNegative val="0"/>
          <c:dLbls>
            <c:spPr>
              <a:noFill/>
              <a:ln>
                <a:noFill/>
              </a:ln>
              <a:effectLst/>
            </c:spPr>
            <c:txPr>
              <a:bodyPr rot="0" spcFirstLastPara="1" vertOverflow="ellipsis" vert="horz" wrap="square" anchor="ctr" anchorCtr="1"/>
              <a:lstStyle/>
              <a:p>
                <a:pPr>
                  <a:defRPr sz="800" b="1" i="0" u="none" strike="noStrike" kern="1200" baseline="0">
                    <a:solidFill>
                      <a:srgbClr val="2C307E"/>
                    </a:solidFill>
                    <a:latin typeface="+mn-lt"/>
                    <a:ea typeface="+mn-ea"/>
                    <a:cs typeface="+mn-cs"/>
                  </a:defRPr>
                </a:pPr>
                <a:endParaRPr lang="en-N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Figuren!$A$992:$A$998</c:f>
              <c:strCache>
                <c:ptCount val="7"/>
                <c:pt idx="0">
                  <c:v>Zorgen over verlies van gegevens/data privacy   </c:v>
                </c:pt>
                <c:pt idx="1">
                  <c:v>Ik heb minder laadzekerheid   </c:v>
                </c:pt>
                <c:pt idx="2">
                  <c:v>Laadtarieven zijn minder inzichtelijk   </c:v>
                </c:pt>
                <c:pt idx="3">
                  <c:v>Ik heb zelf geen controle meer over mijn laadsessies   </c:v>
                </c:pt>
                <c:pt idx="4">
                  <c:v>Onzekerheid of dit gevolgen heeft voor mijn batterijgarantie   </c:v>
                </c:pt>
                <c:pt idx="5">
                  <c:v>Onzekerheid of mijn batterij hierdoor sneller capaciteit verliest   </c:v>
                </c:pt>
                <c:pt idx="6">
                  <c:v>Onzekerheid of de auto hiermee kan omgaan</c:v>
                </c:pt>
              </c:strCache>
            </c:strRef>
          </c:cat>
          <c:val>
            <c:numRef>
              <c:f>Figuren!$B$992:$B$998</c:f>
              <c:numCache>
                <c:formatCode>0%</c:formatCode>
                <c:ptCount val="7"/>
                <c:pt idx="0">
                  <c:v>9.1529277998862985E-2</c:v>
                </c:pt>
                <c:pt idx="1">
                  <c:v>0.25469016486640139</c:v>
                </c:pt>
                <c:pt idx="2">
                  <c:v>0.14610574189880615</c:v>
                </c:pt>
                <c:pt idx="3">
                  <c:v>0.26264923251847638</c:v>
                </c:pt>
                <c:pt idx="4">
                  <c:v>0.33143831722569644</c:v>
                </c:pt>
                <c:pt idx="5">
                  <c:v>0.45196134167140423</c:v>
                </c:pt>
                <c:pt idx="6">
                  <c:v>0.35645252984650372</c:v>
                </c:pt>
              </c:numCache>
            </c:numRef>
          </c:val>
          <c:extLst>
            <c:ext xmlns:c16="http://schemas.microsoft.com/office/drawing/2014/chart" uri="{C3380CC4-5D6E-409C-BE32-E72D297353CC}">
              <c16:uniqueId val="{00000000-D11A-496D-B6CA-F32E1E621346}"/>
            </c:ext>
          </c:extLst>
        </c:ser>
        <c:ser>
          <c:idx val="1"/>
          <c:order val="1"/>
          <c:tx>
            <c:strRef>
              <c:f>Figuren!$C$989</c:f>
              <c:strCache>
                <c:ptCount val="1"/>
                <c:pt idx="0">
                  <c:v>2024</c:v>
                </c:pt>
              </c:strCache>
            </c:strRef>
          </c:tx>
          <c:spPr>
            <a:solidFill>
              <a:srgbClr val="08B466"/>
            </a:solidFill>
            <a:ln>
              <a:noFill/>
            </a:ln>
            <a:effectLst/>
          </c:spPr>
          <c:invertIfNegative val="0"/>
          <c:dLbls>
            <c:spPr>
              <a:noFill/>
              <a:ln>
                <a:noFill/>
              </a:ln>
              <a:effectLst/>
            </c:spPr>
            <c:txPr>
              <a:bodyPr rot="0" spcFirstLastPara="1" vertOverflow="ellipsis" vert="horz" wrap="square" anchor="ctr" anchorCtr="1"/>
              <a:lstStyle/>
              <a:p>
                <a:pPr>
                  <a:defRPr sz="800" b="1" i="0" u="none" strike="noStrike" kern="1200" baseline="0">
                    <a:solidFill>
                      <a:srgbClr val="2C307E"/>
                    </a:solidFill>
                    <a:latin typeface="+mn-lt"/>
                    <a:ea typeface="+mn-ea"/>
                    <a:cs typeface="+mn-cs"/>
                  </a:defRPr>
                </a:pPr>
                <a:endParaRPr lang="en-N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Figuren!$A$992:$A$998</c:f>
              <c:strCache>
                <c:ptCount val="7"/>
                <c:pt idx="0">
                  <c:v>Zorgen over verlies van gegevens/data privacy   </c:v>
                </c:pt>
                <c:pt idx="1">
                  <c:v>Ik heb minder laadzekerheid   </c:v>
                </c:pt>
                <c:pt idx="2">
                  <c:v>Laadtarieven zijn minder inzichtelijk   </c:v>
                </c:pt>
                <c:pt idx="3">
                  <c:v>Ik heb zelf geen controle meer over mijn laadsessies   </c:v>
                </c:pt>
                <c:pt idx="4">
                  <c:v>Onzekerheid of dit gevolgen heeft voor mijn batterijgarantie   </c:v>
                </c:pt>
                <c:pt idx="5">
                  <c:v>Onzekerheid of mijn batterij hierdoor sneller capaciteit verliest   </c:v>
                </c:pt>
                <c:pt idx="6">
                  <c:v>Onzekerheid of de auto hiermee kan omgaan</c:v>
                </c:pt>
              </c:strCache>
            </c:strRef>
          </c:cat>
          <c:val>
            <c:numRef>
              <c:f>Figuren!$C$992:$C$998</c:f>
              <c:numCache>
                <c:formatCode>0%</c:formatCode>
                <c:ptCount val="7"/>
                <c:pt idx="0">
                  <c:v>9.6335078534031407E-2</c:v>
                </c:pt>
                <c:pt idx="1">
                  <c:v>0.29563699825479928</c:v>
                </c:pt>
                <c:pt idx="2">
                  <c:v>0.1731239092495637</c:v>
                </c:pt>
                <c:pt idx="3">
                  <c:v>0.26910994764397905</c:v>
                </c:pt>
                <c:pt idx="4">
                  <c:v>0.37207678883071554</c:v>
                </c:pt>
                <c:pt idx="5">
                  <c:v>0.49493891797556722</c:v>
                </c:pt>
                <c:pt idx="6">
                  <c:v>0.3762652705061082</c:v>
                </c:pt>
              </c:numCache>
            </c:numRef>
          </c:val>
          <c:extLst>
            <c:ext xmlns:c16="http://schemas.microsoft.com/office/drawing/2014/chart" uri="{C3380CC4-5D6E-409C-BE32-E72D297353CC}">
              <c16:uniqueId val="{00000001-D11A-496D-B6CA-F32E1E621346}"/>
            </c:ext>
          </c:extLst>
        </c:ser>
        <c:ser>
          <c:idx val="2"/>
          <c:order val="2"/>
          <c:tx>
            <c:strRef>
              <c:f>Figuren!$D$989</c:f>
              <c:strCache>
                <c:ptCount val="1"/>
                <c:pt idx="0">
                  <c:v>2023</c:v>
                </c:pt>
              </c:strCache>
            </c:strRef>
          </c:tx>
          <c:spPr>
            <a:solidFill>
              <a:srgbClr val="2C307E"/>
            </a:solidFill>
            <a:ln>
              <a:noFill/>
            </a:ln>
            <a:effectLst/>
          </c:spPr>
          <c:invertIfNegative val="0"/>
          <c:dLbls>
            <c:spPr>
              <a:noFill/>
              <a:ln>
                <a:noFill/>
              </a:ln>
              <a:effectLst/>
            </c:spPr>
            <c:txPr>
              <a:bodyPr rot="0" spcFirstLastPara="1" vertOverflow="ellipsis" vert="horz" wrap="square" anchor="ctr" anchorCtr="1"/>
              <a:lstStyle/>
              <a:p>
                <a:pPr>
                  <a:defRPr sz="800" b="1" i="0" u="none" strike="noStrike" kern="1200" baseline="0">
                    <a:solidFill>
                      <a:srgbClr val="2C307E"/>
                    </a:solidFill>
                    <a:latin typeface="+mn-lt"/>
                    <a:ea typeface="+mn-ea"/>
                    <a:cs typeface="+mn-cs"/>
                  </a:defRPr>
                </a:pPr>
                <a:endParaRPr lang="en-N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Figuren!$A$992:$A$998</c:f>
              <c:strCache>
                <c:ptCount val="7"/>
                <c:pt idx="0">
                  <c:v>Zorgen over verlies van gegevens/data privacy   </c:v>
                </c:pt>
                <c:pt idx="1">
                  <c:v>Ik heb minder laadzekerheid   </c:v>
                </c:pt>
                <c:pt idx="2">
                  <c:v>Laadtarieven zijn minder inzichtelijk   </c:v>
                </c:pt>
                <c:pt idx="3">
                  <c:v>Ik heb zelf geen controle meer over mijn laadsessies   </c:v>
                </c:pt>
                <c:pt idx="4">
                  <c:v>Onzekerheid of dit gevolgen heeft voor mijn batterijgarantie   </c:v>
                </c:pt>
                <c:pt idx="5">
                  <c:v>Onzekerheid of mijn batterij hierdoor sneller capaciteit verliest   </c:v>
                </c:pt>
                <c:pt idx="6">
                  <c:v>Onzekerheid of de auto hiermee kan omgaan</c:v>
                </c:pt>
              </c:strCache>
            </c:strRef>
          </c:cat>
          <c:val>
            <c:numRef>
              <c:f>Figuren!$D$992:$D$998</c:f>
              <c:numCache>
                <c:formatCode>0%</c:formatCode>
                <c:ptCount val="7"/>
                <c:pt idx="0">
                  <c:v>0.08</c:v>
                </c:pt>
                <c:pt idx="1">
                  <c:v>0.28000000000000003</c:v>
                </c:pt>
                <c:pt idx="2">
                  <c:v>0.18</c:v>
                </c:pt>
                <c:pt idx="3">
                  <c:v>0.25</c:v>
                </c:pt>
                <c:pt idx="4">
                  <c:v>0.32</c:v>
                </c:pt>
                <c:pt idx="5">
                  <c:v>0.43</c:v>
                </c:pt>
                <c:pt idx="6">
                  <c:v>0.36</c:v>
                </c:pt>
              </c:numCache>
            </c:numRef>
          </c:val>
          <c:extLst>
            <c:ext xmlns:c16="http://schemas.microsoft.com/office/drawing/2014/chart" uri="{C3380CC4-5D6E-409C-BE32-E72D297353CC}">
              <c16:uniqueId val="{00000002-D11A-496D-B6CA-F32E1E621346}"/>
            </c:ext>
          </c:extLst>
        </c:ser>
        <c:dLbls>
          <c:dLblPos val="outEnd"/>
          <c:showLegendKey val="0"/>
          <c:showVal val="1"/>
          <c:showCatName val="0"/>
          <c:showSerName val="0"/>
          <c:showPercent val="0"/>
          <c:showBubbleSize val="0"/>
        </c:dLbls>
        <c:gapWidth val="182"/>
        <c:axId val="749315664"/>
        <c:axId val="749317104"/>
      </c:barChart>
      <c:catAx>
        <c:axId val="74931566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2C307E"/>
                </a:solidFill>
                <a:latin typeface="+mn-lt"/>
                <a:ea typeface="+mn-ea"/>
                <a:cs typeface="+mn-cs"/>
              </a:defRPr>
            </a:pPr>
            <a:endParaRPr lang="en-NL"/>
          </a:p>
        </c:txPr>
        <c:crossAx val="749317104"/>
        <c:crosses val="autoZero"/>
        <c:auto val="1"/>
        <c:lblAlgn val="ctr"/>
        <c:lblOffset val="100"/>
        <c:noMultiLvlLbl val="0"/>
      </c:catAx>
      <c:valAx>
        <c:axId val="74931710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2C307E"/>
                </a:solidFill>
                <a:latin typeface="+mn-lt"/>
                <a:ea typeface="+mn-ea"/>
                <a:cs typeface="+mn-cs"/>
              </a:defRPr>
            </a:pPr>
            <a:endParaRPr lang="en-NL"/>
          </a:p>
        </c:txPr>
        <c:crossAx val="749315664"/>
        <c:crosses val="autoZero"/>
        <c:crossBetween val="between"/>
        <c:majorUnit val="0.2"/>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rgbClr val="2C307E"/>
              </a:solidFill>
              <a:latin typeface="+mn-lt"/>
              <a:ea typeface="+mn-ea"/>
              <a:cs typeface="+mn-cs"/>
            </a:defRPr>
          </a:pPr>
          <a:endParaRPr lang="en-NL"/>
        </a:p>
      </c:txPr>
    </c:legend>
    <c:plotVisOnly val="1"/>
    <c:dispBlanksAs val="gap"/>
    <c:showDLblsOverMax val="0"/>
  </c:chart>
  <c:spPr>
    <a:noFill/>
    <a:ln w="9525" cap="flat" cmpd="sng" algn="ctr">
      <a:noFill/>
      <a:round/>
    </a:ln>
    <a:effectLst/>
  </c:spPr>
  <c:txPr>
    <a:bodyPr/>
    <a:lstStyle/>
    <a:p>
      <a:pPr>
        <a:defRPr>
          <a:solidFill>
            <a:srgbClr val="2C307E"/>
          </a:solidFill>
        </a:defRPr>
      </a:pPr>
      <a:endParaRPr lang="en-NL"/>
    </a:p>
  </c:txPr>
  <c:externalData r:id="rId3">
    <c:autoUpdate val="0"/>
  </c:externalData>
</c:chartSpace>
</file>

<file path=word/charts/chart1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rgbClr val="2C307E"/>
                </a:solidFill>
                <a:latin typeface="+mn-lt"/>
                <a:ea typeface="+mn-ea"/>
                <a:cs typeface="+mn-cs"/>
              </a:defRPr>
            </a:pPr>
            <a:r>
              <a:rPr lang="nl-NL" sz="1100"/>
              <a:t>Elektrische auto's moeten bij wet verplicht bidirectioneel kunnen laden.</a:t>
            </a:r>
          </a:p>
        </c:rich>
      </c:tx>
      <c:overlay val="0"/>
      <c:spPr>
        <a:noFill/>
        <a:ln>
          <a:noFill/>
        </a:ln>
        <a:effectLst/>
      </c:spPr>
      <c:txPr>
        <a:bodyPr rot="0" spcFirstLastPara="1" vertOverflow="ellipsis" vert="horz" wrap="square" anchor="ctr" anchorCtr="1"/>
        <a:lstStyle/>
        <a:p>
          <a:pPr>
            <a:defRPr sz="1100" b="0" i="0" u="none" strike="noStrike" kern="1200" spc="0" baseline="0">
              <a:solidFill>
                <a:srgbClr val="2C307E"/>
              </a:solidFill>
              <a:latin typeface="+mn-lt"/>
              <a:ea typeface="+mn-ea"/>
              <a:cs typeface="+mn-cs"/>
            </a:defRPr>
          </a:pPr>
          <a:endParaRPr lang="en-NL"/>
        </a:p>
      </c:txPr>
    </c:title>
    <c:autoTitleDeleted val="0"/>
    <c:plotArea>
      <c:layout>
        <c:manualLayout>
          <c:layoutTarget val="inner"/>
          <c:xMode val="edge"/>
          <c:yMode val="edge"/>
          <c:x val="0.15824549908305938"/>
          <c:y val="0.28027322404371585"/>
          <c:w val="0.74104919094582333"/>
          <c:h val="0.42424379329632977"/>
        </c:manualLayout>
      </c:layout>
      <c:barChart>
        <c:barDir val="bar"/>
        <c:grouping val="percentStacked"/>
        <c:varyColors val="0"/>
        <c:ser>
          <c:idx val="0"/>
          <c:order val="0"/>
          <c:tx>
            <c:strRef>
              <c:f>Figuren!$A$1010</c:f>
              <c:strCache>
                <c:ptCount val="1"/>
                <c:pt idx="0">
                  <c:v>Ja, mee eens</c:v>
                </c:pt>
              </c:strCache>
            </c:strRef>
          </c:tx>
          <c:spPr>
            <a:solidFill>
              <a:srgbClr val="2C307E"/>
            </a:solidFill>
            <a:ln>
              <a:noFill/>
            </a:ln>
            <a:effectLst/>
          </c:spPr>
          <c:invertIfNegative val="0"/>
          <c:dLbls>
            <c:spPr>
              <a:noFill/>
              <a:ln>
                <a:noFill/>
              </a:ln>
              <a:effectLst/>
            </c:spPr>
            <c:txPr>
              <a:bodyPr rot="0" spcFirstLastPara="1" vertOverflow="ellipsis" vert="horz" wrap="square" anchor="ctr" anchorCtr="1"/>
              <a:lstStyle/>
              <a:p>
                <a:pPr>
                  <a:defRPr sz="800" b="1" i="0" u="none" strike="noStrike" kern="1200" baseline="0">
                    <a:solidFill>
                      <a:schemeClr val="bg1"/>
                    </a:solidFill>
                    <a:latin typeface="+mn-lt"/>
                    <a:ea typeface="+mn-ea"/>
                    <a:cs typeface="+mn-cs"/>
                  </a:defRPr>
                </a:pPr>
                <a:endParaRPr lang="en-N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Figuren!$B$1009:$C$1009</c:f>
              <c:numCache>
                <c:formatCode>General</c:formatCode>
                <c:ptCount val="2"/>
                <c:pt idx="0">
                  <c:v>2025</c:v>
                </c:pt>
                <c:pt idx="1">
                  <c:v>2024</c:v>
                </c:pt>
              </c:numCache>
            </c:numRef>
          </c:cat>
          <c:val>
            <c:numRef>
              <c:f>Figuren!$B$1010:$C$1010</c:f>
              <c:numCache>
                <c:formatCode>0%</c:formatCode>
                <c:ptCount val="2"/>
                <c:pt idx="0">
                  <c:v>0.36270608300170554</c:v>
                </c:pt>
                <c:pt idx="1">
                  <c:v>0.38271604938271603</c:v>
                </c:pt>
              </c:numCache>
            </c:numRef>
          </c:val>
          <c:extLst>
            <c:ext xmlns:c16="http://schemas.microsoft.com/office/drawing/2014/chart" uri="{C3380CC4-5D6E-409C-BE32-E72D297353CC}">
              <c16:uniqueId val="{00000000-A160-49E4-A1EA-D0DDA78F4BAC}"/>
            </c:ext>
          </c:extLst>
        </c:ser>
        <c:ser>
          <c:idx val="1"/>
          <c:order val="1"/>
          <c:tx>
            <c:strRef>
              <c:f>Figuren!$A$1011</c:f>
              <c:strCache>
                <c:ptCount val="1"/>
                <c:pt idx="0">
                  <c:v>Nee, mee oneens</c:v>
                </c:pt>
              </c:strCache>
            </c:strRef>
          </c:tx>
          <c:spPr>
            <a:solidFill>
              <a:srgbClr val="08B466"/>
            </a:solidFill>
            <a:ln>
              <a:noFill/>
            </a:ln>
            <a:effectLst/>
          </c:spPr>
          <c:invertIfNegative val="0"/>
          <c:dLbls>
            <c:spPr>
              <a:noFill/>
              <a:ln>
                <a:noFill/>
              </a:ln>
              <a:effectLst/>
            </c:spPr>
            <c:txPr>
              <a:bodyPr rot="0" spcFirstLastPara="1" vertOverflow="ellipsis" vert="horz" wrap="square" anchor="ctr" anchorCtr="1"/>
              <a:lstStyle/>
              <a:p>
                <a:pPr>
                  <a:defRPr sz="800" b="1" i="0" u="none" strike="noStrike" kern="1200" baseline="0">
                    <a:solidFill>
                      <a:schemeClr val="bg1"/>
                    </a:solidFill>
                    <a:latin typeface="+mn-lt"/>
                    <a:ea typeface="+mn-ea"/>
                    <a:cs typeface="+mn-cs"/>
                  </a:defRPr>
                </a:pPr>
                <a:endParaRPr lang="en-N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Figuren!$B$1009:$C$1009</c:f>
              <c:numCache>
                <c:formatCode>General</c:formatCode>
                <c:ptCount val="2"/>
                <c:pt idx="0">
                  <c:v>2025</c:v>
                </c:pt>
                <c:pt idx="1">
                  <c:v>2024</c:v>
                </c:pt>
              </c:numCache>
            </c:numRef>
          </c:cat>
          <c:val>
            <c:numRef>
              <c:f>Figuren!$B$1011:$C$1011</c:f>
              <c:numCache>
                <c:formatCode>0%</c:formatCode>
                <c:ptCount val="2"/>
                <c:pt idx="0">
                  <c:v>0.4235361000568505</c:v>
                </c:pt>
                <c:pt idx="1">
                  <c:v>0.40952380952380951</c:v>
                </c:pt>
              </c:numCache>
            </c:numRef>
          </c:val>
          <c:extLst>
            <c:ext xmlns:c16="http://schemas.microsoft.com/office/drawing/2014/chart" uri="{C3380CC4-5D6E-409C-BE32-E72D297353CC}">
              <c16:uniqueId val="{00000001-A160-49E4-A1EA-D0DDA78F4BAC}"/>
            </c:ext>
          </c:extLst>
        </c:ser>
        <c:ser>
          <c:idx val="2"/>
          <c:order val="2"/>
          <c:tx>
            <c:strRef>
              <c:f>Figuren!$A$1012</c:f>
              <c:strCache>
                <c:ptCount val="1"/>
                <c:pt idx="0">
                  <c:v>Weet ik niet</c:v>
                </c:pt>
              </c:strCache>
            </c:strRef>
          </c:tx>
          <c:spPr>
            <a:solidFill>
              <a:srgbClr val="C9C743"/>
            </a:solidFill>
            <a:ln>
              <a:noFill/>
            </a:ln>
            <a:effectLst/>
          </c:spPr>
          <c:invertIfNegative val="0"/>
          <c:dLbls>
            <c:spPr>
              <a:noFill/>
              <a:ln>
                <a:noFill/>
              </a:ln>
              <a:effectLst/>
            </c:spPr>
            <c:txPr>
              <a:bodyPr rot="0" spcFirstLastPara="1" vertOverflow="ellipsis" vert="horz" wrap="square" anchor="ctr" anchorCtr="1"/>
              <a:lstStyle/>
              <a:p>
                <a:pPr>
                  <a:defRPr sz="800" b="1" i="0" u="none" strike="noStrike" kern="1200" baseline="0">
                    <a:solidFill>
                      <a:schemeClr val="bg1"/>
                    </a:solidFill>
                    <a:latin typeface="+mn-lt"/>
                    <a:ea typeface="+mn-ea"/>
                    <a:cs typeface="+mn-cs"/>
                  </a:defRPr>
                </a:pPr>
                <a:endParaRPr lang="en-N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Figuren!$B$1009:$C$1009</c:f>
              <c:numCache>
                <c:formatCode>General</c:formatCode>
                <c:ptCount val="2"/>
                <c:pt idx="0">
                  <c:v>2025</c:v>
                </c:pt>
                <c:pt idx="1">
                  <c:v>2024</c:v>
                </c:pt>
              </c:numCache>
            </c:numRef>
          </c:cat>
          <c:val>
            <c:numRef>
              <c:f>Figuren!$B$1012:$C$1012</c:f>
              <c:numCache>
                <c:formatCode>0%</c:formatCode>
                <c:ptCount val="2"/>
                <c:pt idx="0">
                  <c:v>0.213757816941444</c:v>
                </c:pt>
                <c:pt idx="1">
                  <c:v>0.20776014109347443</c:v>
                </c:pt>
              </c:numCache>
            </c:numRef>
          </c:val>
          <c:extLst>
            <c:ext xmlns:c16="http://schemas.microsoft.com/office/drawing/2014/chart" uri="{C3380CC4-5D6E-409C-BE32-E72D297353CC}">
              <c16:uniqueId val="{00000002-A160-49E4-A1EA-D0DDA78F4BAC}"/>
            </c:ext>
          </c:extLst>
        </c:ser>
        <c:dLbls>
          <c:dLblPos val="ctr"/>
          <c:showLegendKey val="0"/>
          <c:showVal val="1"/>
          <c:showCatName val="0"/>
          <c:showSerName val="0"/>
          <c:showPercent val="0"/>
          <c:showBubbleSize val="0"/>
        </c:dLbls>
        <c:gapWidth val="150"/>
        <c:overlap val="100"/>
        <c:axId val="1563637247"/>
        <c:axId val="1563637727"/>
      </c:barChart>
      <c:catAx>
        <c:axId val="1563637247"/>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2C307E"/>
                </a:solidFill>
                <a:latin typeface="+mn-lt"/>
                <a:ea typeface="+mn-ea"/>
                <a:cs typeface="+mn-cs"/>
              </a:defRPr>
            </a:pPr>
            <a:endParaRPr lang="en-NL"/>
          </a:p>
        </c:txPr>
        <c:crossAx val="1563637727"/>
        <c:crosses val="autoZero"/>
        <c:auto val="1"/>
        <c:lblAlgn val="ctr"/>
        <c:lblOffset val="100"/>
        <c:noMultiLvlLbl val="0"/>
      </c:catAx>
      <c:valAx>
        <c:axId val="1563637727"/>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2C307E"/>
                </a:solidFill>
                <a:latin typeface="+mn-lt"/>
                <a:ea typeface="+mn-ea"/>
                <a:cs typeface="+mn-cs"/>
              </a:defRPr>
            </a:pPr>
            <a:endParaRPr lang="en-NL"/>
          </a:p>
        </c:txPr>
        <c:crossAx val="1563637247"/>
        <c:crosses val="autoZero"/>
        <c:crossBetween val="between"/>
        <c:majorUnit val="0.25"/>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rgbClr val="2C307E"/>
              </a:solidFill>
              <a:latin typeface="+mn-lt"/>
              <a:ea typeface="+mn-ea"/>
              <a:cs typeface="+mn-cs"/>
            </a:defRPr>
          </a:pPr>
          <a:endParaRPr lang="en-NL"/>
        </a:p>
      </c:txPr>
    </c:legend>
    <c:plotVisOnly val="1"/>
    <c:dispBlanksAs val="gap"/>
    <c:showDLblsOverMax val="0"/>
  </c:chart>
  <c:spPr>
    <a:noFill/>
    <a:ln w="9525" cap="flat" cmpd="sng" algn="ctr">
      <a:noFill/>
      <a:round/>
    </a:ln>
    <a:effectLst/>
  </c:spPr>
  <c:txPr>
    <a:bodyPr/>
    <a:lstStyle/>
    <a:p>
      <a:pPr>
        <a:defRPr>
          <a:solidFill>
            <a:srgbClr val="2C307E"/>
          </a:solidFill>
        </a:defRPr>
      </a:pPr>
      <a:endParaRPr lang="en-NL"/>
    </a:p>
  </c:txPr>
  <c:externalData r:id="rId3">
    <c:autoUpdate val="0"/>
  </c:externalData>
</c:chartSpace>
</file>

<file path=word/charts/chart1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rgbClr val="002060"/>
                </a:solidFill>
                <a:latin typeface="+mn-lt"/>
                <a:ea typeface="+mn-ea"/>
                <a:cs typeface="+mn-cs"/>
              </a:defRPr>
            </a:pPr>
            <a:r>
              <a:rPr lang="nl-NL" sz="1100"/>
              <a:t>Laadmix</a:t>
            </a:r>
            <a:r>
              <a:rPr lang="nl-NL" sz="1100" baseline="0"/>
              <a:t> per jaar</a:t>
            </a:r>
            <a:endParaRPr lang="nl-NL" sz="1100"/>
          </a:p>
        </c:rich>
      </c:tx>
      <c:overlay val="0"/>
      <c:spPr>
        <a:noFill/>
        <a:ln>
          <a:noFill/>
        </a:ln>
        <a:effectLst/>
      </c:spPr>
      <c:txPr>
        <a:bodyPr rot="0" spcFirstLastPara="1" vertOverflow="ellipsis" vert="horz" wrap="square" anchor="ctr" anchorCtr="1"/>
        <a:lstStyle/>
        <a:p>
          <a:pPr>
            <a:defRPr sz="1100" b="0" i="0" u="none" strike="noStrike" kern="1200" spc="0" baseline="0">
              <a:solidFill>
                <a:srgbClr val="002060"/>
              </a:solidFill>
              <a:latin typeface="+mn-lt"/>
              <a:ea typeface="+mn-ea"/>
              <a:cs typeface="+mn-cs"/>
            </a:defRPr>
          </a:pPr>
          <a:endParaRPr lang="nl-NL"/>
        </a:p>
      </c:txPr>
    </c:title>
    <c:autoTitleDeleted val="0"/>
    <c:plotArea>
      <c:layout/>
      <c:barChart>
        <c:barDir val="bar"/>
        <c:grouping val="percentStacked"/>
        <c:varyColors val="0"/>
        <c:ser>
          <c:idx val="0"/>
          <c:order val="0"/>
          <c:tx>
            <c:strRef>
              <c:f>Analyse!$AA$25</c:f>
              <c:strCache>
                <c:ptCount val="1"/>
                <c:pt idx="0">
                  <c:v>Thuis</c:v>
                </c:pt>
              </c:strCache>
            </c:strRef>
          </c:tx>
          <c:spPr>
            <a:solidFill>
              <a:srgbClr val="2C307E"/>
            </a:solidFill>
            <a:ln>
              <a:noFill/>
            </a:ln>
            <a:effectLst/>
          </c:spPr>
          <c:invertIfNegative val="0"/>
          <c:dLbls>
            <c:spPr>
              <a:noFill/>
              <a:ln>
                <a:noFill/>
              </a:ln>
              <a:effectLst/>
            </c:spPr>
            <c:txPr>
              <a:bodyPr rot="0" spcFirstLastPara="1" vertOverflow="ellipsis" vert="horz" wrap="square" anchor="ctr" anchorCtr="1"/>
              <a:lstStyle/>
              <a:p>
                <a:pPr>
                  <a:defRPr sz="800" b="1" i="0" u="none" strike="noStrike" kern="1200" baseline="0">
                    <a:solidFill>
                      <a:schemeClr val="bg1"/>
                    </a:solidFill>
                    <a:latin typeface="+mn-lt"/>
                    <a:ea typeface="+mn-ea"/>
                    <a:cs typeface="+mn-cs"/>
                  </a:defRPr>
                </a:pPr>
                <a:endParaRPr lang="en-N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Analyse!$Z$26:$Z$59</c:f>
              <c:strCache>
                <c:ptCount val="34"/>
                <c:pt idx="0">
                  <c:v>Noord 2022</c:v>
                </c:pt>
                <c:pt idx="1">
                  <c:v>Noord 2023</c:v>
                </c:pt>
                <c:pt idx="2">
                  <c:v>Noord 2024</c:v>
                </c:pt>
                <c:pt idx="3">
                  <c:v>Noord 2025</c:v>
                </c:pt>
                <c:pt idx="5">
                  <c:v>Noordwest 2022</c:v>
                </c:pt>
                <c:pt idx="6">
                  <c:v>Noordwest 2023</c:v>
                </c:pt>
                <c:pt idx="7">
                  <c:v>Noordwest 2024</c:v>
                </c:pt>
                <c:pt idx="8">
                  <c:v>Noordwest 2025</c:v>
                </c:pt>
                <c:pt idx="10">
                  <c:v>Oost 2022</c:v>
                </c:pt>
                <c:pt idx="11">
                  <c:v>Oost 2023</c:v>
                </c:pt>
                <c:pt idx="12">
                  <c:v>Oost 2024</c:v>
                </c:pt>
                <c:pt idx="13">
                  <c:v>Oost 2025</c:v>
                </c:pt>
                <c:pt idx="15">
                  <c:v>Zuid 2022</c:v>
                </c:pt>
                <c:pt idx="16">
                  <c:v>Zuid 2023</c:v>
                </c:pt>
                <c:pt idx="17">
                  <c:v>Zuid 2024</c:v>
                </c:pt>
                <c:pt idx="18">
                  <c:v>Zuid 2025</c:v>
                </c:pt>
                <c:pt idx="20">
                  <c:v>Zuidwest 2022</c:v>
                </c:pt>
                <c:pt idx="21">
                  <c:v>Zuidwest 2023</c:v>
                </c:pt>
                <c:pt idx="22">
                  <c:v>Zuidwest 2024</c:v>
                </c:pt>
                <c:pt idx="23">
                  <c:v>Zuidwest 2025</c:v>
                </c:pt>
                <c:pt idx="25">
                  <c:v>G4 2022</c:v>
                </c:pt>
                <c:pt idx="26">
                  <c:v>G4 2023</c:v>
                </c:pt>
                <c:pt idx="27">
                  <c:v>G4 2024</c:v>
                </c:pt>
                <c:pt idx="28">
                  <c:v>G4 2025</c:v>
                </c:pt>
                <c:pt idx="30">
                  <c:v>Nederland 2022</c:v>
                </c:pt>
                <c:pt idx="31">
                  <c:v>Nederland 2023</c:v>
                </c:pt>
                <c:pt idx="32">
                  <c:v>Nederland 2024</c:v>
                </c:pt>
                <c:pt idx="33">
                  <c:v>Nederland 2025</c:v>
                </c:pt>
              </c:strCache>
            </c:strRef>
          </c:cat>
          <c:val>
            <c:numRef>
              <c:f>Analyse!$AA$26:$AA$59</c:f>
              <c:numCache>
                <c:formatCode>0%</c:formatCode>
                <c:ptCount val="34"/>
                <c:pt idx="0">
                  <c:v>0.66644201607856346</c:v>
                </c:pt>
                <c:pt idx="1">
                  <c:v>0.63000000000000012</c:v>
                </c:pt>
                <c:pt idx="2">
                  <c:v>0.67983516483516482</c:v>
                </c:pt>
                <c:pt idx="3">
                  <c:v>0.70370666666666659</c:v>
                </c:pt>
                <c:pt idx="5">
                  <c:v>0.51359841148418806</c:v>
                </c:pt>
                <c:pt idx="6">
                  <c:v>0.51</c:v>
                </c:pt>
                <c:pt idx="7">
                  <c:v>0.58633082524271862</c:v>
                </c:pt>
                <c:pt idx="8">
                  <c:v>0.62074027603513171</c:v>
                </c:pt>
                <c:pt idx="10">
                  <c:v>0.60727329763158477</c:v>
                </c:pt>
                <c:pt idx="11">
                  <c:v>0.63</c:v>
                </c:pt>
                <c:pt idx="12">
                  <c:v>0.6503693181818182</c:v>
                </c:pt>
                <c:pt idx="13">
                  <c:v>0.69666666666666666</c:v>
                </c:pt>
                <c:pt idx="15">
                  <c:v>0.56433545261883133</c:v>
                </c:pt>
                <c:pt idx="16">
                  <c:v>0.56000000000000005</c:v>
                </c:pt>
                <c:pt idx="17">
                  <c:v>0.6390600924499229</c:v>
                </c:pt>
                <c:pt idx="18">
                  <c:v>0.6524694708276797</c:v>
                </c:pt>
                <c:pt idx="20">
                  <c:v>0.42353498589365313</c:v>
                </c:pt>
                <c:pt idx="21">
                  <c:v>0.45</c:v>
                </c:pt>
                <c:pt idx="22">
                  <c:v>0.48596694214876035</c:v>
                </c:pt>
                <c:pt idx="23">
                  <c:v>0.52392694063926937</c:v>
                </c:pt>
                <c:pt idx="25">
                  <c:v>0.28771338796929152</c:v>
                </c:pt>
                <c:pt idx="26">
                  <c:v>0.24</c:v>
                </c:pt>
                <c:pt idx="27">
                  <c:v>0.31649805447470819</c:v>
                </c:pt>
                <c:pt idx="28">
                  <c:v>0.30531914893617024</c:v>
                </c:pt>
                <c:pt idx="30">
                  <c:v>0.50872962856092574</c:v>
                </c:pt>
                <c:pt idx="31">
                  <c:v>0.52</c:v>
                </c:pt>
                <c:pt idx="32">
                  <c:v>0.58141539817807819</c:v>
                </c:pt>
                <c:pt idx="33">
                  <c:v>0.60802907915993543</c:v>
                </c:pt>
              </c:numCache>
            </c:numRef>
          </c:val>
          <c:extLst>
            <c:ext xmlns:c16="http://schemas.microsoft.com/office/drawing/2014/chart" uri="{C3380CC4-5D6E-409C-BE32-E72D297353CC}">
              <c16:uniqueId val="{00000000-E1BD-4A33-8E4D-DBDC9E5A0D52}"/>
            </c:ext>
          </c:extLst>
        </c:ser>
        <c:ser>
          <c:idx val="1"/>
          <c:order val="1"/>
          <c:tx>
            <c:strRef>
              <c:f>Analyse!$AB$25</c:f>
              <c:strCache>
                <c:ptCount val="1"/>
                <c:pt idx="0">
                  <c:v>Openbare laadpaal in de buurt van je woning</c:v>
                </c:pt>
              </c:strCache>
            </c:strRef>
          </c:tx>
          <c:spPr>
            <a:solidFill>
              <a:srgbClr val="08B466"/>
            </a:solidFill>
            <a:ln>
              <a:noFill/>
            </a:ln>
            <a:effectLst/>
          </c:spPr>
          <c:invertIfNegative val="0"/>
          <c:dLbls>
            <c:spPr>
              <a:noFill/>
              <a:ln>
                <a:noFill/>
              </a:ln>
              <a:effectLst/>
            </c:spPr>
            <c:txPr>
              <a:bodyPr rot="0" spcFirstLastPara="1" vertOverflow="ellipsis" vert="horz" wrap="square" anchor="ctr" anchorCtr="1"/>
              <a:lstStyle/>
              <a:p>
                <a:pPr>
                  <a:defRPr sz="800" b="1" i="0" u="none" strike="noStrike" kern="1200" baseline="0">
                    <a:solidFill>
                      <a:schemeClr val="bg1"/>
                    </a:solidFill>
                    <a:latin typeface="+mn-lt"/>
                    <a:ea typeface="+mn-ea"/>
                    <a:cs typeface="+mn-cs"/>
                  </a:defRPr>
                </a:pPr>
                <a:endParaRPr lang="en-N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Analyse!$Z$26:$Z$59</c:f>
              <c:strCache>
                <c:ptCount val="34"/>
                <c:pt idx="0">
                  <c:v>Noord 2022</c:v>
                </c:pt>
                <c:pt idx="1">
                  <c:v>Noord 2023</c:v>
                </c:pt>
                <c:pt idx="2">
                  <c:v>Noord 2024</c:v>
                </c:pt>
                <c:pt idx="3">
                  <c:v>Noord 2025</c:v>
                </c:pt>
                <c:pt idx="5">
                  <c:v>Noordwest 2022</c:v>
                </c:pt>
                <c:pt idx="6">
                  <c:v>Noordwest 2023</c:v>
                </c:pt>
                <c:pt idx="7">
                  <c:v>Noordwest 2024</c:v>
                </c:pt>
                <c:pt idx="8">
                  <c:v>Noordwest 2025</c:v>
                </c:pt>
                <c:pt idx="10">
                  <c:v>Oost 2022</c:v>
                </c:pt>
                <c:pt idx="11">
                  <c:v>Oost 2023</c:v>
                </c:pt>
                <c:pt idx="12">
                  <c:v>Oost 2024</c:v>
                </c:pt>
                <c:pt idx="13">
                  <c:v>Oost 2025</c:v>
                </c:pt>
                <c:pt idx="15">
                  <c:v>Zuid 2022</c:v>
                </c:pt>
                <c:pt idx="16">
                  <c:v>Zuid 2023</c:v>
                </c:pt>
                <c:pt idx="17">
                  <c:v>Zuid 2024</c:v>
                </c:pt>
                <c:pt idx="18">
                  <c:v>Zuid 2025</c:v>
                </c:pt>
                <c:pt idx="20">
                  <c:v>Zuidwest 2022</c:v>
                </c:pt>
                <c:pt idx="21">
                  <c:v>Zuidwest 2023</c:v>
                </c:pt>
                <c:pt idx="22">
                  <c:v>Zuidwest 2024</c:v>
                </c:pt>
                <c:pt idx="23">
                  <c:v>Zuidwest 2025</c:v>
                </c:pt>
                <c:pt idx="25">
                  <c:v>G4 2022</c:v>
                </c:pt>
                <c:pt idx="26">
                  <c:v>G4 2023</c:v>
                </c:pt>
                <c:pt idx="27">
                  <c:v>G4 2024</c:v>
                </c:pt>
                <c:pt idx="28">
                  <c:v>G4 2025</c:v>
                </c:pt>
                <c:pt idx="30">
                  <c:v>Nederland 2022</c:v>
                </c:pt>
                <c:pt idx="31">
                  <c:v>Nederland 2023</c:v>
                </c:pt>
                <c:pt idx="32">
                  <c:v>Nederland 2024</c:v>
                </c:pt>
                <c:pt idx="33">
                  <c:v>Nederland 2025</c:v>
                </c:pt>
              </c:strCache>
            </c:strRef>
          </c:cat>
          <c:val>
            <c:numRef>
              <c:f>Analyse!$AB$26:$AB$59</c:f>
              <c:numCache>
                <c:formatCode>0%</c:formatCode>
                <c:ptCount val="34"/>
                <c:pt idx="0">
                  <c:v>7.7119337601694496E-2</c:v>
                </c:pt>
                <c:pt idx="1">
                  <c:v>0.1</c:v>
                </c:pt>
                <c:pt idx="2">
                  <c:v>7.5576923076923069E-2</c:v>
                </c:pt>
                <c:pt idx="3">
                  <c:v>6.8853333333333336E-2</c:v>
                </c:pt>
                <c:pt idx="5">
                  <c:v>0.22126918507185753</c:v>
                </c:pt>
                <c:pt idx="6">
                  <c:v>0.19</c:v>
                </c:pt>
                <c:pt idx="7">
                  <c:v>0.15621359223300971</c:v>
                </c:pt>
                <c:pt idx="8">
                  <c:v>0.14570890840652448</c:v>
                </c:pt>
                <c:pt idx="10">
                  <c:v>0.12485155392233747</c:v>
                </c:pt>
                <c:pt idx="11">
                  <c:v>0.11</c:v>
                </c:pt>
                <c:pt idx="12">
                  <c:v>0.10542613636363636</c:v>
                </c:pt>
                <c:pt idx="13">
                  <c:v>9.1092669432918397E-2</c:v>
                </c:pt>
                <c:pt idx="15">
                  <c:v>0.15723800873664634</c:v>
                </c:pt>
                <c:pt idx="16">
                  <c:v>0.16</c:v>
                </c:pt>
                <c:pt idx="17">
                  <c:v>0.11298921417565486</c:v>
                </c:pt>
                <c:pt idx="18">
                  <c:v>0.11810040705563093</c:v>
                </c:pt>
                <c:pt idx="20">
                  <c:v>0.27092800379040766</c:v>
                </c:pt>
                <c:pt idx="21">
                  <c:v>0.25</c:v>
                </c:pt>
                <c:pt idx="22">
                  <c:v>0.2114710743801653</c:v>
                </c:pt>
                <c:pt idx="23">
                  <c:v>0.20902587519025875</c:v>
                </c:pt>
                <c:pt idx="25">
                  <c:v>0.41177804411907615</c:v>
                </c:pt>
                <c:pt idx="26">
                  <c:v>0.42</c:v>
                </c:pt>
                <c:pt idx="27">
                  <c:v>0.37992217898832686</c:v>
                </c:pt>
                <c:pt idx="28">
                  <c:v>0.39450354609929078</c:v>
                </c:pt>
                <c:pt idx="30">
                  <c:v>0.2118945883022581</c:v>
                </c:pt>
                <c:pt idx="31">
                  <c:v>0.19</c:v>
                </c:pt>
                <c:pt idx="32">
                  <c:v>0.15555686159271231</c:v>
                </c:pt>
                <c:pt idx="33">
                  <c:v>0.15134625740441573</c:v>
                </c:pt>
              </c:numCache>
            </c:numRef>
          </c:val>
          <c:extLst>
            <c:ext xmlns:c16="http://schemas.microsoft.com/office/drawing/2014/chart" uri="{C3380CC4-5D6E-409C-BE32-E72D297353CC}">
              <c16:uniqueId val="{00000001-E1BD-4A33-8E4D-DBDC9E5A0D52}"/>
            </c:ext>
          </c:extLst>
        </c:ser>
        <c:ser>
          <c:idx val="2"/>
          <c:order val="2"/>
          <c:tx>
            <c:strRef>
              <c:f>Analyse!$AC$25</c:f>
              <c:strCache>
                <c:ptCount val="1"/>
                <c:pt idx="0">
                  <c:v>Openbare laadpaal elders</c:v>
                </c:pt>
              </c:strCache>
            </c:strRef>
          </c:tx>
          <c:spPr>
            <a:solidFill>
              <a:srgbClr val="C9C743"/>
            </a:solidFill>
            <a:ln>
              <a:noFill/>
            </a:ln>
            <a:effectLst/>
          </c:spPr>
          <c:invertIfNegative val="0"/>
          <c:dLbls>
            <c:spPr>
              <a:noFill/>
              <a:ln>
                <a:noFill/>
              </a:ln>
              <a:effectLst/>
            </c:spPr>
            <c:txPr>
              <a:bodyPr rot="0" spcFirstLastPara="1" vertOverflow="ellipsis" vert="horz" wrap="square" anchor="ctr" anchorCtr="1"/>
              <a:lstStyle/>
              <a:p>
                <a:pPr>
                  <a:defRPr sz="800" b="1" i="0" u="none" strike="noStrike" kern="1200" baseline="0">
                    <a:solidFill>
                      <a:schemeClr val="bg1"/>
                    </a:solidFill>
                    <a:latin typeface="+mn-lt"/>
                    <a:ea typeface="+mn-ea"/>
                    <a:cs typeface="+mn-cs"/>
                  </a:defRPr>
                </a:pPr>
                <a:endParaRPr lang="en-N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Analyse!$Z$26:$Z$59</c:f>
              <c:strCache>
                <c:ptCount val="34"/>
                <c:pt idx="0">
                  <c:v>Noord 2022</c:v>
                </c:pt>
                <c:pt idx="1">
                  <c:v>Noord 2023</c:v>
                </c:pt>
                <c:pt idx="2">
                  <c:v>Noord 2024</c:v>
                </c:pt>
                <c:pt idx="3">
                  <c:v>Noord 2025</c:v>
                </c:pt>
                <c:pt idx="5">
                  <c:v>Noordwest 2022</c:v>
                </c:pt>
                <c:pt idx="6">
                  <c:v>Noordwest 2023</c:v>
                </c:pt>
                <c:pt idx="7">
                  <c:v>Noordwest 2024</c:v>
                </c:pt>
                <c:pt idx="8">
                  <c:v>Noordwest 2025</c:v>
                </c:pt>
                <c:pt idx="10">
                  <c:v>Oost 2022</c:v>
                </c:pt>
                <c:pt idx="11">
                  <c:v>Oost 2023</c:v>
                </c:pt>
                <c:pt idx="12">
                  <c:v>Oost 2024</c:v>
                </c:pt>
                <c:pt idx="13">
                  <c:v>Oost 2025</c:v>
                </c:pt>
                <c:pt idx="15">
                  <c:v>Zuid 2022</c:v>
                </c:pt>
                <c:pt idx="16">
                  <c:v>Zuid 2023</c:v>
                </c:pt>
                <c:pt idx="17">
                  <c:v>Zuid 2024</c:v>
                </c:pt>
                <c:pt idx="18">
                  <c:v>Zuid 2025</c:v>
                </c:pt>
                <c:pt idx="20">
                  <c:v>Zuidwest 2022</c:v>
                </c:pt>
                <c:pt idx="21">
                  <c:v>Zuidwest 2023</c:v>
                </c:pt>
                <c:pt idx="22">
                  <c:v>Zuidwest 2024</c:v>
                </c:pt>
                <c:pt idx="23">
                  <c:v>Zuidwest 2025</c:v>
                </c:pt>
                <c:pt idx="25">
                  <c:v>G4 2022</c:v>
                </c:pt>
                <c:pt idx="26">
                  <c:v>G4 2023</c:v>
                </c:pt>
                <c:pt idx="27">
                  <c:v>G4 2024</c:v>
                </c:pt>
                <c:pt idx="28">
                  <c:v>G4 2025</c:v>
                </c:pt>
                <c:pt idx="30">
                  <c:v>Nederland 2022</c:v>
                </c:pt>
                <c:pt idx="31">
                  <c:v>Nederland 2023</c:v>
                </c:pt>
                <c:pt idx="32">
                  <c:v>Nederland 2024</c:v>
                </c:pt>
                <c:pt idx="33">
                  <c:v>Nederland 2025</c:v>
                </c:pt>
              </c:strCache>
            </c:strRef>
          </c:cat>
          <c:val>
            <c:numRef>
              <c:f>Analyse!$AC$26:$AC$59</c:f>
              <c:numCache>
                <c:formatCode>0%</c:formatCode>
                <c:ptCount val="34"/>
                <c:pt idx="0">
                  <c:v>6.90800558417176E-2</c:v>
                </c:pt>
                <c:pt idx="1">
                  <c:v>0.05</c:v>
                </c:pt>
                <c:pt idx="2">
                  <c:v>4.9876373626373621E-2</c:v>
                </c:pt>
                <c:pt idx="3">
                  <c:v>3.5013333333333334E-2</c:v>
                </c:pt>
                <c:pt idx="5">
                  <c:v>6.6453996516983777E-2</c:v>
                </c:pt>
                <c:pt idx="6">
                  <c:v>7.0000000000000007E-2</c:v>
                </c:pt>
                <c:pt idx="7">
                  <c:v>5.0713592233009711E-2</c:v>
                </c:pt>
                <c:pt idx="8">
                  <c:v>5.0727728983688831E-2</c:v>
                </c:pt>
                <c:pt idx="10">
                  <c:v>6.3030764749378201E-2</c:v>
                </c:pt>
                <c:pt idx="11">
                  <c:v>0.05</c:v>
                </c:pt>
                <c:pt idx="12">
                  <c:v>4.4886363636363634E-2</c:v>
                </c:pt>
                <c:pt idx="13">
                  <c:v>3.3969571230982015E-2</c:v>
                </c:pt>
                <c:pt idx="15">
                  <c:v>6.8509147528221098E-2</c:v>
                </c:pt>
                <c:pt idx="16">
                  <c:v>0.06</c:v>
                </c:pt>
                <c:pt idx="17">
                  <c:v>5.4622496147919877E-2</c:v>
                </c:pt>
                <c:pt idx="18">
                  <c:v>4.7001356852103118E-2</c:v>
                </c:pt>
                <c:pt idx="20">
                  <c:v>8.8665388839833742E-2</c:v>
                </c:pt>
                <c:pt idx="21">
                  <c:v>7.0000000000000007E-2</c:v>
                </c:pt>
                <c:pt idx="22">
                  <c:v>6.1289256198347103E-2</c:v>
                </c:pt>
                <c:pt idx="23">
                  <c:v>5.1019786910197873E-2</c:v>
                </c:pt>
                <c:pt idx="25">
                  <c:v>7.9006187036377185E-2</c:v>
                </c:pt>
                <c:pt idx="26">
                  <c:v>0.09</c:v>
                </c:pt>
                <c:pt idx="27">
                  <c:v>6.5466926070038914E-2</c:v>
                </c:pt>
                <c:pt idx="28">
                  <c:v>7.4468085106382975E-2</c:v>
                </c:pt>
                <c:pt idx="30">
                  <c:v>7.2271916960816446E-2</c:v>
                </c:pt>
                <c:pt idx="31">
                  <c:v>0.06</c:v>
                </c:pt>
                <c:pt idx="32">
                  <c:v>5.3158389656185717E-2</c:v>
                </c:pt>
                <c:pt idx="33">
                  <c:v>4.7162089391491656E-2</c:v>
                </c:pt>
              </c:numCache>
            </c:numRef>
          </c:val>
          <c:extLst>
            <c:ext xmlns:c16="http://schemas.microsoft.com/office/drawing/2014/chart" uri="{C3380CC4-5D6E-409C-BE32-E72D297353CC}">
              <c16:uniqueId val="{00000002-E1BD-4A33-8E4D-DBDC9E5A0D52}"/>
            </c:ext>
          </c:extLst>
        </c:ser>
        <c:ser>
          <c:idx val="3"/>
          <c:order val="3"/>
          <c:tx>
            <c:strRef>
              <c:f>Analyse!$AD$25</c:f>
              <c:strCache>
                <c:ptCount val="1"/>
                <c:pt idx="0">
                  <c:v>Laadpaal op het werk</c:v>
                </c:pt>
              </c:strCache>
            </c:strRef>
          </c:tx>
          <c:spPr>
            <a:solidFill>
              <a:srgbClr val="BAD6ED"/>
            </a:solidFill>
            <a:ln>
              <a:noFill/>
            </a:ln>
            <a:effectLst/>
          </c:spPr>
          <c:invertIfNegative val="0"/>
          <c:dLbls>
            <c:spPr>
              <a:noFill/>
              <a:ln>
                <a:noFill/>
              </a:ln>
              <a:effectLst/>
            </c:spPr>
            <c:txPr>
              <a:bodyPr rot="0" spcFirstLastPara="1" vertOverflow="ellipsis" vert="horz" wrap="square" anchor="ctr" anchorCtr="1"/>
              <a:lstStyle/>
              <a:p>
                <a:pPr>
                  <a:defRPr sz="800" b="1" i="0" u="none" strike="noStrike" kern="1200" baseline="0">
                    <a:solidFill>
                      <a:srgbClr val="2C307E"/>
                    </a:solidFill>
                    <a:latin typeface="+mn-lt"/>
                    <a:ea typeface="+mn-ea"/>
                    <a:cs typeface="+mn-cs"/>
                  </a:defRPr>
                </a:pPr>
                <a:endParaRPr lang="en-N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Analyse!$Z$26:$Z$59</c:f>
              <c:strCache>
                <c:ptCount val="34"/>
                <c:pt idx="0">
                  <c:v>Noord 2022</c:v>
                </c:pt>
                <c:pt idx="1">
                  <c:v>Noord 2023</c:v>
                </c:pt>
                <c:pt idx="2">
                  <c:v>Noord 2024</c:v>
                </c:pt>
                <c:pt idx="3">
                  <c:v>Noord 2025</c:v>
                </c:pt>
                <c:pt idx="5">
                  <c:v>Noordwest 2022</c:v>
                </c:pt>
                <c:pt idx="6">
                  <c:v>Noordwest 2023</c:v>
                </c:pt>
                <c:pt idx="7">
                  <c:v>Noordwest 2024</c:v>
                </c:pt>
                <c:pt idx="8">
                  <c:v>Noordwest 2025</c:v>
                </c:pt>
                <c:pt idx="10">
                  <c:v>Oost 2022</c:v>
                </c:pt>
                <c:pt idx="11">
                  <c:v>Oost 2023</c:v>
                </c:pt>
                <c:pt idx="12">
                  <c:v>Oost 2024</c:v>
                </c:pt>
                <c:pt idx="13">
                  <c:v>Oost 2025</c:v>
                </c:pt>
                <c:pt idx="15">
                  <c:v>Zuid 2022</c:v>
                </c:pt>
                <c:pt idx="16">
                  <c:v>Zuid 2023</c:v>
                </c:pt>
                <c:pt idx="17">
                  <c:v>Zuid 2024</c:v>
                </c:pt>
                <c:pt idx="18">
                  <c:v>Zuid 2025</c:v>
                </c:pt>
                <c:pt idx="20">
                  <c:v>Zuidwest 2022</c:v>
                </c:pt>
                <c:pt idx="21">
                  <c:v>Zuidwest 2023</c:v>
                </c:pt>
                <c:pt idx="22">
                  <c:v>Zuidwest 2024</c:v>
                </c:pt>
                <c:pt idx="23">
                  <c:v>Zuidwest 2025</c:v>
                </c:pt>
                <c:pt idx="25">
                  <c:v>G4 2022</c:v>
                </c:pt>
                <c:pt idx="26">
                  <c:v>G4 2023</c:v>
                </c:pt>
                <c:pt idx="27">
                  <c:v>G4 2024</c:v>
                </c:pt>
                <c:pt idx="28">
                  <c:v>G4 2025</c:v>
                </c:pt>
                <c:pt idx="30">
                  <c:v>Nederland 2022</c:v>
                </c:pt>
                <c:pt idx="31">
                  <c:v>Nederland 2023</c:v>
                </c:pt>
                <c:pt idx="32">
                  <c:v>Nederland 2024</c:v>
                </c:pt>
                <c:pt idx="33">
                  <c:v>Nederland 2025</c:v>
                </c:pt>
              </c:strCache>
            </c:strRef>
          </c:cat>
          <c:val>
            <c:numRef>
              <c:f>Analyse!$AD$26:$AD$59</c:f>
              <c:numCache>
                <c:formatCode>0%</c:formatCode>
                <c:ptCount val="34"/>
                <c:pt idx="0">
                  <c:v>0.10080392817599769</c:v>
                </c:pt>
                <c:pt idx="1">
                  <c:v>0.11</c:v>
                </c:pt>
                <c:pt idx="2">
                  <c:v>9.932692307692309E-2</c:v>
                </c:pt>
                <c:pt idx="3">
                  <c:v>8.3733333333333326E-2</c:v>
                </c:pt>
                <c:pt idx="5">
                  <c:v>0.12096157289106621</c:v>
                </c:pt>
                <c:pt idx="6">
                  <c:v>0.13</c:v>
                </c:pt>
                <c:pt idx="7">
                  <c:v>0.11373834951456312</c:v>
                </c:pt>
                <c:pt idx="8">
                  <c:v>0.10013801756587203</c:v>
                </c:pt>
                <c:pt idx="10">
                  <c:v>0.12254363754509399</c:v>
                </c:pt>
                <c:pt idx="11">
                  <c:v>0.12</c:v>
                </c:pt>
                <c:pt idx="12">
                  <c:v>0.1184375</c:v>
                </c:pt>
                <c:pt idx="13">
                  <c:v>9.7752420470262807E-2</c:v>
                </c:pt>
                <c:pt idx="15">
                  <c:v>0.13340685956489773</c:v>
                </c:pt>
                <c:pt idx="16">
                  <c:v>0.14000000000000001</c:v>
                </c:pt>
                <c:pt idx="17">
                  <c:v>0.10915254237288136</c:v>
                </c:pt>
                <c:pt idx="18">
                  <c:v>9.9837177747625516E-2</c:v>
                </c:pt>
                <c:pt idx="20">
                  <c:v>0.13770378825404345</c:v>
                </c:pt>
                <c:pt idx="21">
                  <c:v>0.14000000000000001</c:v>
                </c:pt>
                <c:pt idx="22">
                  <c:v>0.13433057851239669</c:v>
                </c:pt>
                <c:pt idx="23">
                  <c:v>0.11070015220700152</c:v>
                </c:pt>
                <c:pt idx="25">
                  <c:v>0.13579087169187912</c:v>
                </c:pt>
                <c:pt idx="26">
                  <c:v>0.13</c:v>
                </c:pt>
                <c:pt idx="27">
                  <c:v>0.12342412451361869</c:v>
                </c:pt>
                <c:pt idx="28">
                  <c:v>9.6028368794326247E-2</c:v>
                </c:pt>
                <c:pt idx="30">
                  <c:v>0.12605686413243258</c:v>
                </c:pt>
                <c:pt idx="31">
                  <c:v>0.13</c:v>
                </c:pt>
                <c:pt idx="32">
                  <c:v>0.11668686453129591</c:v>
                </c:pt>
                <c:pt idx="33">
                  <c:v>0.10156300484652667</c:v>
                </c:pt>
              </c:numCache>
            </c:numRef>
          </c:val>
          <c:extLst>
            <c:ext xmlns:c16="http://schemas.microsoft.com/office/drawing/2014/chart" uri="{C3380CC4-5D6E-409C-BE32-E72D297353CC}">
              <c16:uniqueId val="{00000003-E1BD-4A33-8E4D-DBDC9E5A0D52}"/>
            </c:ext>
          </c:extLst>
        </c:ser>
        <c:ser>
          <c:idx val="4"/>
          <c:order val="4"/>
          <c:tx>
            <c:strRef>
              <c:f>Analyse!$AE$25</c:f>
              <c:strCache>
                <c:ptCount val="1"/>
                <c:pt idx="0">
                  <c:v>Snellader</c:v>
                </c:pt>
              </c:strCache>
            </c:strRef>
          </c:tx>
          <c:spPr>
            <a:solidFill>
              <a:srgbClr val="4EAFAA"/>
            </a:solidFill>
            <a:ln>
              <a:noFill/>
            </a:ln>
            <a:effectLst/>
          </c:spPr>
          <c:invertIfNegative val="0"/>
          <c:dLbls>
            <c:spPr>
              <a:noFill/>
              <a:ln>
                <a:noFill/>
              </a:ln>
              <a:effectLst/>
            </c:spPr>
            <c:txPr>
              <a:bodyPr rot="0" spcFirstLastPara="1" vertOverflow="ellipsis" vert="horz" wrap="square" anchor="ctr" anchorCtr="1"/>
              <a:lstStyle/>
              <a:p>
                <a:pPr>
                  <a:defRPr sz="800" b="1" i="0" u="none" strike="noStrike" kern="1200" baseline="0">
                    <a:solidFill>
                      <a:schemeClr val="bg1"/>
                    </a:solidFill>
                    <a:latin typeface="+mn-lt"/>
                    <a:ea typeface="+mn-ea"/>
                    <a:cs typeface="+mn-cs"/>
                  </a:defRPr>
                </a:pPr>
                <a:endParaRPr lang="en-N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Analyse!$Z$26:$Z$59</c:f>
              <c:strCache>
                <c:ptCount val="34"/>
                <c:pt idx="0">
                  <c:v>Noord 2022</c:v>
                </c:pt>
                <c:pt idx="1">
                  <c:v>Noord 2023</c:v>
                </c:pt>
                <c:pt idx="2">
                  <c:v>Noord 2024</c:v>
                </c:pt>
                <c:pt idx="3">
                  <c:v>Noord 2025</c:v>
                </c:pt>
                <c:pt idx="5">
                  <c:v>Noordwest 2022</c:v>
                </c:pt>
                <c:pt idx="6">
                  <c:v>Noordwest 2023</c:v>
                </c:pt>
                <c:pt idx="7">
                  <c:v>Noordwest 2024</c:v>
                </c:pt>
                <c:pt idx="8">
                  <c:v>Noordwest 2025</c:v>
                </c:pt>
                <c:pt idx="10">
                  <c:v>Oost 2022</c:v>
                </c:pt>
                <c:pt idx="11">
                  <c:v>Oost 2023</c:v>
                </c:pt>
                <c:pt idx="12">
                  <c:v>Oost 2024</c:v>
                </c:pt>
                <c:pt idx="13">
                  <c:v>Oost 2025</c:v>
                </c:pt>
                <c:pt idx="15">
                  <c:v>Zuid 2022</c:v>
                </c:pt>
                <c:pt idx="16">
                  <c:v>Zuid 2023</c:v>
                </c:pt>
                <c:pt idx="17">
                  <c:v>Zuid 2024</c:v>
                </c:pt>
                <c:pt idx="18">
                  <c:v>Zuid 2025</c:v>
                </c:pt>
                <c:pt idx="20">
                  <c:v>Zuidwest 2022</c:v>
                </c:pt>
                <c:pt idx="21">
                  <c:v>Zuidwest 2023</c:v>
                </c:pt>
                <c:pt idx="22">
                  <c:v>Zuidwest 2024</c:v>
                </c:pt>
                <c:pt idx="23">
                  <c:v>Zuidwest 2025</c:v>
                </c:pt>
                <c:pt idx="25">
                  <c:v>G4 2022</c:v>
                </c:pt>
                <c:pt idx="26">
                  <c:v>G4 2023</c:v>
                </c:pt>
                <c:pt idx="27">
                  <c:v>G4 2024</c:v>
                </c:pt>
                <c:pt idx="28">
                  <c:v>G4 2025</c:v>
                </c:pt>
                <c:pt idx="30">
                  <c:v>Nederland 2022</c:v>
                </c:pt>
                <c:pt idx="31">
                  <c:v>Nederland 2023</c:v>
                </c:pt>
                <c:pt idx="32">
                  <c:v>Nederland 2024</c:v>
                </c:pt>
                <c:pt idx="33">
                  <c:v>Nederland 2025</c:v>
                </c:pt>
              </c:strCache>
            </c:strRef>
          </c:cat>
          <c:val>
            <c:numRef>
              <c:f>Analyse!$AE$26:$AE$59</c:f>
              <c:numCache>
                <c:formatCode>0%</c:formatCode>
                <c:ptCount val="34"/>
                <c:pt idx="0">
                  <c:v>8.6554662302026658E-2</c:v>
                </c:pt>
                <c:pt idx="1">
                  <c:v>0.1</c:v>
                </c:pt>
                <c:pt idx="2">
                  <c:v>9.5384615384615387E-2</c:v>
                </c:pt>
                <c:pt idx="3">
                  <c:v>0.10869333333333334</c:v>
                </c:pt>
                <c:pt idx="5">
                  <c:v>7.7716834035904361E-2</c:v>
                </c:pt>
                <c:pt idx="6">
                  <c:v>0.09</c:v>
                </c:pt>
                <c:pt idx="7">
                  <c:v>9.3003640776699023E-2</c:v>
                </c:pt>
                <c:pt idx="8">
                  <c:v>8.2685069008782933E-2</c:v>
                </c:pt>
                <c:pt idx="10">
                  <c:v>8.2300746151605444E-2</c:v>
                </c:pt>
                <c:pt idx="11">
                  <c:v>0.09</c:v>
                </c:pt>
                <c:pt idx="12">
                  <c:v>8.088068181818181E-2</c:v>
                </c:pt>
                <c:pt idx="13">
                  <c:v>8.0518672199170124E-2</c:v>
                </c:pt>
                <c:pt idx="15">
                  <c:v>7.6510531551403485E-2</c:v>
                </c:pt>
                <c:pt idx="16">
                  <c:v>0.08</c:v>
                </c:pt>
                <c:pt idx="17">
                  <c:v>8.4175654853620954E-2</c:v>
                </c:pt>
                <c:pt idx="18">
                  <c:v>8.2591587516960649E-2</c:v>
                </c:pt>
                <c:pt idx="20">
                  <c:v>7.916783322206189E-2</c:v>
                </c:pt>
                <c:pt idx="21">
                  <c:v>0.09</c:v>
                </c:pt>
                <c:pt idx="22">
                  <c:v>0.10694214876033058</c:v>
                </c:pt>
                <c:pt idx="23">
                  <c:v>0.10532724505327246</c:v>
                </c:pt>
                <c:pt idx="25">
                  <c:v>8.5711509183375972E-2</c:v>
                </c:pt>
                <c:pt idx="26">
                  <c:v>0.12</c:v>
                </c:pt>
                <c:pt idx="27">
                  <c:v>0.11468871595330739</c:v>
                </c:pt>
                <c:pt idx="28">
                  <c:v>0.12968085106382979</c:v>
                </c:pt>
                <c:pt idx="30">
                  <c:v>8.1047002043567073E-2</c:v>
                </c:pt>
                <c:pt idx="31">
                  <c:v>0.09</c:v>
                </c:pt>
                <c:pt idx="32">
                  <c:v>9.3182486041727894E-2</c:v>
                </c:pt>
                <c:pt idx="33">
                  <c:v>9.1899569197630593E-2</c:v>
                </c:pt>
              </c:numCache>
            </c:numRef>
          </c:val>
          <c:extLst>
            <c:ext xmlns:c16="http://schemas.microsoft.com/office/drawing/2014/chart" uri="{C3380CC4-5D6E-409C-BE32-E72D297353CC}">
              <c16:uniqueId val="{00000004-E1BD-4A33-8E4D-DBDC9E5A0D52}"/>
            </c:ext>
          </c:extLst>
        </c:ser>
        <c:dLbls>
          <c:dLblPos val="ctr"/>
          <c:showLegendKey val="0"/>
          <c:showVal val="1"/>
          <c:showCatName val="0"/>
          <c:showSerName val="0"/>
          <c:showPercent val="0"/>
          <c:showBubbleSize val="0"/>
        </c:dLbls>
        <c:gapWidth val="182"/>
        <c:overlap val="100"/>
        <c:axId val="150489104"/>
        <c:axId val="150502544"/>
      </c:barChart>
      <c:catAx>
        <c:axId val="15048910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002060"/>
                </a:solidFill>
                <a:latin typeface="+mn-lt"/>
                <a:ea typeface="+mn-ea"/>
                <a:cs typeface="+mn-cs"/>
              </a:defRPr>
            </a:pPr>
            <a:endParaRPr lang="en-NL"/>
          </a:p>
        </c:txPr>
        <c:crossAx val="150502544"/>
        <c:crosses val="autoZero"/>
        <c:auto val="1"/>
        <c:lblAlgn val="ctr"/>
        <c:lblOffset val="100"/>
        <c:noMultiLvlLbl val="0"/>
      </c:catAx>
      <c:valAx>
        <c:axId val="15050254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002060"/>
                </a:solidFill>
                <a:latin typeface="+mn-lt"/>
                <a:ea typeface="+mn-ea"/>
                <a:cs typeface="+mn-cs"/>
              </a:defRPr>
            </a:pPr>
            <a:endParaRPr lang="en-NL"/>
          </a:p>
        </c:txPr>
        <c:crossAx val="1504891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rgbClr val="002060"/>
              </a:solidFill>
              <a:latin typeface="+mn-lt"/>
              <a:ea typeface="+mn-ea"/>
              <a:cs typeface="+mn-cs"/>
            </a:defRPr>
          </a:pPr>
          <a:endParaRPr lang="en-NL"/>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a:solidFill>
            <a:srgbClr val="002060"/>
          </a:solidFill>
        </a:defRPr>
      </a:pPr>
      <a:endParaRPr lang="en-NL"/>
    </a:p>
  </c:txPr>
  <c:externalData r:id="rId3">
    <c:autoUpdate val="0"/>
  </c:externalData>
</c:chartSpace>
</file>

<file path=word/charts/chart1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100" b="0" i="0" u="none" strike="noStrike" kern="1200" spc="0" baseline="0">
                <a:solidFill>
                  <a:srgbClr val="2C307E"/>
                </a:solidFill>
                <a:latin typeface="+mn-lt"/>
                <a:ea typeface="+mn-ea"/>
                <a:cs typeface="+mn-cs"/>
              </a:defRPr>
            </a:pPr>
            <a:r>
              <a:rPr lang="nl-NL" sz="1100" b="0" i="0" u="none" strike="noStrike" kern="1200" spc="0" baseline="0">
                <a:solidFill>
                  <a:srgbClr val="2C307E"/>
                </a:solidFill>
              </a:rPr>
              <a:t>Thuis laden via eigen aansluiting </a:t>
            </a:r>
            <a:endParaRPr lang="nl-NL" sz="1100">
              <a:solidFill>
                <a:srgbClr val="2C307E"/>
              </a:solidFill>
            </a:endParaRPr>
          </a:p>
        </c:rich>
      </c:tx>
      <c:overlay val="0"/>
      <c:spPr>
        <a:noFill/>
        <a:ln>
          <a:noFill/>
        </a:ln>
        <a:effectLst/>
      </c:spPr>
    </c:title>
    <c:autoTitleDeleted val="0"/>
    <c:plotArea>
      <c:layout>
        <c:manualLayout>
          <c:layoutTarget val="inner"/>
          <c:xMode val="edge"/>
          <c:yMode val="edge"/>
          <c:x val="7.7064521111629841E-2"/>
          <c:y val="0.1454360044142915"/>
          <c:w val="0.89869038301003645"/>
          <c:h val="0.50883836149694772"/>
        </c:manualLayout>
      </c:layout>
      <c:barChart>
        <c:barDir val="col"/>
        <c:grouping val="stacked"/>
        <c:varyColors val="0"/>
        <c:ser>
          <c:idx val="1"/>
          <c:order val="0"/>
          <c:tx>
            <c:strRef>
              <c:f>Analyse!$M$193</c:f>
              <c:strCache>
                <c:ptCount val="1"/>
                <c:pt idx="0">
                  <c:v>Parkeren op eigen terrein</c:v>
                </c:pt>
              </c:strCache>
            </c:strRef>
          </c:tx>
          <c:spPr>
            <a:solidFill>
              <a:srgbClr val="2C307E"/>
            </a:solidFill>
          </c:spPr>
          <c:invertIfNegative val="0"/>
          <c:dLbls>
            <c:spPr>
              <a:noFill/>
              <a:ln>
                <a:noFill/>
              </a:ln>
              <a:effectLst/>
            </c:spPr>
            <c:txPr>
              <a:bodyPr wrap="square" lIns="38100" tIns="19050" rIns="38100" bIns="19050" anchor="ctr" anchorCtr="0">
                <a:spAutoFit/>
              </a:bodyPr>
              <a:lstStyle/>
              <a:p>
                <a:pPr algn="ctr">
                  <a:defRPr lang="en-US" sz="800" b="1" i="0" u="none" strike="noStrike" kern="1200" baseline="0">
                    <a:solidFill>
                      <a:schemeClr val="bg1"/>
                    </a:solidFill>
                    <a:latin typeface="+mn-lt"/>
                    <a:ea typeface="+mn-ea"/>
                    <a:cs typeface="+mn-cs"/>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multiLvlStrRef>
              <c:f>Analyse!$J$194:$K$211</c:f>
              <c:multiLvlStrCache>
                <c:ptCount val="18"/>
                <c:lvl>
                  <c:pt idx="0">
                    <c:v>2023</c:v>
                  </c:pt>
                  <c:pt idx="1">
                    <c:v>2024</c:v>
                  </c:pt>
                  <c:pt idx="2">
                    <c:v>2025</c:v>
                  </c:pt>
                  <c:pt idx="3">
                    <c:v>2023</c:v>
                  </c:pt>
                  <c:pt idx="4">
                    <c:v>2024</c:v>
                  </c:pt>
                  <c:pt idx="5">
                    <c:v>2025</c:v>
                  </c:pt>
                  <c:pt idx="6">
                    <c:v>2023</c:v>
                  </c:pt>
                  <c:pt idx="7">
                    <c:v>2024</c:v>
                  </c:pt>
                  <c:pt idx="8">
                    <c:v>2025</c:v>
                  </c:pt>
                  <c:pt idx="9">
                    <c:v>2023</c:v>
                  </c:pt>
                  <c:pt idx="10">
                    <c:v>2024</c:v>
                  </c:pt>
                  <c:pt idx="11">
                    <c:v>2025</c:v>
                  </c:pt>
                  <c:pt idx="12">
                    <c:v>2023</c:v>
                  </c:pt>
                  <c:pt idx="13">
                    <c:v>2024</c:v>
                  </c:pt>
                  <c:pt idx="14">
                    <c:v>2025</c:v>
                  </c:pt>
                  <c:pt idx="15">
                    <c:v>2023</c:v>
                  </c:pt>
                  <c:pt idx="16">
                    <c:v>2024</c:v>
                  </c:pt>
                  <c:pt idx="17">
                    <c:v>2025</c:v>
                  </c:pt>
                </c:lvl>
                <c:lvl>
                  <c:pt idx="0">
                    <c:v>G4</c:v>
                  </c:pt>
                  <c:pt idx="3">
                    <c:v>Noord</c:v>
                  </c:pt>
                  <c:pt idx="6">
                    <c:v>Noordwest</c:v>
                  </c:pt>
                  <c:pt idx="9">
                    <c:v>Oost</c:v>
                  </c:pt>
                  <c:pt idx="12">
                    <c:v>Zuid</c:v>
                  </c:pt>
                  <c:pt idx="15">
                    <c:v>Zuidwest</c:v>
                  </c:pt>
                </c:lvl>
              </c:multiLvlStrCache>
            </c:multiLvlStrRef>
          </c:cat>
          <c:val>
            <c:numRef>
              <c:f>Analyse!$M$194:$M$211</c:f>
              <c:numCache>
                <c:formatCode>0%</c:formatCode>
                <c:ptCount val="18"/>
                <c:pt idx="0">
                  <c:v>0.31356000000000001</c:v>
                </c:pt>
                <c:pt idx="1">
                  <c:v>0.36551665677714673</c:v>
                </c:pt>
                <c:pt idx="2">
                  <c:v>0.35779886728914739</c:v>
                </c:pt>
                <c:pt idx="3">
                  <c:v>0.76880000000000004</c:v>
                </c:pt>
                <c:pt idx="4">
                  <c:v>0.80987830931832516</c:v>
                </c:pt>
                <c:pt idx="5">
                  <c:v>0.76088888888888884</c:v>
                </c:pt>
                <c:pt idx="6">
                  <c:v>0.56745000000000001</c:v>
                </c:pt>
                <c:pt idx="7">
                  <c:v>0.63759534000579288</c:v>
                </c:pt>
                <c:pt idx="8">
                  <c:v>0.68975872637143376</c:v>
                </c:pt>
                <c:pt idx="9">
                  <c:v>0.75685999999999998</c:v>
                </c:pt>
                <c:pt idx="10">
                  <c:v>0.76103156682815021</c:v>
                </c:pt>
                <c:pt idx="11">
                  <c:v>0.7609240812043303</c:v>
                </c:pt>
                <c:pt idx="12">
                  <c:v>0.70679999999999998</c:v>
                </c:pt>
                <c:pt idx="13">
                  <c:v>0.75471698113207553</c:v>
                </c:pt>
                <c:pt idx="14">
                  <c:v>0.71066744201072563</c:v>
                </c:pt>
                <c:pt idx="15">
                  <c:v>0.52032999999999996</c:v>
                </c:pt>
                <c:pt idx="16">
                  <c:v>0.53920206607890286</c:v>
                </c:pt>
                <c:pt idx="17">
                  <c:v>0.57781191369606</c:v>
                </c:pt>
              </c:numCache>
            </c:numRef>
          </c:val>
          <c:extLst>
            <c:ext xmlns:c16="http://schemas.microsoft.com/office/drawing/2014/chart" uri="{C3380CC4-5D6E-409C-BE32-E72D297353CC}">
              <c16:uniqueId val="{00000000-226F-42D9-9D8C-51AEFE516A58}"/>
            </c:ext>
          </c:extLst>
        </c:ser>
        <c:ser>
          <c:idx val="0"/>
          <c:order val="1"/>
          <c:tx>
            <c:strRef>
              <c:f>Analyse!$L$193</c:f>
              <c:strCache>
                <c:ptCount val="1"/>
                <c:pt idx="0">
                  <c:v>Parkeren in openbare ruimte (VPA)</c:v>
                </c:pt>
              </c:strCache>
            </c:strRef>
          </c:tx>
          <c:spPr>
            <a:solidFill>
              <a:srgbClr val="08B466"/>
            </a:solidFill>
          </c:spPr>
          <c:invertIfNegative val="0"/>
          <c:dLbls>
            <c:dLbl>
              <c:idx val="0"/>
              <c:layout>
                <c:manualLayout>
                  <c:x val="0"/>
                  <c:y val="1.434034416826003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26F-42D9-9D8C-51AEFE516A58}"/>
                </c:ext>
              </c:extLst>
            </c:dLbl>
            <c:dLbl>
              <c:idx val="2"/>
              <c:layout>
                <c:manualLayout>
                  <c:x val="-4.040802633358781E-17"/>
                  <c:y val="9.560229445506692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26F-42D9-9D8C-51AEFE516A58}"/>
                </c:ext>
              </c:extLst>
            </c:dLbl>
            <c:dLbl>
              <c:idx val="3"/>
              <c:layout>
                <c:manualLayout>
                  <c:x val="0"/>
                  <c:y val="1.434034416826003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26F-42D9-9D8C-51AEFE516A58}"/>
                </c:ext>
              </c:extLst>
            </c:dLbl>
            <c:dLbl>
              <c:idx val="4"/>
              <c:layout>
                <c:manualLayout>
                  <c:x val="0"/>
                  <c:y val="1.434034416826003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26F-42D9-9D8C-51AEFE516A58}"/>
                </c:ext>
              </c:extLst>
            </c:dLbl>
            <c:dLbl>
              <c:idx val="12"/>
              <c:layout>
                <c:manualLayout>
                  <c:x val="8.0816052667175621E-17"/>
                  <c:y val="1.774098166765227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26F-42D9-9D8C-51AEFE516A58}"/>
                </c:ext>
              </c:extLst>
            </c:dLbl>
            <c:spPr>
              <a:noFill/>
              <a:ln>
                <a:noFill/>
              </a:ln>
              <a:effectLst/>
            </c:spPr>
            <c:txPr>
              <a:bodyPr wrap="square" lIns="38100" tIns="19050" rIns="38100" bIns="19050" anchor="ctr" anchorCtr="0">
                <a:spAutoFit/>
              </a:bodyPr>
              <a:lstStyle/>
              <a:p>
                <a:pPr algn="ctr">
                  <a:defRPr lang="en-US" sz="800" b="1" i="0" u="none" strike="noStrike" kern="1200" baseline="0">
                    <a:solidFill>
                      <a:schemeClr val="bg1"/>
                    </a:solidFill>
                    <a:latin typeface="+mn-lt"/>
                    <a:ea typeface="+mn-ea"/>
                    <a:cs typeface="+mn-cs"/>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multiLvlStrRef>
              <c:f>Analyse!$J$194:$K$211</c:f>
              <c:multiLvlStrCache>
                <c:ptCount val="18"/>
                <c:lvl>
                  <c:pt idx="0">
                    <c:v>2023</c:v>
                  </c:pt>
                  <c:pt idx="1">
                    <c:v>2024</c:v>
                  </c:pt>
                  <c:pt idx="2">
                    <c:v>2025</c:v>
                  </c:pt>
                  <c:pt idx="3">
                    <c:v>2023</c:v>
                  </c:pt>
                  <c:pt idx="4">
                    <c:v>2024</c:v>
                  </c:pt>
                  <c:pt idx="5">
                    <c:v>2025</c:v>
                  </c:pt>
                  <c:pt idx="6">
                    <c:v>2023</c:v>
                  </c:pt>
                  <c:pt idx="7">
                    <c:v>2024</c:v>
                  </c:pt>
                  <c:pt idx="8">
                    <c:v>2025</c:v>
                  </c:pt>
                  <c:pt idx="9">
                    <c:v>2023</c:v>
                  </c:pt>
                  <c:pt idx="10">
                    <c:v>2024</c:v>
                  </c:pt>
                  <c:pt idx="11">
                    <c:v>2025</c:v>
                  </c:pt>
                  <c:pt idx="12">
                    <c:v>2023</c:v>
                  </c:pt>
                  <c:pt idx="13">
                    <c:v>2024</c:v>
                  </c:pt>
                  <c:pt idx="14">
                    <c:v>2025</c:v>
                  </c:pt>
                  <c:pt idx="15">
                    <c:v>2023</c:v>
                  </c:pt>
                  <c:pt idx="16">
                    <c:v>2024</c:v>
                  </c:pt>
                  <c:pt idx="17">
                    <c:v>2025</c:v>
                  </c:pt>
                </c:lvl>
                <c:lvl>
                  <c:pt idx="0">
                    <c:v>G4</c:v>
                  </c:pt>
                  <c:pt idx="3">
                    <c:v>Noord</c:v>
                  </c:pt>
                  <c:pt idx="6">
                    <c:v>Noordwest</c:v>
                  </c:pt>
                  <c:pt idx="9">
                    <c:v>Oost</c:v>
                  </c:pt>
                  <c:pt idx="12">
                    <c:v>Zuid</c:v>
                  </c:pt>
                  <c:pt idx="15">
                    <c:v>Zuidwest</c:v>
                  </c:pt>
                </c:lvl>
              </c:multiLvlStrCache>
            </c:multiLvlStrRef>
          </c:cat>
          <c:val>
            <c:numRef>
              <c:f>Analyse!$L$194:$L$211</c:f>
              <c:numCache>
                <c:formatCode>0%</c:formatCode>
                <c:ptCount val="18"/>
                <c:pt idx="0">
                  <c:v>4.6440000000000002E-2</c:v>
                </c:pt>
                <c:pt idx="1">
                  <c:v>8.0698482665084337E-2</c:v>
                </c:pt>
                <c:pt idx="2">
                  <c:v>3.7884585948262661E-2</c:v>
                </c:pt>
                <c:pt idx="3">
                  <c:v>3.1200000000000002E-2</c:v>
                </c:pt>
                <c:pt idx="4">
                  <c:v>4.8478631191589891E-2</c:v>
                </c:pt>
                <c:pt idx="5">
                  <c:v>0.10902981029810296</c:v>
                </c:pt>
                <c:pt idx="6">
                  <c:v>8.2549999999999998E-2</c:v>
                </c:pt>
                <c:pt idx="7">
                  <c:v>8.9112734528368681E-2</c:v>
                </c:pt>
                <c:pt idx="8">
                  <c:v>6.4339634284303851E-2</c:v>
                </c:pt>
                <c:pt idx="9">
                  <c:v>6.3140000000000002E-2</c:v>
                </c:pt>
                <c:pt idx="10">
                  <c:v>5.8880585441249536E-2</c:v>
                </c:pt>
                <c:pt idx="11">
                  <c:v>8.1694303196783932E-2</c:v>
                </c:pt>
                <c:pt idx="12">
                  <c:v>5.3200000000000004E-2</c:v>
                </c:pt>
                <c:pt idx="13">
                  <c:v>5.6603773584905662E-2</c:v>
                </c:pt>
                <c:pt idx="14">
                  <c:v>9.8856367513083937E-2</c:v>
                </c:pt>
                <c:pt idx="15">
                  <c:v>8.967E-2</c:v>
                </c:pt>
                <c:pt idx="16">
                  <c:v>0.10716003205984506</c:v>
                </c:pt>
                <c:pt idx="17">
                  <c:v>7.911116322701689E-2</c:v>
                </c:pt>
              </c:numCache>
            </c:numRef>
          </c:val>
          <c:extLst>
            <c:ext xmlns:c16="http://schemas.microsoft.com/office/drawing/2014/chart" uri="{C3380CC4-5D6E-409C-BE32-E72D297353CC}">
              <c16:uniqueId val="{00000006-226F-42D9-9D8C-51AEFE516A58}"/>
            </c:ext>
          </c:extLst>
        </c:ser>
        <c:dLbls>
          <c:showLegendKey val="0"/>
          <c:showVal val="0"/>
          <c:showCatName val="0"/>
          <c:showSerName val="0"/>
          <c:showPercent val="0"/>
          <c:showBubbleSize val="0"/>
        </c:dLbls>
        <c:gapWidth val="65"/>
        <c:overlap val="100"/>
        <c:axId val="859086912"/>
        <c:axId val="859090872"/>
      </c:barChart>
      <c:catAx>
        <c:axId val="8590869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2C307E"/>
                </a:solidFill>
                <a:latin typeface="+mn-lt"/>
                <a:ea typeface="+mn-ea"/>
                <a:cs typeface="+mn-cs"/>
              </a:defRPr>
            </a:pPr>
            <a:endParaRPr lang="nl-NL"/>
          </a:p>
        </c:txPr>
        <c:crossAx val="859090872"/>
        <c:crosses val="autoZero"/>
        <c:auto val="1"/>
        <c:lblAlgn val="ctr"/>
        <c:lblOffset val="100"/>
        <c:noMultiLvlLbl val="0"/>
      </c:catAx>
      <c:valAx>
        <c:axId val="859090872"/>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2C307E"/>
                </a:solidFill>
                <a:latin typeface="+mn-lt"/>
                <a:ea typeface="+mn-ea"/>
                <a:cs typeface="+mn-cs"/>
              </a:defRPr>
            </a:pPr>
            <a:endParaRPr lang="nl-NL"/>
          </a:p>
        </c:txPr>
        <c:crossAx val="859086912"/>
        <c:crosses val="autoZero"/>
        <c:crossBetween val="between"/>
        <c:majorUnit val="0.2"/>
      </c:valAx>
      <c:spPr>
        <a:noFill/>
        <a:ln>
          <a:noFill/>
        </a:ln>
      </c:spPr>
    </c:plotArea>
    <c:legend>
      <c:legendPos val="b"/>
      <c:overlay val="0"/>
      <c:txPr>
        <a:bodyPr/>
        <a:lstStyle/>
        <a:p>
          <a:pPr>
            <a:defRPr sz="900">
              <a:solidFill>
                <a:srgbClr val="2C307E"/>
              </a:solidFill>
            </a:defRPr>
          </a:pPr>
          <a:endParaRPr lang="nl-NL"/>
        </a:p>
      </c:txPr>
    </c:legend>
    <c:plotVisOnly val="1"/>
    <c:dispBlanksAs val="gap"/>
    <c:showDLblsOverMax val="0"/>
    <c:extLst/>
  </c:chart>
  <c:spPr>
    <a:noFill/>
    <a:ln>
      <a:noFill/>
    </a:ln>
  </c:spPr>
  <c:txPr>
    <a:bodyPr/>
    <a:lstStyle/>
    <a:p>
      <a:pPr>
        <a:defRPr/>
      </a:pPr>
      <a:endParaRPr lang="nl-NL"/>
    </a:p>
  </c:txPr>
  <c:externalData r:id="rId1">
    <c:autoUpdate val="0"/>
  </c:externalData>
</c:chartSpace>
</file>

<file path=word/charts/chart1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rgbClr val="2C307E"/>
                </a:solidFill>
                <a:latin typeface="+mn-lt"/>
                <a:ea typeface="+mn-ea"/>
                <a:cs typeface="+mn-cs"/>
              </a:defRPr>
            </a:pPr>
            <a:r>
              <a:rPr lang="nl-NL" sz="1100"/>
              <a:t>Hoe vaak per maand rijd je meer dan de actieradius van je EV toelaat?</a:t>
            </a:r>
          </a:p>
        </c:rich>
      </c:tx>
      <c:overlay val="0"/>
      <c:spPr>
        <a:noFill/>
        <a:ln>
          <a:noFill/>
        </a:ln>
        <a:effectLst/>
      </c:spPr>
      <c:txPr>
        <a:bodyPr rot="0" spcFirstLastPara="1" vertOverflow="ellipsis" vert="horz" wrap="square" anchor="ctr" anchorCtr="1"/>
        <a:lstStyle/>
        <a:p>
          <a:pPr>
            <a:defRPr sz="1100" b="0" i="0" u="none" strike="noStrike" kern="1200" spc="0" baseline="0">
              <a:solidFill>
                <a:srgbClr val="2C307E"/>
              </a:solidFill>
              <a:latin typeface="+mn-lt"/>
              <a:ea typeface="+mn-ea"/>
              <a:cs typeface="+mn-cs"/>
            </a:defRPr>
          </a:pPr>
          <a:endParaRPr lang="en-NL"/>
        </a:p>
      </c:txPr>
    </c:title>
    <c:autoTitleDeleted val="0"/>
    <c:plotArea>
      <c:layout>
        <c:manualLayout>
          <c:layoutTarget val="inner"/>
          <c:xMode val="edge"/>
          <c:yMode val="edge"/>
          <c:x val="5.2606408417025345E-2"/>
          <c:y val="0.16991999860829327"/>
          <c:w val="0.8947871831659493"/>
          <c:h val="0.55572111066895424"/>
        </c:manualLayout>
      </c:layout>
      <c:barChart>
        <c:barDir val="col"/>
        <c:grouping val="clustered"/>
        <c:varyColors val="0"/>
        <c:ser>
          <c:idx val="0"/>
          <c:order val="0"/>
          <c:tx>
            <c:strRef>
              <c:f>Analyse!$J$332</c:f>
              <c:strCache>
                <c:ptCount val="1"/>
                <c:pt idx="0">
                  <c:v>2021</c:v>
                </c:pt>
              </c:strCache>
            </c:strRef>
          </c:tx>
          <c:spPr>
            <a:solidFill>
              <a:srgbClr val="2C307E"/>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rgbClr val="2C307E"/>
                    </a:solidFill>
                    <a:latin typeface="+mn-lt"/>
                    <a:ea typeface="+mn-ea"/>
                    <a:cs typeface="+mn-cs"/>
                  </a:defRPr>
                </a:pPr>
                <a:endParaRPr lang="en-N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Analyse!$I$333:$I$338</c:f>
              <c:strCache>
                <c:ptCount val="6"/>
                <c:pt idx="0">
                  <c:v>G4</c:v>
                </c:pt>
                <c:pt idx="1">
                  <c:v>Noord</c:v>
                </c:pt>
                <c:pt idx="2">
                  <c:v>Noordwest</c:v>
                </c:pt>
                <c:pt idx="3">
                  <c:v>Oost</c:v>
                </c:pt>
                <c:pt idx="4">
                  <c:v>Zuid</c:v>
                </c:pt>
                <c:pt idx="5">
                  <c:v>Zuidwest</c:v>
                </c:pt>
              </c:strCache>
            </c:strRef>
          </c:cat>
          <c:val>
            <c:numRef>
              <c:f>Analyse!$J$333:$J$338</c:f>
              <c:numCache>
                <c:formatCode>General</c:formatCode>
                <c:ptCount val="6"/>
                <c:pt idx="0">
                  <c:v>1.1000000000000001</c:v>
                </c:pt>
                <c:pt idx="1">
                  <c:v>1.9</c:v>
                </c:pt>
                <c:pt idx="2">
                  <c:v>1.4</c:v>
                </c:pt>
                <c:pt idx="3">
                  <c:v>1.3</c:v>
                </c:pt>
                <c:pt idx="4">
                  <c:v>1.7</c:v>
                </c:pt>
                <c:pt idx="5">
                  <c:v>1.3</c:v>
                </c:pt>
              </c:numCache>
            </c:numRef>
          </c:val>
          <c:extLst>
            <c:ext xmlns:c16="http://schemas.microsoft.com/office/drawing/2014/chart" uri="{C3380CC4-5D6E-409C-BE32-E72D297353CC}">
              <c16:uniqueId val="{00000000-265C-4EB9-AE25-DD104C209FC3}"/>
            </c:ext>
          </c:extLst>
        </c:ser>
        <c:ser>
          <c:idx val="1"/>
          <c:order val="1"/>
          <c:tx>
            <c:strRef>
              <c:f>Analyse!$K$332</c:f>
              <c:strCache>
                <c:ptCount val="1"/>
                <c:pt idx="0">
                  <c:v>2022</c:v>
                </c:pt>
              </c:strCache>
            </c:strRef>
          </c:tx>
          <c:spPr>
            <a:solidFill>
              <a:srgbClr val="08B46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rgbClr val="2C307E"/>
                    </a:solidFill>
                    <a:latin typeface="+mn-lt"/>
                    <a:ea typeface="+mn-ea"/>
                    <a:cs typeface="+mn-cs"/>
                  </a:defRPr>
                </a:pPr>
                <a:endParaRPr lang="en-N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Analyse!$I$333:$I$338</c:f>
              <c:strCache>
                <c:ptCount val="6"/>
                <c:pt idx="0">
                  <c:v>G4</c:v>
                </c:pt>
                <c:pt idx="1">
                  <c:v>Noord</c:v>
                </c:pt>
                <c:pt idx="2">
                  <c:v>Noordwest</c:v>
                </c:pt>
                <c:pt idx="3">
                  <c:v>Oost</c:v>
                </c:pt>
                <c:pt idx="4">
                  <c:v>Zuid</c:v>
                </c:pt>
                <c:pt idx="5">
                  <c:v>Zuidwest</c:v>
                </c:pt>
              </c:strCache>
            </c:strRef>
          </c:cat>
          <c:val>
            <c:numRef>
              <c:f>Analyse!$K$333:$K$338</c:f>
              <c:numCache>
                <c:formatCode>General</c:formatCode>
                <c:ptCount val="6"/>
                <c:pt idx="0">
                  <c:v>2.5</c:v>
                </c:pt>
                <c:pt idx="1">
                  <c:v>3.9</c:v>
                </c:pt>
                <c:pt idx="2">
                  <c:v>3.1</c:v>
                </c:pt>
                <c:pt idx="3">
                  <c:v>3.3</c:v>
                </c:pt>
                <c:pt idx="4">
                  <c:v>3.1</c:v>
                </c:pt>
                <c:pt idx="5">
                  <c:v>2.8</c:v>
                </c:pt>
              </c:numCache>
            </c:numRef>
          </c:val>
          <c:extLst>
            <c:ext xmlns:c16="http://schemas.microsoft.com/office/drawing/2014/chart" uri="{C3380CC4-5D6E-409C-BE32-E72D297353CC}">
              <c16:uniqueId val="{00000001-265C-4EB9-AE25-DD104C209FC3}"/>
            </c:ext>
          </c:extLst>
        </c:ser>
        <c:ser>
          <c:idx val="2"/>
          <c:order val="2"/>
          <c:tx>
            <c:strRef>
              <c:f>Analyse!$L$332</c:f>
              <c:strCache>
                <c:ptCount val="1"/>
                <c:pt idx="0">
                  <c:v>2023</c:v>
                </c:pt>
              </c:strCache>
            </c:strRef>
          </c:tx>
          <c:spPr>
            <a:solidFill>
              <a:srgbClr val="C9C74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rgbClr val="2C307E"/>
                    </a:solidFill>
                    <a:latin typeface="+mn-lt"/>
                    <a:ea typeface="+mn-ea"/>
                    <a:cs typeface="+mn-cs"/>
                  </a:defRPr>
                </a:pPr>
                <a:endParaRPr lang="en-N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Analyse!$I$333:$I$338</c:f>
              <c:strCache>
                <c:ptCount val="6"/>
                <c:pt idx="0">
                  <c:v>G4</c:v>
                </c:pt>
                <c:pt idx="1">
                  <c:v>Noord</c:v>
                </c:pt>
                <c:pt idx="2">
                  <c:v>Noordwest</c:v>
                </c:pt>
                <c:pt idx="3">
                  <c:v>Oost</c:v>
                </c:pt>
                <c:pt idx="4">
                  <c:v>Zuid</c:v>
                </c:pt>
                <c:pt idx="5">
                  <c:v>Zuidwest</c:v>
                </c:pt>
              </c:strCache>
            </c:strRef>
          </c:cat>
          <c:val>
            <c:numRef>
              <c:f>Analyse!$L$333:$L$338</c:f>
              <c:numCache>
                <c:formatCode>General</c:formatCode>
                <c:ptCount val="6"/>
                <c:pt idx="0">
                  <c:v>1.9</c:v>
                </c:pt>
                <c:pt idx="1">
                  <c:v>2.1</c:v>
                </c:pt>
                <c:pt idx="2">
                  <c:v>1.8</c:v>
                </c:pt>
                <c:pt idx="3">
                  <c:v>2</c:v>
                </c:pt>
                <c:pt idx="4">
                  <c:v>2.2000000000000002</c:v>
                </c:pt>
                <c:pt idx="5">
                  <c:v>2</c:v>
                </c:pt>
              </c:numCache>
            </c:numRef>
          </c:val>
          <c:extLst>
            <c:ext xmlns:c16="http://schemas.microsoft.com/office/drawing/2014/chart" uri="{C3380CC4-5D6E-409C-BE32-E72D297353CC}">
              <c16:uniqueId val="{00000002-265C-4EB9-AE25-DD104C209FC3}"/>
            </c:ext>
          </c:extLst>
        </c:ser>
        <c:ser>
          <c:idx val="3"/>
          <c:order val="3"/>
          <c:tx>
            <c:strRef>
              <c:f>Analyse!$M$332</c:f>
              <c:strCache>
                <c:ptCount val="1"/>
                <c:pt idx="0">
                  <c:v>2024</c:v>
                </c:pt>
              </c:strCache>
            </c:strRef>
          </c:tx>
          <c:spPr>
            <a:solidFill>
              <a:srgbClr val="BAD6ED"/>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rgbClr val="2C307E"/>
                    </a:solidFill>
                    <a:latin typeface="+mn-lt"/>
                    <a:ea typeface="+mn-ea"/>
                    <a:cs typeface="+mn-cs"/>
                  </a:defRPr>
                </a:pPr>
                <a:endParaRPr lang="en-N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Analyse!$I$333:$I$338</c:f>
              <c:strCache>
                <c:ptCount val="6"/>
                <c:pt idx="0">
                  <c:v>G4</c:v>
                </c:pt>
                <c:pt idx="1">
                  <c:v>Noord</c:v>
                </c:pt>
                <c:pt idx="2">
                  <c:v>Noordwest</c:v>
                </c:pt>
                <c:pt idx="3">
                  <c:v>Oost</c:v>
                </c:pt>
                <c:pt idx="4">
                  <c:v>Zuid</c:v>
                </c:pt>
                <c:pt idx="5">
                  <c:v>Zuidwest</c:v>
                </c:pt>
              </c:strCache>
            </c:strRef>
          </c:cat>
          <c:val>
            <c:numRef>
              <c:f>Analyse!$M$333:$M$338</c:f>
              <c:numCache>
                <c:formatCode>General</c:formatCode>
                <c:ptCount val="6"/>
                <c:pt idx="0">
                  <c:v>1.8</c:v>
                </c:pt>
                <c:pt idx="1">
                  <c:v>2.5</c:v>
                </c:pt>
                <c:pt idx="2">
                  <c:v>1.4</c:v>
                </c:pt>
                <c:pt idx="3">
                  <c:v>1.6</c:v>
                </c:pt>
                <c:pt idx="4">
                  <c:v>1.8</c:v>
                </c:pt>
                <c:pt idx="5">
                  <c:v>1.5</c:v>
                </c:pt>
              </c:numCache>
            </c:numRef>
          </c:val>
          <c:extLst>
            <c:ext xmlns:c16="http://schemas.microsoft.com/office/drawing/2014/chart" uri="{C3380CC4-5D6E-409C-BE32-E72D297353CC}">
              <c16:uniqueId val="{00000003-265C-4EB9-AE25-DD104C209FC3}"/>
            </c:ext>
          </c:extLst>
        </c:ser>
        <c:ser>
          <c:idx val="4"/>
          <c:order val="4"/>
          <c:tx>
            <c:strRef>
              <c:f>Analyse!$N$332</c:f>
              <c:strCache>
                <c:ptCount val="1"/>
                <c:pt idx="0">
                  <c:v>2025</c:v>
                </c:pt>
              </c:strCache>
            </c:strRef>
          </c:tx>
          <c:spPr>
            <a:solidFill>
              <a:srgbClr val="4EAFAA"/>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rgbClr val="2C307E"/>
                    </a:solidFill>
                    <a:latin typeface="+mn-lt"/>
                    <a:ea typeface="+mn-ea"/>
                    <a:cs typeface="+mn-cs"/>
                  </a:defRPr>
                </a:pPr>
                <a:endParaRPr lang="en-N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Analyse!$I$333:$I$338</c:f>
              <c:strCache>
                <c:ptCount val="6"/>
                <c:pt idx="0">
                  <c:v>G4</c:v>
                </c:pt>
                <c:pt idx="1">
                  <c:v>Noord</c:v>
                </c:pt>
                <c:pt idx="2">
                  <c:v>Noordwest</c:v>
                </c:pt>
                <c:pt idx="3">
                  <c:v>Oost</c:v>
                </c:pt>
                <c:pt idx="4">
                  <c:v>Zuid</c:v>
                </c:pt>
                <c:pt idx="5">
                  <c:v>Zuidwest</c:v>
                </c:pt>
              </c:strCache>
            </c:strRef>
          </c:cat>
          <c:val>
            <c:numRef>
              <c:f>Analyse!$N$333:$N$338</c:f>
              <c:numCache>
                <c:formatCode>0.0</c:formatCode>
                <c:ptCount val="6"/>
                <c:pt idx="0">
                  <c:v>1.4996428571428571</c:v>
                </c:pt>
                <c:pt idx="1">
                  <c:v>1.6378016085790885</c:v>
                </c:pt>
                <c:pt idx="2">
                  <c:v>1.3188035264483629</c:v>
                </c:pt>
                <c:pt idx="3">
                  <c:v>1.3719917012448133</c:v>
                </c:pt>
                <c:pt idx="4">
                  <c:v>1.2966803137789904</c:v>
                </c:pt>
                <c:pt idx="5">
                  <c:v>1.6996341463414635</c:v>
                </c:pt>
              </c:numCache>
            </c:numRef>
          </c:val>
          <c:extLst>
            <c:ext xmlns:c16="http://schemas.microsoft.com/office/drawing/2014/chart" uri="{C3380CC4-5D6E-409C-BE32-E72D297353CC}">
              <c16:uniqueId val="{00000004-265C-4EB9-AE25-DD104C209FC3}"/>
            </c:ext>
          </c:extLst>
        </c:ser>
        <c:dLbls>
          <c:dLblPos val="outEnd"/>
          <c:showLegendKey val="0"/>
          <c:showVal val="1"/>
          <c:showCatName val="0"/>
          <c:showSerName val="0"/>
          <c:showPercent val="0"/>
          <c:showBubbleSize val="0"/>
        </c:dLbls>
        <c:gapWidth val="219"/>
        <c:overlap val="-27"/>
        <c:axId val="218069423"/>
        <c:axId val="218070863"/>
      </c:barChart>
      <c:catAx>
        <c:axId val="21806942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2C307E"/>
                </a:solidFill>
                <a:latin typeface="+mn-lt"/>
                <a:ea typeface="+mn-ea"/>
                <a:cs typeface="+mn-cs"/>
              </a:defRPr>
            </a:pPr>
            <a:endParaRPr lang="en-NL"/>
          </a:p>
        </c:txPr>
        <c:crossAx val="218070863"/>
        <c:crosses val="autoZero"/>
        <c:auto val="1"/>
        <c:lblAlgn val="ctr"/>
        <c:lblOffset val="100"/>
        <c:noMultiLvlLbl val="0"/>
      </c:catAx>
      <c:valAx>
        <c:axId val="218070863"/>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21806942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rgbClr val="2C307E"/>
              </a:solidFill>
              <a:latin typeface="+mn-lt"/>
              <a:ea typeface="+mn-ea"/>
              <a:cs typeface="+mn-cs"/>
            </a:defRPr>
          </a:pPr>
          <a:endParaRPr lang="en-NL"/>
        </a:p>
      </c:txPr>
    </c:legend>
    <c:plotVisOnly val="1"/>
    <c:dispBlanksAs val="gap"/>
    <c:showDLblsOverMax val="0"/>
  </c:chart>
  <c:spPr>
    <a:noFill/>
    <a:ln w="9525" cap="flat" cmpd="sng" algn="ctr">
      <a:noFill/>
      <a:round/>
    </a:ln>
    <a:effectLst/>
  </c:spPr>
  <c:txPr>
    <a:bodyPr/>
    <a:lstStyle/>
    <a:p>
      <a:pPr>
        <a:defRPr>
          <a:solidFill>
            <a:srgbClr val="2C307E"/>
          </a:solidFill>
        </a:defRPr>
      </a:pPr>
      <a:endParaRPr lang="en-NL"/>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marL="0" marR="0" lvl="0" indent="0" algn="ctr" defTabSz="914400" rtl="0" eaLnBrk="1" fontAlgn="auto" latinLnBrk="0" hangingPunct="1">
              <a:lnSpc>
                <a:spcPct val="100000"/>
              </a:lnSpc>
              <a:spcBef>
                <a:spcPts val="0"/>
              </a:spcBef>
              <a:spcAft>
                <a:spcPts val="0"/>
              </a:spcAft>
              <a:buClrTx/>
              <a:buSzTx/>
              <a:buFontTx/>
              <a:buNone/>
              <a:tabLst/>
              <a:defRPr lang="en-US" sz="1100" b="0" i="0" u="none" strike="noStrike" kern="1200" spc="0" baseline="0">
                <a:solidFill>
                  <a:srgbClr val="2C307E"/>
                </a:solidFill>
                <a:latin typeface="+mn-lt"/>
                <a:ea typeface="+mn-ea"/>
                <a:cs typeface="+mn-cs"/>
              </a:defRPr>
            </a:pPr>
            <a:r>
              <a:rPr lang="en-US" sz="1100" b="0" i="0" u="none" strike="noStrike" kern="1200" spc="0" baseline="0">
                <a:solidFill>
                  <a:srgbClr val="2C307E"/>
                </a:solidFill>
                <a:latin typeface="+mn-lt"/>
                <a:ea typeface="+mn-ea"/>
                <a:cs typeface="+mn-cs"/>
              </a:rPr>
              <a:t>Hoeveel stroom leveren jouw zonnepanelen? </a:t>
            </a:r>
          </a:p>
          <a:p>
            <a:pPr marL="0" marR="0" lvl="0" indent="0" algn="ctr" defTabSz="914400" rtl="0" eaLnBrk="1" fontAlgn="auto" latinLnBrk="0" hangingPunct="1">
              <a:lnSpc>
                <a:spcPct val="100000"/>
              </a:lnSpc>
              <a:spcBef>
                <a:spcPts val="0"/>
              </a:spcBef>
              <a:spcAft>
                <a:spcPts val="0"/>
              </a:spcAft>
              <a:buClrTx/>
              <a:buSzTx/>
              <a:buFontTx/>
              <a:buNone/>
              <a:tabLst/>
              <a:defRPr lang="en-US" sz="1100" b="0" i="0" u="none" strike="noStrike" kern="1200" spc="0" baseline="0">
                <a:solidFill>
                  <a:srgbClr val="2C307E"/>
                </a:solidFill>
                <a:latin typeface="+mn-lt"/>
                <a:ea typeface="+mn-ea"/>
                <a:cs typeface="+mn-cs"/>
              </a:defRPr>
            </a:pPr>
            <a:endParaRPr lang="en-US" sz="1100" b="0" i="0" u="none" strike="noStrike" kern="1200" spc="0" baseline="0">
              <a:solidFill>
                <a:srgbClr val="2C307E"/>
              </a:solidFill>
              <a:latin typeface="+mn-lt"/>
              <a:ea typeface="+mn-ea"/>
              <a:cs typeface="+mn-cs"/>
            </a:endParaRPr>
          </a:p>
        </c:rich>
      </c:tx>
      <c:layout>
        <c:manualLayout>
          <c:xMode val="edge"/>
          <c:yMode val="edge"/>
          <c:x val="0.20010263517060367"/>
          <c:y val="1.8454474012666221E-2"/>
        </c:manualLayout>
      </c:layout>
      <c:overlay val="0"/>
    </c:title>
    <c:autoTitleDeleted val="0"/>
    <c:plotArea>
      <c:layout>
        <c:manualLayout>
          <c:layoutTarget val="inner"/>
          <c:xMode val="edge"/>
          <c:yMode val="edge"/>
          <c:x val="8.2746159320758475E-2"/>
          <c:y val="0.12943217714224078"/>
          <c:w val="0.89192281016686381"/>
          <c:h val="0.34519647677492266"/>
        </c:manualLayout>
      </c:layout>
      <c:barChart>
        <c:barDir val="col"/>
        <c:grouping val="clustered"/>
        <c:varyColors val="0"/>
        <c:ser>
          <c:idx val="0"/>
          <c:order val="0"/>
          <c:tx>
            <c:strRef>
              <c:f>'3.2 de elektrische auto'!$F$248</c:f>
              <c:strCache>
                <c:ptCount val="1"/>
                <c:pt idx="0">
                  <c:v>Mijn zonnepanelen leveren meer stroom op per jaar dan mijn huis en auto gebruiken  </c:v>
                </c:pt>
              </c:strCache>
            </c:strRef>
          </c:tx>
          <c:spPr>
            <a:solidFill>
              <a:srgbClr val="2C307E"/>
            </a:solidFill>
            <a:ln>
              <a:noFill/>
            </a:ln>
            <a:effectLst/>
          </c:spPr>
          <c:invertIfNegative val="0"/>
          <c:dLbls>
            <c:dLbl>
              <c:idx val="0"/>
              <c:layout>
                <c:manualLayout>
                  <c:x val="-1.9129603060736491E-2"/>
                  <c:y val="1.488833746898258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2EA-4130-9D5B-D052469EE2B7}"/>
                </c:ext>
              </c:extLst>
            </c:dLbl>
            <c:dLbl>
              <c:idx val="1"/>
              <c:layout>
                <c:manualLayout>
                  <c:x val="-9.5648015303682454E-3"/>
                  <c:y val="1.488833746898258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2EA-4130-9D5B-D052469EE2B7}"/>
                </c:ext>
              </c:extLst>
            </c:dLbl>
            <c:spPr>
              <a:noFill/>
              <a:ln>
                <a:noFill/>
              </a:ln>
              <a:effectLst/>
            </c:spPr>
            <c:txPr>
              <a:bodyPr wrap="square" lIns="38100" tIns="19050" rIns="38100" bIns="19050" anchor="ctr" anchorCtr="0">
                <a:spAutoFit/>
              </a:bodyPr>
              <a:lstStyle/>
              <a:p>
                <a:pPr algn="ctr">
                  <a:defRPr lang="en-US" sz="800" b="1" i="0" u="none" strike="noStrike" kern="1200" baseline="0">
                    <a:solidFill>
                      <a:srgbClr val="4EAFAA"/>
                    </a:solidFill>
                    <a:latin typeface="+mn-lt"/>
                    <a:ea typeface="+mn-ea"/>
                    <a:cs typeface="+mn-cs"/>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'3.2 de elektrische auto'!$G$247:$I$247</c:f>
              <c:strCache>
                <c:ptCount val="3"/>
                <c:pt idx="0">
                  <c:v>totaal</c:v>
                </c:pt>
                <c:pt idx="1">
                  <c:v>thuislader</c:v>
                </c:pt>
                <c:pt idx="2">
                  <c:v>niet thuislader</c:v>
                </c:pt>
              </c:strCache>
            </c:strRef>
          </c:cat>
          <c:val>
            <c:numRef>
              <c:f>'3.2 de elektrische auto'!$G$248:$I$248</c:f>
              <c:numCache>
                <c:formatCode>0%</c:formatCode>
                <c:ptCount val="3"/>
                <c:pt idx="0">
                  <c:v>0.21622562674094709</c:v>
                </c:pt>
                <c:pt idx="1">
                  <c:v>0.22109120521172637</c:v>
                </c:pt>
                <c:pt idx="2">
                  <c:v>0.1875</c:v>
                </c:pt>
              </c:numCache>
            </c:numRef>
          </c:val>
          <c:extLst>
            <c:ext xmlns:c16="http://schemas.microsoft.com/office/drawing/2014/chart" uri="{C3380CC4-5D6E-409C-BE32-E72D297353CC}">
              <c16:uniqueId val="{00000002-A2EA-4130-9D5B-D052469EE2B7}"/>
            </c:ext>
          </c:extLst>
        </c:ser>
        <c:ser>
          <c:idx val="1"/>
          <c:order val="1"/>
          <c:tx>
            <c:strRef>
              <c:f>'3.2 de elektrische auto'!$F$249</c:f>
              <c:strCache>
                <c:ptCount val="1"/>
                <c:pt idx="0">
                  <c:v>Mijn zonnepanelen leveren ongeveer net zoveel stroom op als mijn huis en auto gebruiken  </c:v>
                </c:pt>
              </c:strCache>
            </c:strRef>
          </c:tx>
          <c:spPr>
            <a:solidFill>
              <a:srgbClr val="08B466"/>
            </a:solidFill>
          </c:spPr>
          <c:invertIfNegative val="0"/>
          <c:dLbls>
            <c:dLbl>
              <c:idx val="0"/>
              <c:layout>
                <c:manualLayout>
                  <c:x val="-2.1919083629302715E-17"/>
                  <c:y val="1.48883374689826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2EA-4130-9D5B-D052469EE2B7}"/>
                </c:ext>
              </c:extLst>
            </c:dLbl>
            <c:spPr>
              <a:noFill/>
              <a:ln>
                <a:noFill/>
              </a:ln>
              <a:effectLst/>
            </c:spPr>
            <c:txPr>
              <a:bodyPr wrap="square" lIns="38100" tIns="19050" rIns="38100" bIns="19050" anchor="ctr" anchorCtr="0">
                <a:spAutoFit/>
              </a:bodyPr>
              <a:lstStyle/>
              <a:p>
                <a:pPr algn="ctr">
                  <a:defRPr lang="en-US" sz="800" b="1" i="0" u="none" strike="noStrike" kern="1200" baseline="0">
                    <a:solidFill>
                      <a:srgbClr val="4EAFAA"/>
                    </a:solidFill>
                    <a:latin typeface="+mn-lt"/>
                    <a:ea typeface="+mn-ea"/>
                    <a:cs typeface="+mn-cs"/>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'3.2 de elektrische auto'!$G$247:$I$247</c:f>
              <c:strCache>
                <c:ptCount val="3"/>
                <c:pt idx="0">
                  <c:v>totaal</c:v>
                </c:pt>
                <c:pt idx="1">
                  <c:v>thuislader</c:v>
                </c:pt>
                <c:pt idx="2">
                  <c:v>niet thuislader</c:v>
                </c:pt>
              </c:strCache>
            </c:strRef>
          </c:cat>
          <c:val>
            <c:numRef>
              <c:f>'3.2 de elektrische auto'!$G$249:$I$249</c:f>
              <c:numCache>
                <c:formatCode>0%</c:formatCode>
                <c:ptCount val="3"/>
                <c:pt idx="0">
                  <c:v>0.22179665738161561</c:v>
                </c:pt>
                <c:pt idx="1">
                  <c:v>0.23900651465798045</c:v>
                </c:pt>
                <c:pt idx="2">
                  <c:v>0.1201923076923077</c:v>
                </c:pt>
              </c:numCache>
            </c:numRef>
          </c:val>
          <c:extLst>
            <c:ext xmlns:c16="http://schemas.microsoft.com/office/drawing/2014/chart" uri="{C3380CC4-5D6E-409C-BE32-E72D297353CC}">
              <c16:uniqueId val="{00000004-A2EA-4130-9D5B-D052469EE2B7}"/>
            </c:ext>
          </c:extLst>
        </c:ser>
        <c:ser>
          <c:idx val="2"/>
          <c:order val="2"/>
          <c:tx>
            <c:strRef>
              <c:f>'3.2 de elektrische auto'!$F$250</c:f>
              <c:strCache>
                <c:ptCount val="1"/>
                <c:pt idx="0">
                  <c:v>Mijn zonnepanelen leveren minder stroom op per jaar dan mijn huis en auto gebruiken  </c:v>
                </c:pt>
              </c:strCache>
            </c:strRef>
          </c:tx>
          <c:spPr>
            <a:solidFill>
              <a:srgbClr val="C9C743"/>
            </a:solidFill>
          </c:spPr>
          <c:invertIfNegative val="0"/>
          <c:dLbls>
            <c:spPr>
              <a:noFill/>
              <a:ln>
                <a:noFill/>
              </a:ln>
              <a:effectLst/>
            </c:spPr>
            <c:txPr>
              <a:bodyPr wrap="square" lIns="38100" tIns="19050" rIns="38100" bIns="19050" anchor="ctr" anchorCtr="0">
                <a:spAutoFit/>
              </a:bodyPr>
              <a:lstStyle/>
              <a:p>
                <a:pPr algn="ctr">
                  <a:defRPr lang="en-US" sz="800" b="1" i="0" u="none" strike="noStrike" kern="1200" baseline="0">
                    <a:solidFill>
                      <a:srgbClr val="4EAFAA"/>
                    </a:solidFill>
                    <a:latin typeface="+mn-lt"/>
                    <a:ea typeface="+mn-ea"/>
                    <a:cs typeface="+mn-cs"/>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'3.2 de elektrische auto'!$G$247:$I$247</c:f>
              <c:strCache>
                <c:ptCount val="3"/>
                <c:pt idx="0">
                  <c:v>totaal</c:v>
                </c:pt>
                <c:pt idx="1">
                  <c:v>thuislader</c:v>
                </c:pt>
                <c:pt idx="2">
                  <c:v>niet thuislader</c:v>
                </c:pt>
              </c:strCache>
            </c:strRef>
          </c:cat>
          <c:val>
            <c:numRef>
              <c:f>'3.2 de elektrische auto'!$G$250:$I$250</c:f>
              <c:numCache>
                <c:formatCode>0%</c:formatCode>
                <c:ptCount val="3"/>
                <c:pt idx="0">
                  <c:v>0.53098885793871864</c:v>
                </c:pt>
                <c:pt idx="1">
                  <c:v>0.52768729641693812</c:v>
                </c:pt>
                <c:pt idx="2">
                  <c:v>0.55048076923076927</c:v>
                </c:pt>
              </c:numCache>
            </c:numRef>
          </c:val>
          <c:extLst>
            <c:ext xmlns:c16="http://schemas.microsoft.com/office/drawing/2014/chart" uri="{C3380CC4-5D6E-409C-BE32-E72D297353CC}">
              <c16:uniqueId val="{00000005-A2EA-4130-9D5B-D052469EE2B7}"/>
            </c:ext>
          </c:extLst>
        </c:ser>
        <c:ser>
          <c:idx val="3"/>
          <c:order val="3"/>
          <c:tx>
            <c:strRef>
              <c:f>'3.2 de elektrische auto'!$F$251</c:f>
              <c:strCache>
                <c:ptCount val="1"/>
                <c:pt idx="0">
                  <c:v>Weet ik niet  </c:v>
                </c:pt>
              </c:strCache>
            </c:strRef>
          </c:tx>
          <c:spPr>
            <a:solidFill>
              <a:srgbClr val="BAD6ED"/>
            </a:solidFill>
          </c:spPr>
          <c:invertIfNegative val="0"/>
          <c:dLbls>
            <c:spPr>
              <a:noFill/>
              <a:ln>
                <a:noFill/>
              </a:ln>
              <a:effectLst/>
            </c:spPr>
            <c:txPr>
              <a:bodyPr wrap="square" lIns="38100" tIns="19050" rIns="38100" bIns="19050" anchor="ctr" anchorCtr="0">
                <a:spAutoFit/>
              </a:bodyPr>
              <a:lstStyle/>
              <a:p>
                <a:pPr algn="ctr">
                  <a:defRPr lang="en-US" sz="800" b="1" i="0" u="none" strike="noStrike" kern="1200" baseline="0">
                    <a:solidFill>
                      <a:srgbClr val="4EAFAA"/>
                    </a:solidFill>
                    <a:latin typeface="+mn-lt"/>
                    <a:ea typeface="+mn-ea"/>
                    <a:cs typeface="+mn-cs"/>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'3.2 de elektrische auto'!$G$247:$I$247</c:f>
              <c:strCache>
                <c:ptCount val="3"/>
                <c:pt idx="0">
                  <c:v>totaal</c:v>
                </c:pt>
                <c:pt idx="1">
                  <c:v>thuislader</c:v>
                </c:pt>
                <c:pt idx="2">
                  <c:v>niet thuislader</c:v>
                </c:pt>
              </c:strCache>
            </c:strRef>
          </c:cat>
          <c:val>
            <c:numRef>
              <c:f>'3.2 de elektrische auto'!$G$251:$I$251</c:f>
              <c:numCache>
                <c:formatCode>0%</c:formatCode>
                <c:ptCount val="3"/>
                <c:pt idx="0">
                  <c:v>3.0988857938718663E-2</c:v>
                </c:pt>
                <c:pt idx="1">
                  <c:v>1.2214983713355049E-2</c:v>
                </c:pt>
                <c:pt idx="2">
                  <c:v>0.14182692307692307</c:v>
                </c:pt>
              </c:numCache>
            </c:numRef>
          </c:val>
          <c:extLst>
            <c:ext xmlns:c16="http://schemas.microsoft.com/office/drawing/2014/chart" uri="{C3380CC4-5D6E-409C-BE32-E72D297353CC}">
              <c16:uniqueId val="{00000006-A2EA-4130-9D5B-D052469EE2B7}"/>
            </c:ext>
          </c:extLst>
        </c:ser>
        <c:dLbls>
          <c:showLegendKey val="0"/>
          <c:showVal val="0"/>
          <c:showCatName val="0"/>
          <c:showSerName val="0"/>
          <c:showPercent val="0"/>
          <c:showBubbleSize val="0"/>
        </c:dLbls>
        <c:gapWidth val="219"/>
        <c:overlap val="-27"/>
        <c:axId val="488549280"/>
        <c:axId val="488558136"/>
      </c:barChart>
      <c:catAx>
        <c:axId val="4885492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sz="900" b="0" i="0" u="none" strike="noStrike" kern="1200" baseline="0">
                <a:solidFill>
                  <a:srgbClr val="2C307E"/>
                </a:solidFill>
                <a:latin typeface="+mn-lt"/>
                <a:ea typeface="+mn-ea"/>
                <a:cs typeface="+mn-cs"/>
              </a:defRPr>
            </a:pPr>
            <a:endParaRPr lang="nl-NL"/>
          </a:p>
        </c:txPr>
        <c:crossAx val="488558136"/>
        <c:crosses val="autoZero"/>
        <c:auto val="1"/>
        <c:lblAlgn val="ctr"/>
        <c:lblOffset val="100"/>
        <c:noMultiLvlLbl val="0"/>
      </c:catAx>
      <c:valAx>
        <c:axId val="488558136"/>
        <c:scaling>
          <c:orientation val="minMax"/>
          <c:max val="0.8"/>
        </c:scaling>
        <c:delete val="0"/>
        <c:axPos val="l"/>
        <c:majorGridlines>
          <c:spPr>
            <a:ln>
              <a:solidFill>
                <a:srgbClr val="D9D9D9"/>
              </a:solidFill>
            </a:ln>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2C307E"/>
                </a:solidFill>
                <a:latin typeface="+mn-lt"/>
                <a:ea typeface="+mn-ea"/>
                <a:cs typeface="+mn-cs"/>
              </a:defRPr>
            </a:pPr>
            <a:endParaRPr lang="nl-NL"/>
          </a:p>
        </c:txPr>
        <c:crossAx val="488549280"/>
        <c:crosses val="autoZero"/>
        <c:crossBetween val="between"/>
        <c:majorUnit val="0.2"/>
      </c:valAx>
      <c:spPr>
        <a:noFill/>
        <a:ln>
          <a:noFill/>
        </a:ln>
      </c:spPr>
    </c:plotArea>
    <c:legend>
      <c:legendPos val="b"/>
      <c:layout>
        <c:manualLayout>
          <c:xMode val="edge"/>
          <c:yMode val="edge"/>
          <c:x val="1.0545005403736298E-2"/>
          <c:y val="0.58562011212204002"/>
          <c:w val="0.98945499459626374"/>
          <c:h val="0.41437988354903915"/>
        </c:manualLayout>
      </c:layout>
      <c:overlay val="0"/>
      <c:txPr>
        <a:bodyPr/>
        <a:lstStyle/>
        <a:p>
          <a:pPr>
            <a:defRPr sz="900">
              <a:solidFill>
                <a:srgbClr val="2C307E"/>
              </a:solidFill>
            </a:defRPr>
          </a:pPr>
          <a:endParaRPr lang="nl-NL"/>
        </a:p>
      </c:txPr>
    </c:legend>
    <c:plotVisOnly val="1"/>
    <c:dispBlanksAs val="gap"/>
    <c:showDLblsOverMax val="0"/>
    <c:extLst/>
  </c:chart>
  <c:spPr>
    <a:noFill/>
    <a:ln w="9525" cap="flat" cmpd="sng" algn="ctr">
      <a:noFill/>
      <a:round/>
    </a:ln>
    <a:effectLst/>
  </c:spPr>
  <c:txPr>
    <a:bodyPr/>
    <a:lstStyle/>
    <a:p>
      <a:pPr>
        <a:defRPr/>
      </a:pPr>
      <a:endParaRPr lang="nl-NL"/>
    </a:p>
  </c:txPr>
  <c:externalData r:id="rId1">
    <c:autoUpdate val="0"/>
  </c:externalData>
</c:chartSpace>
</file>

<file path=word/charts/chart1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rgbClr val="2C307E"/>
                </a:solidFill>
                <a:latin typeface="+mn-lt"/>
                <a:ea typeface="+mn-ea"/>
                <a:cs typeface="+mn-cs"/>
              </a:defRPr>
            </a:pPr>
            <a:r>
              <a:rPr lang="nl-NL" sz="1100">
                <a:solidFill>
                  <a:srgbClr val="2C307E"/>
                </a:solidFill>
              </a:rPr>
              <a:t>Rapportcijfer</a:t>
            </a:r>
          </a:p>
        </c:rich>
      </c:tx>
      <c:overlay val="0"/>
      <c:spPr>
        <a:noFill/>
        <a:ln>
          <a:noFill/>
        </a:ln>
        <a:effectLst/>
      </c:spPr>
      <c:txPr>
        <a:bodyPr rot="0" spcFirstLastPara="1" vertOverflow="ellipsis" vert="horz" wrap="square" anchor="ctr" anchorCtr="1"/>
        <a:lstStyle/>
        <a:p>
          <a:pPr>
            <a:defRPr sz="1100" b="0" i="0" u="none" strike="noStrike" kern="1200" spc="0" baseline="0">
              <a:solidFill>
                <a:srgbClr val="2C307E"/>
              </a:solidFill>
              <a:latin typeface="+mn-lt"/>
              <a:ea typeface="+mn-ea"/>
              <a:cs typeface="+mn-cs"/>
            </a:defRPr>
          </a:pPr>
          <a:endParaRPr lang="en-NL"/>
        </a:p>
      </c:txPr>
    </c:title>
    <c:autoTitleDeleted val="0"/>
    <c:plotArea>
      <c:layout>
        <c:manualLayout>
          <c:layoutTarget val="inner"/>
          <c:xMode val="edge"/>
          <c:yMode val="edge"/>
          <c:x val="0.44395779386637074"/>
          <c:y val="6.9300994685924516E-2"/>
          <c:w val="0.47119871760996318"/>
          <c:h val="0.80514133852903202"/>
        </c:manualLayout>
      </c:layout>
      <c:barChart>
        <c:barDir val="bar"/>
        <c:grouping val="clustered"/>
        <c:varyColors val="0"/>
        <c:ser>
          <c:idx val="0"/>
          <c:order val="0"/>
          <c:tx>
            <c:strRef>
              <c:f>Analyse!$R$362</c:f>
              <c:strCache>
                <c:ptCount val="1"/>
                <c:pt idx="0">
                  <c:v>Zuidwest</c:v>
                </c:pt>
              </c:strCache>
            </c:strRef>
          </c:tx>
          <c:spPr>
            <a:solidFill>
              <a:srgbClr val="696969"/>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rgbClr val="2C307E"/>
                    </a:solidFill>
                    <a:latin typeface="+mn-lt"/>
                    <a:ea typeface="+mn-ea"/>
                    <a:cs typeface="+mn-cs"/>
                  </a:defRPr>
                </a:pPr>
                <a:endParaRPr lang="en-N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Analyse!$S$361:$X$361</c:f>
              <c:strCache>
                <c:ptCount val="6"/>
                <c:pt idx="0">
                  <c:v>Privé laadpaal thuis</c:v>
                </c:pt>
                <c:pt idx="1">
                  <c:v>VPA</c:v>
                </c:pt>
                <c:pt idx="2">
                  <c:v>Openbare laadpalen in de buurt van je woning</c:v>
                </c:pt>
                <c:pt idx="3">
                  <c:v>Openbare laadpalen elders</c:v>
                </c:pt>
                <c:pt idx="4">
                  <c:v>Laadpalen op het werk</c:v>
                </c:pt>
                <c:pt idx="5">
                  <c:v>Snellader</c:v>
                </c:pt>
              </c:strCache>
            </c:strRef>
          </c:cat>
          <c:val>
            <c:numRef>
              <c:f>Analyse!$S$362:$X$362</c:f>
              <c:numCache>
                <c:formatCode>0.0</c:formatCode>
                <c:ptCount val="6"/>
                <c:pt idx="0">
                  <c:v>9.0296495956873315</c:v>
                </c:pt>
                <c:pt idx="1">
                  <c:v>8</c:v>
                </c:pt>
                <c:pt idx="2">
                  <c:v>7.3503937007874018</c:v>
                </c:pt>
                <c:pt idx="3">
                  <c:v>6.5646687697160884</c:v>
                </c:pt>
                <c:pt idx="4">
                  <c:v>7.938967136150235</c:v>
                </c:pt>
                <c:pt idx="5">
                  <c:v>7.7714285714285714</c:v>
                </c:pt>
              </c:numCache>
            </c:numRef>
          </c:val>
          <c:extLst>
            <c:ext xmlns:c16="http://schemas.microsoft.com/office/drawing/2014/chart" uri="{C3380CC4-5D6E-409C-BE32-E72D297353CC}">
              <c16:uniqueId val="{00000000-F0F0-4140-80B3-43D1E1765C6B}"/>
            </c:ext>
          </c:extLst>
        </c:ser>
        <c:ser>
          <c:idx val="1"/>
          <c:order val="1"/>
          <c:tx>
            <c:strRef>
              <c:f>Analyse!$R$363</c:f>
              <c:strCache>
                <c:ptCount val="1"/>
                <c:pt idx="0">
                  <c:v>Zuid</c:v>
                </c:pt>
              </c:strCache>
            </c:strRef>
          </c:tx>
          <c:spPr>
            <a:solidFill>
              <a:srgbClr val="4EAFAA"/>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rgbClr val="2C307E"/>
                    </a:solidFill>
                    <a:latin typeface="+mn-lt"/>
                    <a:ea typeface="+mn-ea"/>
                    <a:cs typeface="+mn-cs"/>
                  </a:defRPr>
                </a:pPr>
                <a:endParaRPr lang="en-N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Analyse!$S$361:$X$361</c:f>
              <c:strCache>
                <c:ptCount val="6"/>
                <c:pt idx="0">
                  <c:v>Privé laadpaal thuis</c:v>
                </c:pt>
                <c:pt idx="1">
                  <c:v>VPA</c:v>
                </c:pt>
                <c:pt idx="2">
                  <c:v>Openbare laadpalen in de buurt van je woning</c:v>
                </c:pt>
                <c:pt idx="3">
                  <c:v>Openbare laadpalen elders</c:v>
                </c:pt>
                <c:pt idx="4">
                  <c:v>Laadpalen op het werk</c:v>
                </c:pt>
                <c:pt idx="5">
                  <c:v>Snellader</c:v>
                </c:pt>
              </c:strCache>
            </c:strRef>
          </c:cat>
          <c:val>
            <c:numRef>
              <c:f>Analyse!$S$363:$X$363</c:f>
              <c:numCache>
                <c:formatCode>0.0</c:formatCode>
                <c:ptCount val="6"/>
                <c:pt idx="0">
                  <c:v>9.2030360531309299</c:v>
                </c:pt>
                <c:pt idx="1">
                  <c:v>8.1222222222222218</c:v>
                </c:pt>
                <c:pt idx="2">
                  <c:v>7.3186813186813184</c:v>
                </c:pt>
                <c:pt idx="3">
                  <c:v>6.875</c:v>
                </c:pt>
                <c:pt idx="4">
                  <c:v>7.8153153153153152</c:v>
                </c:pt>
                <c:pt idx="5">
                  <c:v>7.8873517786561269</c:v>
                </c:pt>
              </c:numCache>
            </c:numRef>
          </c:val>
          <c:extLst>
            <c:ext xmlns:c16="http://schemas.microsoft.com/office/drawing/2014/chart" uri="{C3380CC4-5D6E-409C-BE32-E72D297353CC}">
              <c16:uniqueId val="{00000001-F0F0-4140-80B3-43D1E1765C6B}"/>
            </c:ext>
          </c:extLst>
        </c:ser>
        <c:ser>
          <c:idx val="2"/>
          <c:order val="2"/>
          <c:tx>
            <c:strRef>
              <c:f>Analyse!$R$364</c:f>
              <c:strCache>
                <c:ptCount val="1"/>
                <c:pt idx="0">
                  <c:v>Oost</c:v>
                </c:pt>
              </c:strCache>
            </c:strRef>
          </c:tx>
          <c:spPr>
            <a:solidFill>
              <a:srgbClr val="BAD6ED"/>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rgbClr val="2C307E"/>
                    </a:solidFill>
                    <a:latin typeface="+mn-lt"/>
                    <a:ea typeface="+mn-ea"/>
                    <a:cs typeface="+mn-cs"/>
                  </a:defRPr>
                </a:pPr>
                <a:endParaRPr lang="en-N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Analyse!$S$361:$X$361</c:f>
              <c:strCache>
                <c:ptCount val="6"/>
                <c:pt idx="0">
                  <c:v>Privé laadpaal thuis</c:v>
                </c:pt>
                <c:pt idx="1">
                  <c:v>VPA</c:v>
                </c:pt>
                <c:pt idx="2">
                  <c:v>Openbare laadpalen in de buurt van je woning</c:v>
                </c:pt>
                <c:pt idx="3">
                  <c:v>Openbare laadpalen elders</c:v>
                </c:pt>
                <c:pt idx="4">
                  <c:v>Laadpalen op het werk</c:v>
                </c:pt>
                <c:pt idx="5">
                  <c:v>Snellader</c:v>
                </c:pt>
              </c:strCache>
            </c:strRef>
          </c:cat>
          <c:val>
            <c:numRef>
              <c:f>Analyse!$S$364:$X$364</c:f>
              <c:numCache>
                <c:formatCode>0.0</c:formatCode>
                <c:ptCount val="6"/>
                <c:pt idx="0">
                  <c:v>9.3891891891891888</c:v>
                </c:pt>
                <c:pt idx="1">
                  <c:v>8.1285714285714281</c:v>
                </c:pt>
                <c:pt idx="2">
                  <c:v>7.523489932885906</c:v>
                </c:pt>
                <c:pt idx="3">
                  <c:v>6.8954703832752617</c:v>
                </c:pt>
                <c:pt idx="4">
                  <c:v>7.943661971830986</c:v>
                </c:pt>
                <c:pt idx="5">
                  <c:v>7.9787234042553195</c:v>
                </c:pt>
              </c:numCache>
            </c:numRef>
          </c:val>
          <c:extLst>
            <c:ext xmlns:c16="http://schemas.microsoft.com/office/drawing/2014/chart" uri="{C3380CC4-5D6E-409C-BE32-E72D297353CC}">
              <c16:uniqueId val="{00000002-F0F0-4140-80B3-43D1E1765C6B}"/>
            </c:ext>
          </c:extLst>
        </c:ser>
        <c:ser>
          <c:idx val="3"/>
          <c:order val="3"/>
          <c:tx>
            <c:strRef>
              <c:f>Analyse!$R$365</c:f>
              <c:strCache>
                <c:ptCount val="1"/>
                <c:pt idx="0">
                  <c:v>Noordwest</c:v>
                </c:pt>
              </c:strCache>
            </c:strRef>
          </c:tx>
          <c:spPr>
            <a:solidFill>
              <a:srgbClr val="C9C74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rgbClr val="2C307E"/>
                    </a:solidFill>
                    <a:latin typeface="+mn-lt"/>
                    <a:ea typeface="+mn-ea"/>
                    <a:cs typeface="+mn-cs"/>
                  </a:defRPr>
                </a:pPr>
                <a:endParaRPr lang="en-N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Analyse!$S$361:$X$361</c:f>
              <c:strCache>
                <c:ptCount val="6"/>
                <c:pt idx="0">
                  <c:v>Privé laadpaal thuis</c:v>
                </c:pt>
                <c:pt idx="1">
                  <c:v>VPA</c:v>
                </c:pt>
                <c:pt idx="2">
                  <c:v>Openbare laadpalen in de buurt van je woning</c:v>
                </c:pt>
                <c:pt idx="3">
                  <c:v>Openbare laadpalen elders</c:v>
                </c:pt>
                <c:pt idx="4">
                  <c:v>Laadpalen op het werk</c:v>
                </c:pt>
                <c:pt idx="5">
                  <c:v>Snellader</c:v>
                </c:pt>
              </c:strCache>
            </c:strRef>
          </c:cat>
          <c:val>
            <c:numRef>
              <c:f>Analyse!$S$365:$X$365</c:f>
              <c:numCache>
                <c:formatCode>0.0</c:formatCode>
                <c:ptCount val="6"/>
                <c:pt idx="0">
                  <c:v>9.1985559566786996</c:v>
                </c:pt>
                <c:pt idx="1">
                  <c:v>7.4264705882352944</c:v>
                </c:pt>
                <c:pt idx="2">
                  <c:v>6.9346938775510205</c:v>
                </c:pt>
                <c:pt idx="3">
                  <c:v>6.6676217765042978</c:v>
                </c:pt>
                <c:pt idx="4">
                  <c:v>7.7051282051282053</c:v>
                </c:pt>
                <c:pt idx="5">
                  <c:v>7.8501805054151621</c:v>
                </c:pt>
              </c:numCache>
            </c:numRef>
          </c:val>
          <c:extLst>
            <c:ext xmlns:c16="http://schemas.microsoft.com/office/drawing/2014/chart" uri="{C3380CC4-5D6E-409C-BE32-E72D297353CC}">
              <c16:uniqueId val="{00000003-F0F0-4140-80B3-43D1E1765C6B}"/>
            </c:ext>
          </c:extLst>
        </c:ser>
        <c:ser>
          <c:idx val="4"/>
          <c:order val="4"/>
          <c:tx>
            <c:strRef>
              <c:f>Analyse!$R$366</c:f>
              <c:strCache>
                <c:ptCount val="1"/>
                <c:pt idx="0">
                  <c:v>Noord</c:v>
                </c:pt>
              </c:strCache>
            </c:strRef>
          </c:tx>
          <c:spPr>
            <a:solidFill>
              <a:srgbClr val="08B46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rgbClr val="2C307E"/>
                    </a:solidFill>
                    <a:latin typeface="+mn-lt"/>
                    <a:ea typeface="+mn-ea"/>
                    <a:cs typeface="+mn-cs"/>
                  </a:defRPr>
                </a:pPr>
                <a:endParaRPr lang="en-N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Analyse!$S$361:$X$361</c:f>
              <c:strCache>
                <c:ptCount val="6"/>
                <c:pt idx="0">
                  <c:v>Privé laadpaal thuis</c:v>
                </c:pt>
                <c:pt idx="1">
                  <c:v>VPA</c:v>
                </c:pt>
                <c:pt idx="2">
                  <c:v>Openbare laadpalen in de buurt van je woning</c:v>
                </c:pt>
                <c:pt idx="3">
                  <c:v>Openbare laadpalen elders</c:v>
                </c:pt>
                <c:pt idx="4">
                  <c:v>Laadpalen op het werk</c:v>
                </c:pt>
                <c:pt idx="5">
                  <c:v>Snellader</c:v>
                </c:pt>
              </c:strCache>
            </c:strRef>
          </c:cat>
          <c:val>
            <c:numRef>
              <c:f>Analyse!$S$366:$X$366</c:f>
              <c:numCache>
                <c:formatCode>0.0</c:formatCode>
                <c:ptCount val="6"/>
                <c:pt idx="0">
                  <c:v>9.3031358885017426</c:v>
                </c:pt>
                <c:pt idx="1">
                  <c:v>8.0212765957446805</c:v>
                </c:pt>
                <c:pt idx="2">
                  <c:v>6.967741935483871</c:v>
                </c:pt>
                <c:pt idx="3">
                  <c:v>6.6770186335403725</c:v>
                </c:pt>
                <c:pt idx="4">
                  <c:v>7.8217821782178216</c:v>
                </c:pt>
                <c:pt idx="5">
                  <c:v>7.6566666666666663</c:v>
                </c:pt>
              </c:numCache>
            </c:numRef>
          </c:val>
          <c:extLst>
            <c:ext xmlns:c16="http://schemas.microsoft.com/office/drawing/2014/chart" uri="{C3380CC4-5D6E-409C-BE32-E72D297353CC}">
              <c16:uniqueId val="{00000004-F0F0-4140-80B3-43D1E1765C6B}"/>
            </c:ext>
          </c:extLst>
        </c:ser>
        <c:ser>
          <c:idx val="5"/>
          <c:order val="5"/>
          <c:tx>
            <c:strRef>
              <c:f>Analyse!$R$367</c:f>
              <c:strCache>
                <c:ptCount val="1"/>
                <c:pt idx="0">
                  <c:v>G4</c:v>
                </c:pt>
              </c:strCache>
            </c:strRef>
          </c:tx>
          <c:spPr>
            <a:solidFill>
              <a:srgbClr val="2C307E"/>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rgbClr val="2C307E"/>
                    </a:solidFill>
                    <a:latin typeface="+mn-lt"/>
                    <a:ea typeface="+mn-ea"/>
                    <a:cs typeface="+mn-cs"/>
                  </a:defRPr>
                </a:pPr>
                <a:endParaRPr lang="en-N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Analyse!$S$361:$X$361</c:f>
              <c:strCache>
                <c:ptCount val="6"/>
                <c:pt idx="0">
                  <c:v>Privé laadpaal thuis</c:v>
                </c:pt>
                <c:pt idx="1">
                  <c:v>VPA</c:v>
                </c:pt>
                <c:pt idx="2">
                  <c:v>Openbare laadpalen in de buurt van je woning</c:v>
                </c:pt>
                <c:pt idx="3">
                  <c:v>Openbare laadpalen elders</c:v>
                </c:pt>
                <c:pt idx="4">
                  <c:v>Laadpalen op het werk</c:v>
                </c:pt>
                <c:pt idx="5">
                  <c:v>Snellader</c:v>
                </c:pt>
              </c:strCache>
            </c:strRef>
          </c:cat>
          <c:val>
            <c:numRef>
              <c:f>Analyse!$S$367:$X$367</c:f>
              <c:numCache>
                <c:formatCode>0.0</c:formatCode>
                <c:ptCount val="6"/>
                <c:pt idx="0">
                  <c:v>9.2222222222222214</c:v>
                </c:pt>
                <c:pt idx="1">
                  <c:v>7.5185185185185182</c:v>
                </c:pt>
                <c:pt idx="2">
                  <c:v>7.7388888888888889</c:v>
                </c:pt>
                <c:pt idx="3">
                  <c:v>6.7986111111111107</c:v>
                </c:pt>
                <c:pt idx="4">
                  <c:v>7.6410256410256414</c:v>
                </c:pt>
                <c:pt idx="5">
                  <c:v>7.6124401913875595</c:v>
                </c:pt>
              </c:numCache>
            </c:numRef>
          </c:val>
          <c:extLst>
            <c:ext xmlns:c16="http://schemas.microsoft.com/office/drawing/2014/chart" uri="{C3380CC4-5D6E-409C-BE32-E72D297353CC}">
              <c16:uniqueId val="{00000005-F0F0-4140-80B3-43D1E1765C6B}"/>
            </c:ext>
          </c:extLst>
        </c:ser>
        <c:dLbls>
          <c:dLblPos val="outEnd"/>
          <c:showLegendKey val="0"/>
          <c:showVal val="1"/>
          <c:showCatName val="0"/>
          <c:showSerName val="0"/>
          <c:showPercent val="0"/>
          <c:showBubbleSize val="0"/>
        </c:dLbls>
        <c:gapWidth val="182"/>
        <c:axId val="150532784"/>
        <c:axId val="150517904"/>
      </c:barChart>
      <c:catAx>
        <c:axId val="15053278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2C307E"/>
                </a:solidFill>
                <a:latin typeface="+mn-lt"/>
                <a:ea typeface="+mn-ea"/>
                <a:cs typeface="+mn-cs"/>
              </a:defRPr>
            </a:pPr>
            <a:endParaRPr lang="en-NL"/>
          </a:p>
        </c:txPr>
        <c:crossAx val="150517904"/>
        <c:crosses val="autoZero"/>
        <c:auto val="1"/>
        <c:lblAlgn val="ctr"/>
        <c:lblOffset val="100"/>
        <c:noMultiLvlLbl val="0"/>
      </c:catAx>
      <c:valAx>
        <c:axId val="150517904"/>
        <c:scaling>
          <c:orientation val="minMax"/>
          <c:min val="1"/>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2C307E"/>
                </a:solidFill>
                <a:latin typeface="+mn-lt"/>
                <a:ea typeface="+mn-ea"/>
                <a:cs typeface="+mn-cs"/>
              </a:defRPr>
            </a:pPr>
            <a:endParaRPr lang="en-NL"/>
          </a:p>
        </c:txPr>
        <c:crossAx val="150532784"/>
        <c:crosses val="autoZero"/>
        <c:crossBetween val="between"/>
        <c:majorUnit val="1"/>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rgbClr val="2C307E"/>
              </a:solidFill>
              <a:latin typeface="+mn-lt"/>
              <a:ea typeface="+mn-ea"/>
              <a:cs typeface="+mn-cs"/>
            </a:defRPr>
          </a:pPr>
          <a:endParaRPr lang="en-NL"/>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a:pPr>
      <a:endParaRPr lang="en-NL"/>
    </a:p>
  </c:txPr>
  <c:externalData r:id="rId3">
    <c:autoUpdate val="0"/>
  </c:externalData>
</c:chartSpace>
</file>

<file path=word/charts/chart1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rgbClr val="2C307E"/>
                </a:solidFill>
                <a:latin typeface="+mn-lt"/>
                <a:ea typeface="+mn-ea"/>
                <a:cs typeface="+mn-cs"/>
              </a:defRPr>
            </a:pPr>
            <a:r>
              <a:rPr lang="nl-NL" sz="1100"/>
              <a:t>Heb</a:t>
            </a:r>
            <a:r>
              <a:rPr lang="nl-NL" sz="1100" baseline="0"/>
              <a:t> je weleens knelpunten ervaren bij openbaar laden?</a:t>
            </a:r>
            <a:endParaRPr lang="nl-NL" sz="1100"/>
          </a:p>
        </c:rich>
      </c:tx>
      <c:overlay val="0"/>
      <c:spPr>
        <a:noFill/>
        <a:ln>
          <a:noFill/>
        </a:ln>
        <a:effectLst/>
      </c:spPr>
      <c:txPr>
        <a:bodyPr rot="0" spcFirstLastPara="1" vertOverflow="ellipsis" vert="horz" wrap="square" anchor="ctr" anchorCtr="1"/>
        <a:lstStyle/>
        <a:p>
          <a:pPr>
            <a:defRPr sz="1100" b="0" i="0" u="none" strike="noStrike" kern="1200" spc="0" baseline="0">
              <a:solidFill>
                <a:srgbClr val="2C307E"/>
              </a:solidFill>
              <a:latin typeface="+mn-lt"/>
              <a:ea typeface="+mn-ea"/>
              <a:cs typeface="+mn-cs"/>
            </a:defRPr>
          </a:pPr>
          <a:endParaRPr lang="nl-NL"/>
        </a:p>
      </c:txPr>
    </c:title>
    <c:autoTitleDeleted val="0"/>
    <c:plotArea>
      <c:layout/>
      <c:barChart>
        <c:barDir val="col"/>
        <c:grouping val="clustered"/>
        <c:varyColors val="0"/>
        <c:ser>
          <c:idx val="0"/>
          <c:order val="0"/>
          <c:tx>
            <c:strRef>
              <c:f>Analyse!$K$417</c:f>
              <c:strCache>
                <c:ptCount val="1"/>
                <c:pt idx="0">
                  <c:v>2021</c:v>
                </c:pt>
              </c:strCache>
            </c:strRef>
          </c:tx>
          <c:spPr>
            <a:solidFill>
              <a:srgbClr val="2C307E"/>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rgbClr val="2C307E"/>
                    </a:solidFill>
                    <a:latin typeface="+mn-lt"/>
                    <a:ea typeface="+mn-ea"/>
                    <a:cs typeface="+mn-cs"/>
                  </a:defRPr>
                </a:pPr>
                <a:endParaRPr lang="en-N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Analyse!$J$418:$J$423</c:f>
              <c:strCache>
                <c:ptCount val="6"/>
                <c:pt idx="0">
                  <c:v>G4</c:v>
                </c:pt>
                <c:pt idx="1">
                  <c:v>Noord</c:v>
                </c:pt>
                <c:pt idx="2">
                  <c:v>Noordwest</c:v>
                </c:pt>
                <c:pt idx="3">
                  <c:v>Oost</c:v>
                </c:pt>
                <c:pt idx="4">
                  <c:v>Zuid</c:v>
                </c:pt>
                <c:pt idx="5">
                  <c:v>Zuidwest</c:v>
                </c:pt>
              </c:strCache>
            </c:strRef>
          </c:cat>
          <c:val>
            <c:numRef>
              <c:f>Analyse!$K$418:$K$423</c:f>
              <c:numCache>
                <c:formatCode>0%</c:formatCode>
                <c:ptCount val="6"/>
                <c:pt idx="0">
                  <c:v>0.91</c:v>
                </c:pt>
                <c:pt idx="1">
                  <c:v>0.9</c:v>
                </c:pt>
                <c:pt idx="2">
                  <c:v>0.89</c:v>
                </c:pt>
                <c:pt idx="3">
                  <c:v>0.88</c:v>
                </c:pt>
                <c:pt idx="4">
                  <c:v>0.88</c:v>
                </c:pt>
                <c:pt idx="5">
                  <c:v>0.89</c:v>
                </c:pt>
              </c:numCache>
            </c:numRef>
          </c:val>
          <c:extLst>
            <c:ext xmlns:c16="http://schemas.microsoft.com/office/drawing/2014/chart" uri="{C3380CC4-5D6E-409C-BE32-E72D297353CC}">
              <c16:uniqueId val="{00000000-D2D2-496C-9545-44C4484FCAD6}"/>
            </c:ext>
          </c:extLst>
        </c:ser>
        <c:ser>
          <c:idx val="1"/>
          <c:order val="1"/>
          <c:tx>
            <c:strRef>
              <c:f>Analyse!$L$417</c:f>
              <c:strCache>
                <c:ptCount val="1"/>
                <c:pt idx="0">
                  <c:v>2022</c:v>
                </c:pt>
              </c:strCache>
            </c:strRef>
          </c:tx>
          <c:spPr>
            <a:solidFill>
              <a:srgbClr val="08B466"/>
            </a:solidFill>
            <a:ln>
              <a:noFill/>
            </a:ln>
            <a:effectLst/>
          </c:spPr>
          <c:invertIfNegative val="0"/>
          <c:dLbls>
            <c:delete val="1"/>
          </c:dLbls>
          <c:cat>
            <c:strRef>
              <c:f>Analyse!$J$418:$J$423</c:f>
              <c:strCache>
                <c:ptCount val="6"/>
                <c:pt idx="0">
                  <c:v>G4</c:v>
                </c:pt>
                <c:pt idx="1">
                  <c:v>Noord</c:v>
                </c:pt>
                <c:pt idx="2">
                  <c:v>Noordwest</c:v>
                </c:pt>
                <c:pt idx="3">
                  <c:v>Oost</c:v>
                </c:pt>
                <c:pt idx="4">
                  <c:v>Zuid</c:v>
                </c:pt>
                <c:pt idx="5">
                  <c:v>Zuidwest</c:v>
                </c:pt>
              </c:strCache>
            </c:strRef>
          </c:cat>
          <c:val>
            <c:numRef>
              <c:f>Analyse!$L$418:$L$423</c:f>
              <c:numCache>
                <c:formatCode>0%</c:formatCode>
                <c:ptCount val="6"/>
                <c:pt idx="0">
                  <c:v>0.75</c:v>
                </c:pt>
                <c:pt idx="1">
                  <c:v>0.69</c:v>
                </c:pt>
                <c:pt idx="2">
                  <c:v>0.77</c:v>
                </c:pt>
                <c:pt idx="3">
                  <c:v>0.75</c:v>
                </c:pt>
                <c:pt idx="4">
                  <c:v>0.74</c:v>
                </c:pt>
                <c:pt idx="5">
                  <c:v>0.78</c:v>
                </c:pt>
              </c:numCache>
            </c:numRef>
          </c:val>
          <c:extLst>
            <c:ext xmlns:c16="http://schemas.microsoft.com/office/drawing/2014/chart" uri="{C3380CC4-5D6E-409C-BE32-E72D297353CC}">
              <c16:uniqueId val="{00000001-D2D2-496C-9545-44C4484FCAD6}"/>
            </c:ext>
          </c:extLst>
        </c:ser>
        <c:ser>
          <c:idx val="2"/>
          <c:order val="2"/>
          <c:tx>
            <c:strRef>
              <c:f>Analyse!$M$417</c:f>
              <c:strCache>
                <c:ptCount val="1"/>
                <c:pt idx="0">
                  <c:v>2023</c:v>
                </c:pt>
              </c:strCache>
            </c:strRef>
          </c:tx>
          <c:spPr>
            <a:solidFill>
              <a:srgbClr val="C9C743"/>
            </a:solidFill>
            <a:ln>
              <a:noFill/>
            </a:ln>
            <a:effectLst/>
          </c:spPr>
          <c:invertIfNegative val="0"/>
          <c:dLbls>
            <c:delete val="1"/>
          </c:dLbls>
          <c:cat>
            <c:strRef>
              <c:f>Analyse!$J$418:$J$423</c:f>
              <c:strCache>
                <c:ptCount val="6"/>
                <c:pt idx="0">
                  <c:v>G4</c:v>
                </c:pt>
                <c:pt idx="1">
                  <c:v>Noord</c:v>
                </c:pt>
                <c:pt idx="2">
                  <c:v>Noordwest</c:v>
                </c:pt>
                <c:pt idx="3">
                  <c:v>Oost</c:v>
                </c:pt>
                <c:pt idx="4">
                  <c:v>Zuid</c:v>
                </c:pt>
                <c:pt idx="5">
                  <c:v>Zuidwest</c:v>
                </c:pt>
              </c:strCache>
            </c:strRef>
          </c:cat>
          <c:val>
            <c:numRef>
              <c:f>Analyse!$M$418:$M$423</c:f>
              <c:numCache>
                <c:formatCode>0%</c:formatCode>
                <c:ptCount val="6"/>
                <c:pt idx="0">
                  <c:v>0.65</c:v>
                </c:pt>
                <c:pt idx="1">
                  <c:v>0.65</c:v>
                </c:pt>
                <c:pt idx="2">
                  <c:v>0.67</c:v>
                </c:pt>
                <c:pt idx="3">
                  <c:v>0.69</c:v>
                </c:pt>
                <c:pt idx="4">
                  <c:v>0.7</c:v>
                </c:pt>
                <c:pt idx="5">
                  <c:v>0.68</c:v>
                </c:pt>
              </c:numCache>
            </c:numRef>
          </c:val>
          <c:extLst>
            <c:ext xmlns:c16="http://schemas.microsoft.com/office/drawing/2014/chart" uri="{C3380CC4-5D6E-409C-BE32-E72D297353CC}">
              <c16:uniqueId val="{00000002-D2D2-496C-9545-44C4484FCAD6}"/>
            </c:ext>
          </c:extLst>
        </c:ser>
        <c:ser>
          <c:idx val="3"/>
          <c:order val="3"/>
          <c:tx>
            <c:strRef>
              <c:f>Analyse!$N$417</c:f>
              <c:strCache>
                <c:ptCount val="1"/>
                <c:pt idx="0">
                  <c:v>2024</c:v>
                </c:pt>
              </c:strCache>
            </c:strRef>
          </c:tx>
          <c:spPr>
            <a:solidFill>
              <a:srgbClr val="BAD6ED"/>
            </a:solidFill>
            <a:ln>
              <a:noFill/>
            </a:ln>
            <a:effectLst/>
          </c:spPr>
          <c:invertIfNegative val="0"/>
          <c:dLbls>
            <c:delete val="1"/>
          </c:dLbls>
          <c:cat>
            <c:strRef>
              <c:f>Analyse!$J$418:$J$423</c:f>
              <c:strCache>
                <c:ptCount val="6"/>
                <c:pt idx="0">
                  <c:v>G4</c:v>
                </c:pt>
                <c:pt idx="1">
                  <c:v>Noord</c:v>
                </c:pt>
                <c:pt idx="2">
                  <c:v>Noordwest</c:v>
                </c:pt>
                <c:pt idx="3">
                  <c:v>Oost</c:v>
                </c:pt>
                <c:pt idx="4">
                  <c:v>Zuid</c:v>
                </c:pt>
                <c:pt idx="5">
                  <c:v>Zuidwest</c:v>
                </c:pt>
              </c:strCache>
            </c:strRef>
          </c:cat>
          <c:val>
            <c:numRef>
              <c:f>Analyse!$N$418:$N$423</c:f>
              <c:numCache>
                <c:formatCode>0%</c:formatCode>
                <c:ptCount val="6"/>
                <c:pt idx="0">
                  <c:v>0.66028708133971292</c:v>
                </c:pt>
                <c:pt idx="1">
                  <c:v>0.59183673469387754</c:v>
                </c:pt>
                <c:pt idx="2">
                  <c:v>0.59009900990099007</c:v>
                </c:pt>
                <c:pt idx="3">
                  <c:v>0.5732323232323232</c:v>
                </c:pt>
                <c:pt idx="4">
                  <c:v>0.60902255639097747</c:v>
                </c:pt>
                <c:pt idx="5">
                  <c:v>0.60240963855421692</c:v>
                </c:pt>
              </c:numCache>
            </c:numRef>
          </c:val>
          <c:extLst>
            <c:ext xmlns:c16="http://schemas.microsoft.com/office/drawing/2014/chart" uri="{C3380CC4-5D6E-409C-BE32-E72D297353CC}">
              <c16:uniqueId val="{00000003-D2D2-496C-9545-44C4484FCAD6}"/>
            </c:ext>
          </c:extLst>
        </c:ser>
        <c:ser>
          <c:idx val="4"/>
          <c:order val="4"/>
          <c:tx>
            <c:strRef>
              <c:f>Analyse!$O$417</c:f>
              <c:strCache>
                <c:ptCount val="1"/>
                <c:pt idx="0">
                  <c:v>2025</c:v>
                </c:pt>
              </c:strCache>
            </c:strRef>
          </c:tx>
          <c:spPr>
            <a:solidFill>
              <a:srgbClr val="4EAFAA"/>
            </a:solidFill>
            <a:ln>
              <a:noFill/>
            </a:ln>
            <a:effectLst/>
          </c:spPr>
          <c:invertIfNegative val="0"/>
          <c:dLbls>
            <c:dLbl>
              <c:idx val="0"/>
              <c:layout>
                <c:manualLayout>
                  <c:x val="9.5648015303682454E-3"/>
                  <c:y val="1.190476190476190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2D2-496C-9545-44C4484FCAD6}"/>
                </c:ext>
              </c:extLst>
            </c:dLbl>
            <c:dLbl>
              <c:idx val="1"/>
              <c:layout>
                <c:manualLayout>
                  <c:x val="9.5648015303682454E-3"/>
                  <c:y val="1.98412698412698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2D2-496C-9545-44C4484FCAD6}"/>
                </c:ext>
              </c:extLst>
            </c:dLbl>
            <c:dLbl>
              <c:idx val="2"/>
              <c:layout>
                <c:manualLayout>
                  <c:x val="9.5648015303682454E-3"/>
                  <c:y val="1.587301587301579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D2D2-496C-9545-44C4484FCAD6}"/>
                </c:ext>
              </c:extLst>
            </c:dLbl>
            <c:dLbl>
              <c:idx val="3"/>
              <c:layout>
                <c:manualLayout>
                  <c:x val="9.5648015303681569E-3"/>
                  <c:y val="1.190476190476190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D2D2-496C-9545-44C4484FCAD6}"/>
                </c:ext>
              </c:extLst>
            </c:dLbl>
            <c:dLbl>
              <c:idx val="4"/>
              <c:layout>
                <c:manualLayout>
                  <c:x val="9.5648015303682454E-3"/>
                  <c:y val="1.984126984126976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D2D2-496C-9545-44C4484FCAD6}"/>
                </c:ext>
              </c:extLst>
            </c:dLbl>
            <c:dLbl>
              <c:idx val="5"/>
              <c:layout>
                <c:manualLayout>
                  <c:x val="1.4347202295552192E-2"/>
                  <c:y val="1.587301587301587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D2D2-496C-9545-44C4484FCAD6}"/>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rgbClr val="2C307E"/>
                    </a:solidFill>
                    <a:latin typeface="+mn-lt"/>
                    <a:ea typeface="+mn-ea"/>
                    <a:cs typeface="+mn-cs"/>
                  </a:defRPr>
                </a:pPr>
                <a:endParaRPr lang="en-N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Analyse!$J$418:$J$423</c:f>
              <c:strCache>
                <c:ptCount val="6"/>
                <c:pt idx="0">
                  <c:v>G4</c:v>
                </c:pt>
                <c:pt idx="1">
                  <c:v>Noord</c:v>
                </c:pt>
                <c:pt idx="2">
                  <c:v>Noordwest</c:v>
                </c:pt>
                <c:pt idx="3">
                  <c:v>Oost</c:v>
                </c:pt>
                <c:pt idx="4">
                  <c:v>Zuid</c:v>
                </c:pt>
                <c:pt idx="5">
                  <c:v>Zuidwest</c:v>
                </c:pt>
              </c:strCache>
            </c:strRef>
          </c:cat>
          <c:val>
            <c:numRef>
              <c:f>Analyse!$O$418:$O$423</c:f>
              <c:numCache>
                <c:formatCode>0%</c:formatCode>
                <c:ptCount val="6"/>
                <c:pt idx="0">
                  <c:v>0.60330578512396693</c:v>
                </c:pt>
                <c:pt idx="1">
                  <c:v>0.52941176470588236</c:v>
                </c:pt>
                <c:pt idx="2">
                  <c:v>0.55849056603773584</c:v>
                </c:pt>
                <c:pt idx="3">
                  <c:v>0.50802139037433158</c:v>
                </c:pt>
                <c:pt idx="4">
                  <c:v>0.539906103286385</c:v>
                </c:pt>
                <c:pt idx="5">
                  <c:v>0.54112554112554112</c:v>
                </c:pt>
              </c:numCache>
            </c:numRef>
          </c:val>
          <c:extLst>
            <c:ext xmlns:c16="http://schemas.microsoft.com/office/drawing/2014/chart" uri="{C3380CC4-5D6E-409C-BE32-E72D297353CC}">
              <c16:uniqueId val="{0000000A-D2D2-496C-9545-44C4484FCAD6}"/>
            </c:ext>
          </c:extLst>
        </c:ser>
        <c:dLbls>
          <c:dLblPos val="outEnd"/>
          <c:showLegendKey val="0"/>
          <c:showVal val="1"/>
          <c:showCatName val="0"/>
          <c:showSerName val="0"/>
          <c:showPercent val="0"/>
          <c:showBubbleSize val="0"/>
        </c:dLbls>
        <c:gapWidth val="219"/>
        <c:overlap val="-27"/>
        <c:axId val="391847536"/>
        <c:axId val="391840816"/>
      </c:barChart>
      <c:catAx>
        <c:axId val="3918475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2C307E"/>
                </a:solidFill>
                <a:latin typeface="+mn-lt"/>
                <a:ea typeface="+mn-ea"/>
                <a:cs typeface="+mn-cs"/>
              </a:defRPr>
            </a:pPr>
            <a:endParaRPr lang="en-NL"/>
          </a:p>
        </c:txPr>
        <c:crossAx val="391840816"/>
        <c:crosses val="autoZero"/>
        <c:auto val="1"/>
        <c:lblAlgn val="ctr"/>
        <c:lblOffset val="100"/>
        <c:noMultiLvlLbl val="0"/>
      </c:catAx>
      <c:valAx>
        <c:axId val="39184081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2C307E"/>
                </a:solidFill>
                <a:latin typeface="+mn-lt"/>
                <a:ea typeface="+mn-ea"/>
                <a:cs typeface="+mn-cs"/>
              </a:defRPr>
            </a:pPr>
            <a:endParaRPr lang="en-NL"/>
          </a:p>
        </c:txPr>
        <c:crossAx val="3918475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rgbClr val="2C307E"/>
              </a:solidFill>
              <a:latin typeface="+mn-lt"/>
              <a:ea typeface="+mn-ea"/>
              <a:cs typeface="+mn-cs"/>
            </a:defRPr>
          </a:pPr>
          <a:endParaRPr lang="en-NL"/>
        </a:p>
      </c:txPr>
    </c:legend>
    <c:plotVisOnly val="1"/>
    <c:dispBlanksAs val="gap"/>
    <c:showDLblsOverMax val="0"/>
  </c:chart>
  <c:spPr>
    <a:noFill/>
    <a:ln w="9525" cap="flat" cmpd="sng" algn="ctr">
      <a:noFill/>
      <a:round/>
    </a:ln>
    <a:effectLst/>
  </c:spPr>
  <c:txPr>
    <a:bodyPr/>
    <a:lstStyle/>
    <a:p>
      <a:pPr>
        <a:defRPr>
          <a:solidFill>
            <a:srgbClr val="2C307E"/>
          </a:solidFill>
        </a:defRPr>
      </a:pPr>
      <a:endParaRPr lang="en-NL"/>
    </a:p>
  </c:txPr>
  <c:externalData r:id="rId3">
    <c:autoUpdate val="0"/>
  </c:externalData>
</c:chartSpace>
</file>

<file path=word/charts/chart1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rgbClr val="2C307E"/>
                </a:solidFill>
                <a:latin typeface="+mn-lt"/>
                <a:ea typeface="+mn-ea"/>
                <a:cs typeface="+mn-cs"/>
              </a:defRPr>
            </a:pPr>
            <a:r>
              <a:rPr lang="nl-NL" sz="1100"/>
              <a:t>Hoeveel</a:t>
            </a:r>
            <a:r>
              <a:rPr lang="nl-NL" sz="1100" baseline="0"/>
              <a:t> meter is het lopen naar de dichtsbijzijnde openbare laadpaal?</a:t>
            </a:r>
            <a:endParaRPr lang="nl-NL" sz="1100"/>
          </a:p>
        </c:rich>
      </c:tx>
      <c:overlay val="0"/>
      <c:spPr>
        <a:noFill/>
        <a:ln>
          <a:noFill/>
        </a:ln>
        <a:effectLst/>
      </c:spPr>
      <c:txPr>
        <a:bodyPr rot="0" spcFirstLastPara="1" vertOverflow="ellipsis" vert="horz" wrap="square" anchor="ctr" anchorCtr="1"/>
        <a:lstStyle/>
        <a:p>
          <a:pPr>
            <a:defRPr sz="1100" b="0" i="0" u="none" strike="noStrike" kern="1200" spc="0" baseline="0">
              <a:solidFill>
                <a:srgbClr val="2C307E"/>
              </a:solidFill>
              <a:latin typeface="+mn-lt"/>
              <a:ea typeface="+mn-ea"/>
              <a:cs typeface="+mn-cs"/>
            </a:defRPr>
          </a:pPr>
          <a:endParaRPr lang="nl-NL"/>
        </a:p>
      </c:txPr>
    </c:title>
    <c:autoTitleDeleted val="0"/>
    <c:plotArea>
      <c:layout/>
      <c:barChart>
        <c:barDir val="col"/>
        <c:grouping val="clustered"/>
        <c:varyColors val="0"/>
        <c:ser>
          <c:idx val="0"/>
          <c:order val="0"/>
          <c:tx>
            <c:strRef>
              <c:f>Analyse!$K$445</c:f>
              <c:strCache>
                <c:ptCount val="1"/>
                <c:pt idx="0">
                  <c:v>2023</c:v>
                </c:pt>
              </c:strCache>
            </c:strRef>
          </c:tx>
          <c:spPr>
            <a:solidFill>
              <a:srgbClr val="2C307E"/>
            </a:solidFill>
            <a:ln>
              <a:noFill/>
            </a:ln>
            <a:effectLst/>
          </c:spPr>
          <c:invertIfNegative val="0"/>
          <c:dLbls>
            <c:dLbl>
              <c:idx val="0"/>
              <c:layout>
                <c:manualLayout>
                  <c:x val="-2.8564627469650085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9B5-42FF-A77A-F6CAE5DACC43}"/>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rgbClr val="2C307E"/>
                    </a:solidFill>
                    <a:latin typeface="+mn-lt"/>
                    <a:ea typeface="+mn-ea"/>
                    <a:cs typeface="+mn-cs"/>
                  </a:defRPr>
                </a:pPr>
                <a:endParaRPr lang="en-N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Analyse!$J$446:$J$451</c:f>
              <c:strCache>
                <c:ptCount val="6"/>
                <c:pt idx="0">
                  <c:v>G4</c:v>
                </c:pt>
                <c:pt idx="1">
                  <c:v>Noord</c:v>
                </c:pt>
                <c:pt idx="2">
                  <c:v>Noordwest</c:v>
                </c:pt>
                <c:pt idx="3">
                  <c:v>Oost</c:v>
                </c:pt>
                <c:pt idx="4">
                  <c:v>Zuid</c:v>
                </c:pt>
                <c:pt idx="5">
                  <c:v>Zuidwest</c:v>
                </c:pt>
              </c:strCache>
            </c:strRef>
          </c:cat>
          <c:val>
            <c:numRef>
              <c:f>Analyse!$K$446:$K$451</c:f>
              <c:numCache>
                <c:formatCode>0</c:formatCode>
                <c:ptCount val="6"/>
                <c:pt idx="0">
                  <c:v>138</c:v>
                </c:pt>
                <c:pt idx="1">
                  <c:v>468</c:v>
                </c:pt>
                <c:pt idx="2">
                  <c:v>242</c:v>
                </c:pt>
                <c:pt idx="3">
                  <c:v>323</c:v>
                </c:pt>
                <c:pt idx="4">
                  <c:v>319</c:v>
                </c:pt>
                <c:pt idx="5">
                  <c:v>219</c:v>
                </c:pt>
              </c:numCache>
            </c:numRef>
          </c:val>
          <c:extLst>
            <c:ext xmlns:c16="http://schemas.microsoft.com/office/drawing/2014/chart" uri="{C3380CC4-5D6E-409C-BE32-E72D297353CC}">
              <c16:uniqueId val="{00000001-99B5-42FF-A77A-F6CAE5DACC43}"/>
            </c:ext>
          </c:extLst>
        </c:ser>
        <c:ser>
          <c:idx val="1"/>
          <c:order val="1"/>
          <c:tx>
            <c:strRef>
              <c:f>Analyse!$L$445</c:f>
              <c:strCache>
                <c:ptCount val="1"/>
                <c:pt idx="0">
                  <c:v>2024</c:v>
                </c:pt>
              </c:strCache>
            </c:strRef>
          </c:tx>
          <c:spPr>
            <a:solidFill>
              <a:srgbClr val="08B466"/>
            </a:solidFill>
            <a:ln>
              <a:noFill/>
            </a:ln>
            <a:effectLst/>
          </c:spPr>
          <c:invertIfNegative val="0"/>
          <c:dLbls>
            <c:dLbl>
              <c:idx val="0"/>
              <c:layout>
                <c:manualLayout>
                  <c:x val="-4.7607712449417028E-3"/>
                  <c:y val="8.3839865856214623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9B5-42FF-A77A-F6CAE5DACC43}"/>
                </c:ext>
              </c:extLst>
            </c:dLbl>
            <c:dLbl>
              <c:idx val="2"/>
              <c:layout>
                <c:manualLayout>
                  <c:x val="4.7607712449415935E-3"/>
                  <c:y val="1.257597987843219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9B5-42FF-A77A-F6CAE5DACC43}"/>
                </c:ext>
              </c:extLst>
            </c:dLbl>
            <c:dLbl>
              <c:idx val="3"/>
              <c:layout>
                <c:manualLayout>
                  <c:x val="9.5215424898833605E-3"/>
                  <c:y val="-4.1919932928107702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9B5-42FF-A77A-F6CAE5DACC43}"/>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rgbClr val="2C307E"/>
                    </a:solidFill>
                    <a:latin typeface="+mn-lt"/>
                    <a:ea typeface="+mn-ea"/>
                    <a:cs typeface="+mn-cs"/>
                  </a:defRPr>
                </a:pPr>
                <a:endParaRPr lang="en-N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Analyse!$J$446:$J$451</c:f>
              <c:strCache>
                <c:ptCount val="6"/>
                <c:pt idx="0">
                  <c:v>G4</c:v>
                </c:pt>
                <c:pt idx="1">
                  <c:v>Noord</c:v>
                </c:pt>
                <c:pt idx="2">
                  <c:v>Noordwest</c:v>
                </c:pt>
                <c:pt idx="3">
                  <c:v>Oost</c:v>
                </c:pt>
                <c:pt idx="4">
                  <c:v>Zuid</c:v>
                </c:pt>
                <c:pt idx="5">
                  <c:v>Zuidwest</c:v>
                </c:pt>
              </c:strCache>
            </c:strRef>
          </c:cat>
          <c:val>
            <c:numRef>
              <c:f>Analyse!$L$446:$L$451</c:f>
              <c:numCache>
                <c:formatCode>0</c:formatCode>
                <c:ptCount val="6"/>
                <c:pt idx="0">
                  <c:v>134.04568527918781</c:v>
                </c:pt>
                <c:pt idx="1">
                  <c:v>445.80666666666667</c:v>
                </c:pt>
                <c:pt idx="2">
                  <c:v>229.65652173913043</c:v>
                </c:pt>
                <c:pt idx="3">
                  <c:v>287.33534743202415</c:v>
                </c:pt>
                <c:pt idx="4">
                  <c:v>294.27887323943662</c:v>
                </c:pt>
                <c:pt idx="5">
                  <c:v>185.87566137566137</c:v>
                </c:pt>
              </c:numCache>
            </c:numRef>
          </c:val>
          <c:extLst>
            <c:ext xmlns:c16="http://schemas.microsoft.com/office/drawing/2014/chart" uri="{C3380CC4-5D6E-409C-BE32-E72D297353CC}">
              <c16:uniqueId val="{00000005-99B5-42FF-A77A-F6CAE5DACC43}"/>
            </c:ext>
          </c:extLst>
        </c:ser>
        <c:ser>
          <c:idx val="2"/>
          <c:order val="2"/>
          <c:tx>
            <c:strRef>
              <c:f>Analyse!$M$445</c:f>
              <c:strCache>
                <c:ptCount val="1"/>
                <c:pt idx="0">
                  <c:v>2025</c:v>
                </c:pt>
              </c:strCache>
            </c:strRef>
          </c:tx>
          <c:spPr>
            <a:solidFill>
              <a:srgbClr val="C9C743"/>
            </a:solidFill>
            <a:ln>
              <a:noFill/>
            </a:ln>
            <a:effectLst/>
          </c:spPr>
          <c:invertIfNegative val="0"/>
          <c:dLbls>
            <c:dLbl>
              <c:idx val="0"/>
              <c:layout>
                <c:manualLayout>
                  <c:x val="2.3803856224708403E-2"/>
                  <c:y val="1.257597987843219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99B5-42FF-A77A-F6CAE5DACC43}"/>
                </c:ext>
              </c:extLst>
            </c:dLbl>
            <c:dLbl>
              <c:idx val="3"/>
              <c:layout>
                <c:manualLayout>
                  <c:x val="9.5215424898833605E-3"/>
                  <c:y val="1.257597987843219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99B5-42FF-A77A-F6CAE5DACC43}"/>
                </c:ext>
              </c:extLst>
            </c:dLbl>
            <c:dLbl>
              <c:idx val="4"/>
              <c:layout>
                <c:manualLayout>
                  <c:x val="1.4282313734825129E-2"/>
                  <c:y val="8.383986585621386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99B5-42FF-A77A-F6CAE5DACC43}"/>
                </c:ext>
              </c:extLst>
            </c:dLbl>
            <c:dLbl>
              <c:idx val="5"/>
              <c:layout>
                <c:manualLayout>
                  <c:x val="2.8564627469649908E-2"/>
                  <c:y val="8.3839865856214623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99B5-42FF-A77A-F6CAE5DACC43}"/>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rgbClr val="2C307E"/>
                    </a:solidFill>
                    <a:latin typeface="+mn-lt"/>
                    <a:ea typeface="+mn-ea"/>
                    <a:cs typeface="+mn-cs"/>
                  </a:defRPr>
                </a:pPr>
                <a:endParaRPr lang="en-N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Analyse!$J$446:$J$451</c:f>
              <c:strCache>
                <c:ptCount val="6"/>
                <c:pt idx="0">
                  <c:v>G4</c:v>
                </c:pt>
                <c:pt idx="1">
                  <c:v>Noord</c:v>
                </c:pt>
                <c:pt idx="2">
                  <c:v>Noordwest</c:v>
                </c:pt>
                <c:pt idx="3">
                  <c:v>Oost</c:v>
                </c:pt>
                <c:pt idx="4">
                  <c:v>Zuid</c:v>
                </c:pt>
                <c:pt idx="5">
                  <c:v>Zuidwest</c:v>
                </c:pt>
              </c:strCache>
            </c:strRef>
          </c:cat>
          <c:val>
            <c:numRef>
              <c:f>Analyse!$M$446:$M$451</c:f>
              <c:numCache>
                <c:formatCode>0</c:formatCode>
                <c:ptCount val="6"/>
                <c:pt idx="0">
                  <c:v>133.11504424778761</c:v>
                </c:pt>
                <c:pt idx="1">
                  <c:v>401.32</c:v>
                </c:pt>
                <c:pt idx="2">
                  <c:v>248.12340425531914</c:v>
                </c:pt>
                <c:pt idx="3">
                  <c:v>276.03086419753089</c:v>
                </c:pt>
                <c:pt idx="4">
                  <c:v>235.625</c:v>
                </c:pt>
                <c:pt idx="5">
                  <c:v>188.66990291262135</c:v>
                </c:pt>
              </c:numCache>
            </c:numRef>
          </c:val>
          <c:extLst>
            <c:ext xmlns:c16="http://schemas.microsoft.com/office/drawing/2014/chart" uri="{C3380CC4-5D6E-409C-BE32-E72D297353CC}">
              <c16:uniqueId val="{0000000A-99B5-42FF-A77A-F6CAE5DACC43}"/>
            </c:ext>
          </c:extLst>
        </c:ser>
        <c:dLbls>
          <c:dLblPos val="outEnd"/>
          <c:showLegendKey val="0"/>
          <c:showVal val="1"/>
          <c:showCatName val="0"/>
          <c:showSerName val="0"/>
          <c:showPercent val="0"/>
          <c:showBubbleSize val="0"/>
        </c:dLbls>
        <c:gapWidth val="219"/>
        <c:overlap val="-27"/>
        <c:axId val="97090783"/>
        <c:axId val="97089823"/>
      </c:barChart>
      <c:catAx>
        <c:axId val="9709078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2C307E"/>
                </a:solidFill>
                <a:latin typeface="+mn-lt"/>
                <a:ea typeface="+mn-ea"/>
                <a:cs typeface="+mn-cs"/>
              </a:defRPr>
            </a:pPr>
            <a:endParaRPr lang="en-NL"/>
          </a:p>
        </c:txPr>
        <c:crossAx val="97089823"/>
        <c:crosses val="autoZero"/>
        <c:auto val="1"/>
        <c:lblAlgn val="ctr"/>
        <c:lblOffset val="100"/>
        <c:noMultiLvlLbl val="0"/>
      </c:catAx>
      <c:valAx>
        <c:axId val="97089823"/>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2C307E"/>
                </a:solidFill>
                <a:latin typeface="+mn-lt"/>
                <a:ea typeface="+mn-ea"/>
                <a:cs typeface="+mn-cs"/>
              </a:defRPr>
            </a:pPr>
            <a:endParaRPr lang="en-NL"/>
          </a:p>
        </c:txPr>
        <c:crossAx val="9709078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rgbClr val="2C307E"/>
              </a:solidFill>
              <a:latin typeface="+mn-lt"/>
              <a:ea typeface="+mn-ea"/>
              <a:cs typeface="+mn-cs"/>
            </a:defRPr>
          </a:pPr>
          <a:endParaRPr lang="en-NL"/>
        </a:p>
      </c:txPr>
    </c:legend>
    <c:plotVisOnly val="1"/>
    <c:dispBlanksAs val="gap"/>
    <c:showDLblsOverMax val="0"/>
  </c:chart>
  <c:spPr>
    <a:noFill/>
    <a:ln w="9525" cap="flat" cmpd="sng" algn="ctr">
      <a:noFill/>
      <a:round/>
    </a:ln>
    <a:effectLst/>
  </c:spPr>
  <c:txPr>
    <a:bodyPr/>
    <a:lstStyle/>
    <a:p>
      <a:pPr>
        <a:defRPr>
          <a:solidFill>
            <a:srgbClr val="2C307E"/>
          </a:solidFill>
        </a:defRPr>
      </a:pPr>
      <a:endParaRPr lang="en-NL"/>
    </a:p>
  </c:txPr>
  <c:externalData r:id="rId3">
    <c:autoUpdate val="0"/>
  </c:externalData>
</c:chartSpace>
</file>

<file path=word/charts/chart1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rgbClr val="2C307E"/>
                </a:solidFill>
                <a:latin typeface="+mn-lt"/>
                <a:ea typeface="+mn-ea"/>
                <a:cs typeface="+mn-cs"/>
              </a:defRPr>
            </a:pPr>
            <a:r>
              <a:rPr lang="nl-NL" sz="1100"/>
              <a:t>Slim laden thuis per regio</a:t>
            </a:r>
          </a:p>
        </c:rich>
      </c:tx>
      <c:overlay val="0"/>
      <c:spPr>
        <a:noFill/>
        <a:ln>
          <a:noFill/>
        </a:ln>
        <a:effectLst/>
      </c:spPr>
      <c:txPr>
        <a:bodyPr rot="0" spcFirstLastPara="1" vertOverflow="ellipsis" vert="horz" wrap="square" anchor="ctr" anchorCtr="1"/>
        <a:lstStyle/>
        <a:p>
          <a:pPr>
            <a:defRPr sz="1100" b="0" i="0" u="none" strike="noStrike" kern="1200" spc="0" baseline="0">
              <a:solidFill>
                <a:srgbClr val="2C307E"/>
              </a:solidFill>
              <a:latin typeface="+mn-lt"/>
              <a:ea typeface="+mn-ea"/>
              <a:cs typeface="+mn-cs"/>
            </a:defRPr>
          </a:pPr>
          <a:endParaRPr lang="en-NL"/>
        </a:p>
      </c:txPr>
    </c:title>
    <c:autoTitleDeleted val="0"/>
    <c:plotArea>
      <c:layout>
        <c:manualLayout>
          <c:layoutTarget val="inner"/>
          <c:xMode val="edge"/>
          <c:yMode val="edge"/>
          <c:x val="0.20271510605124124"/>
          <c:y val="7.7427402820631555E-2"/>
          <c:w val="0.75076189200417487"/>
          <c:h val="0.82639188529692509"/>
        </c:manualLayout>
      </c:layout>
      <c:barChart>
        <c:barDir val="bar"/>
        <c:grouping val="percentStacked"/>
        <c:varyColors val="0"/>
        <c:ser>
          <c:idx val="0"/>
          <c:order val="0"/>
          <c:tx>
            <c:strRef>
              <c:f>Analyse!$AE$1088</c:f>
              <c:strCache>
                <c:ptCount val="1"/>
                <c:pt idx="0">
                  <c:v>Gebruik ik</c:v>
                </c:pt>
              </c:strCache>
            </c:strRef>
          </c:tx>
          <c:spPr>
            <a:solidFill>
              <a:srgbClr val="2C307E"/>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bg1"/>
                    </a:solidFill>
                    <a:latin typeface="+mn-lt"/>
                    <a:ea typeface="+mn-ea"/>
                    <a:cs typeface="+mn-cs"/>
                  </a:defRPr>
                </a:pPr>
                <a:endParaRPr lang="en-N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Analyse!$AC$1089:$AD$1117</c:f>
              <c:multiLvlStrCache>
                <c:ptCount val="29"/>
                <c:lvl>
                  <c:pt idx="0">
                    <c:v>Bidirectioneel laden</c:v>
                  </c:pt>
                  <c:pt idx="1">
                    <c:v>Laden o.b.v. netcapaciteit</c:v>
                  </c:pt>
                  <c:pt idx="2">
                    <c:v>Laden op basis van dynamische stroomtarieven</c:v>
                  </c:pt>
                  <c:pt idx="3">
                    <c:v>Laden op duurzame opwek (zon en wind)</c:v>
                  </c:pt>
                  <c:pt idx="5">
                    <c:v>Bidirectioneel laden</c:v>
                  </c:pt>
                  <c:pt idx="6">
                    <c:v>Laden o.b.v. netcapaciteit</c:v>
                  </c:pt>
                  <c:pt idx="7">
                    <c:v>Laden op basis van dynamische stroomtarieven</c:v>
                  </c:pt>
                  <c:pt idx="8">
                    <c:v>Laden op duurzame opwek (zon en wind)</c:v>
                  </c:pt>
                  <c:pt idx="10">
                    <c:v>Bidirectioneel laden</c:v>
                  </c:pt>
                  <c:pt idx="11">
                    <c:v>Laden o.b.v. netcapaciteit</c:v>
                  </c:pt>
                  <c:pt idx="12">
                    <c:v>Laden op basis van dynamische stroomtarieven</c:v>
                  </c:pt>
                  <c:pt idx="13">
                    <c:v>Laden op duurzame opwek (zon en wind)</c:v>
                  </c:pt>
                  <c:pt idx="15">
                    <c:v>Bidirectioneel laden</c:v>
                  </c:pt>
                  <c:pt idx="16">
                    <c:v>Laden o.b.v. netcapaciteit</c:v>
                  </c:pt>
                  <c:pt idx="17">
                    <c:v>Laden op basis van dynamische stroomtarieven</c:v>
                  </c:pt>
                  <c:pt idx="18">
                    <c:v>Laden op duurzame opwek (zon en wind)</c:v>
                  </c:pt>
                  <c:pt idx="20">
                    <c:v>Bidirectioneel laden</c:v>
                  </c:pt>
                  <c:pt idx="21">
                    <c:v>Laden o.b.v. netcapaciteit</c:v>
                  </c:pt>
                  <c:pt idx="22">
                    <c:v>Laden op basis van dynamische stroomtarieven</c:v>
                  </c:pt>
                  <c:pt idx="23">
                    <c:v>Laden op duurzame opwek (zon en wind)</c:v>
                  </c:pt>
                  <c:pt idx="25">
                    <c:v>Bidirectioneel laden</c:v>
                  </c:pt>
                  <c:pt idx="26">
                    <c:v>Laden o.b.v. netcapaciteit</c:v>
                  </c:pt>
                  <c:pt idx="27">
                    <c:v>Laden op basis van dynamische stroomtarieven</c:v>
                  </c:pt>
                  <c:pt idx="28">
                    <c:v>Laden op duurzame opwek (zon en wind)</c:v>
                  </c:pt>
                </c:lvl>
                <c:lvl>
                  <c:pt idx="0">
                    <c:v>G4</c:v>
                  </c:pt>
                  <c:pt idx="5">
                    <c:v>Noord</c:v>
                  </c:pt>
                  <c:pt idx="10">
                    <c:v>Noordwest</c:v>
                  </c:pt>
                  <c:pt idx="15">
                    <c:v>Oost</c:v>
                  </c:pt>
                  <c:pt idx="20">
                    <c:v>Zuid</c:v>
                  </c:pt>
                  <c:pt idx="25">
                    <c:v>Zuidwest</c:v>
                  </c:pt>
                </c:lvl>
              </c:multiLvlStrCache>
            </c:multiLvlStrRef>
          </c:cat>
          <c:val>
            <c:numRef>
              <c:f>Analyse!$AE$1089:$AE$1117</c:f>
              <c:numCache>
                <c:formatCode>0%</c:formatCode>
                <c:ptCount val="29"/>
                <c:pt idx="0">
                  <c:v>8.4905660377358486E-2</c:v>
                </c:pt>
                <c:pt idx="1">
                  <c:v>0.26415094339622641</c:v>
                </c:pt>
                <c:pt idx="2">
                  <c:v>0.40566037735849059</c:v>
                </c:pt>
                <c:pt idx="3">
                  <c:v>0.29245283018867924</c:v>
                </c:pt>
                <c:pt idx="5">
                  <c:v>7.9470198675496692E-2</c:v>
                </c:pt>
                <c:pt idx="6">
                  <c:v>0.32119205298013243</c:v>
                </c:pt>
                <c:pt idx="7">
                  <c:v>0.47350993377483441</c:v>
                </c:pt>
                <c:pt idx="8">
                  <c:v>0.44701986754966888</c:v>
                </c:pt>
                <c:pt idx="10">
                  <c:v>7.9225352112676062E-2</c:v>
                </c:pt>
                <c:pt idx="11">
                  <c:v>0.32746478873239437</c:v>
                </c:pt>
                <c:pt idx="12">
                  <c:v>0.40845070422535212</c:v>
                </c:pt>
                <c:pt idx="13">
                  <c:v>0.40316901408450706</c:v>
                </c:pt>
                <c:pt idx="15">
                  <c:v>8.0843585237258347E-2</c:v>
                </c:pt>
                <c:pt idx="16">
                  <c:v>0.3181019332161687</c:v>
                </c:pt>
                <c:pt idx="17">
                  <c:v>0.39894551845342707</c:v>
                </c:pt>
                <c:pt idx="18">
                  <c:v>0.42003514938488579</c:v>
                </c:pt>
                <c:pt idx="20">
                  <c:v>7.3345259391771014E-2</c:v>
                </c:pt>
                <c:pt idx="21">
                  <c:v>0.30948121645796062</c:v>
                </c:pt>
                <c:pt idx="22">
                  <c:v>0.40250447227191416</c:v>
                </c:pt>
                <c:pt idx="23">
                  <c:v>0.40250447227191416</c:v>
                </c:pt>
                <c:pt idx="25">
                  <c:v>0.04</c:v>
                </c:pt>
                <c:pt idx="26">
                  <c:v>0.25</c:v>
                </c:pt>
                <c:pt idx="27">
                  <c:v>0.40749999999999997</c:v>
                </c:pt>
                <c:pt idx="28">
                  <c:v>0.36499999999999999</c:v>
                </c:pt>
              </c:numCache>
            </c:numRef>
          </c:val>
          <c:extLst>
            <c:ext xmlns:c16="http://schemas.microsoft.com/office/drawing/2014/chart" uri="{C3380CC4-5D6E-409C-BE32-E72D297353CC}">
              <c16:uniqueId val="{00000000-92CC-41F7-BC7E-5B314934BD7D}"/>
            </c:ext>
          </c:extLst>
        </c:ser>
        <c:ser>
          <c:idx val="1"/>
          <c:order val="1"/>
          <c:tx>
            <c:strRef>
              <c:f>Analyse!$AF$1088</c:f>
              <c:strCache>
                <c:ptCount val="1"/>
                <c:pt idx="0">
                  <c:v>Wil ik gebruiken</c:v>
                </c:pt>
              </c:strCache>
            </c:strRef>
          </c:tx>
          <c:spPr>
            <a:solidFill>
              <a:srgbClr val="08B46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bg1"/>
                    </a:solidFill>
                    <a:latin typeface="+mn-lt"/>
                    <a:ea typeface="+mn-ea"/>
                    <a:cs typeface="+mn-cs"/>
                  </a:defRPr>
                </a:pPr>
                <a:endParaRPr lang="en-N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Analyse!$AC$1089:$AD$1117</c:f>
              <c:multiLvlStrCache>
                <c:ptCount val="29"/>
                <c:lvl>
                  <c:pt idx="0">
                    <c:v>Bidirectioneel laden</c:v>
                  </c:pt>
                  <c:pt idx="1">
                    <c:v>Laden o.b.v. netcapaciteit</c:v>
                  </c:pt>
                  <c:pt idx="2">
                    <c:v>Laden op basis van dynamische stroomtarieven</c:v>
                  </c:pt>
                  <c:pt idx="3">
                    <c:v>Laden op duurzame opwek (zon en wind)</c:v>
                  </c:pt>
                  <c:pt idx="5">
                    <c:v>Bidirectioneel laden</c:v>
                  </c:pt>
                  <c:pt idx="6">
                    <c:v>Laden o.b.v. netcapaciteit</c:v>
                  </c:pt>
                  <c:pt idx="7">
                    <c:v>Laden op basis van dynamische stroomtarieven</c:v>
                  </c:pt>
                  <c:pt idx="8">
                    <c:v>Laden op duurzame opwek (zon en wind)</c:v>
                  </c:pt>
                  <c:pt idx="10">
                    <c:v>Bidirectioneel laden</c:v>
                  </c:pt>
                  <c:pt idx="11">
                    <c:v>Laden o.b.v. netcapaciteit</c:v>
                  </c:pt>
                  <c:pt idx="12">
                    <c:v>Laden op basis van dynamische stroomtarieven</c:v>
                  </c:pt>
                  <c:pt idx="13">
                    <c:v>Laden op duurzame opwek (zon en wind)</c:v>
                  </c:pt>
                  <c:pt idx="15">
                    <c:v>Bidirectioneel laden</c:v>
                  </c:pt>
                  <c:pt idx="16">
                    <c:v>Laden o.b.v. netcapaciteit</c:v>
                  </c:pt>
                  <c:pt idx="17">
                    <c:v>Laden op basis van dynamische stroomtarieven</c:v>
                  </c:pt>
                  <c:pt idx="18">
                    <c:v>Laden op duurzame opwek (zon en wind)</c:v>
                  </c:pt>
                  <c:pt idx="20">
                    <c:v>Bidirectioneel laden</c:v>
                  </c:pt>
                  <c:pt idx="21">
                    <c:v>Laden o.b.v. netcapaciteit</c:v>
                  </c:pt>
                  <c:pt idx="22">
                    <c:v>Laden op basis van dynamische stroomtarieven</c:v>
                  </c:pt>
                  <c:pt idx="23">
                    <c:v>Laden op duurzame opwek (zon en wind)</c:v>
                  </c:pt>
                  <c:pt idx="25">
                    <c:v>Bidirectioneel laden</c:v>
                  </c:pt>
                  <c:pt idx="26">
                    <c:v>Laden o.b.v. netcapaciteit</c:v>
                  </c:pt>
                  <c:pt idx="27">
                    <c:v>Laden op basis van dynamische stroomtarieven</c:v>
                  </c:pt>
                  <c:pt idx="28">
                    <c:v>Laden op duurzame opwek (zon en wind)</c:v>
                  </c:pt>
                </c:lvl>
                <c:lvl>
                  <c:pt idx="0">
                    <c:v>G4</c:v>
                  </c:pt>
                  <c:pt idx="5">
                    <c:v>Noord</c:v>
                  </c:pt>
                  <c:pt idx="10">
                    <c:v>Noordwest</c:v>
                  </c:pt>
                  <c:pt idx="15">
                    <c:v>Oost</c:v>
                  </c:pt>
                  <c:pt idx="20">
                    <c:v>Zuid</c:v>
                  </c:pt>
                  <c:pt idx="25">
                    <c:v>Zuidwest</c:v>
                  </c:pt>
                </c:lvl>
              </c:multiLvlStrCache>
            </c:multiLvlStrRef>
          </c:cat>
          <c:val>
            <c:numRef>
              <c:f>Analyse!$AF$1089:$AF$1117</c:f>
              <c:numCache>
                <c:formatCode>0%</c:formatCode>
                <c:ptCount val="29"/>
                <c:pt idx="0">
                  <c:v>0.46226415094339623</c:v>
                </c:pt>
                <c:pt idx="1">
                  <c:v>0.33962264150943394</c:v>
                </c:pt>
                <c:pt idx="2">
                  <c:v>0.330188679245283</c:v>
                </c:pt>
                <c:pt idx="3">
                  <c:v>0.35849056603773582</c:v>
                </c:pt>
                <c:pt idx="5">
                  <c:v>0.48344370860927155</c:v>
                </c:pt>
                <c:pt idx="6">
                  <c:v>0.27483443708609273</c:v>
                </c:pt>
                <c:pt idx="7">
                  <c:v>0.29801324503311261</c:v>
                </c:pt>
                <c:pt idx="8">
                  <c:v>0.27814569536423839</c:v>
                </c:pt>
                <c:pt idx="10">
                  <c:v>0.47007042253521125</c:v>
                </c:pt>
                <c:pt idx="11">
                  <c:v>0.29049295774647887</c:v>
                </c:pt>
                <c:pt idx="12">
                  <c:v>0.33450704225352113</c:v>
                </c:pt>
                <c:pt idx="13">
                  <c:v>0.27464788732394368</c:v>
                </c:pt>
                <c:pt idx="15">
                  <c:v>0.50439367311072059</c:v>
                </c:pt>
                <c:pt idx="16">
                  <c:v>0.29349736379613356</c:v>
                </c:pt>
                <c:pt idx="17">
                  <c:v>0.32864674868189808</c:v>
                </c:pt>
                <c:pt idx="18">
                  <c:v>0.26713532513181021</c:v>
                </c:pt>
                <c:pt idx="20">
                  <c:v>0.50268336314847939</c:v>
                </c:pt>
                <c:pt idx="21">
                  <c:v>0.26654740608228983</c:v>
                </c:pt>
                <c:pt idx="22">
                  <c:v>0.31842576028622538</c:v>
                </c:pt>
                <c:pt idx="23">
                  <c:v>0.27370304114490163</c:v>
                </c:pt>
                <c:pt idx="25">
                  <c:v>0.54500000000000004</c:v>
                </c:pt>
                <c:pt idx="26">
                  <c:v>0.27750000000000002</c:v>
                </c:pt>
                <c:pt idx="27">
                  <c:v>0.33250000000000002</c:v>
                </c:pt>
                <c:pt idx="28">
                  <c:v>0.28499999999999998</c:v>
                </c:pt>
              </c:numCache>
            </c:numRef>
          </c:val>
          <c:extLst>
            <c:ext xmlns:c16="http://schemas.microsoft.com/office/drawing/2014/chart" uri="{C3380CC4-5D6E-409C-BE32-E72D297353CC}">
              <c16:uniqueId val="{00000001-92CC-41F7-BC7E-5B314934BD7D}"/>
            </c:ext>
          </c:extLst>
        </c:ser>
        <c:ser>
          <c:idx val="2"/>
          <c:order val="2"/>
          <c:tx>
            <c:strRef>
              <c:f>Analyse!$AG$1088</c:f>
              <c:strCache>
                <c:ptCount val="1"/>
                <c:pt idx="0">
                  <c:v>Niet</c:v>
                </c:pt>
              </c:strCache>
            </c:strRef>
          </c:tx>
          <c:spPr>
            <a:solidFill>
              <a:srgbClr val="C9C74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rgbClr val="2C307E"/>
                    </a:solidFill>
                    <a:latin typeface="+mn-lt"/>
                    <a:ea typeface="+mn-ea"/>
                    <a:cs typeface="+mn-cs"/>
                  </a:defRPr>
                </a:pPr>
                <a:endParaRPr lang="en-N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Analyse!$AC$1089:$AD$1117</c:f>
              <c:multiLvlStrCache>
                <c:ptCount val="29"/>
                <c:lvl>
                  <c:pt idx="0">
                    <c:v>Bidirectioneel laden</c:v>
                  </c:pt>
                  <c:pt idx="1">
                    <c:v>Laden o.b.v. netcapaciteit</c:v>
                  </c:pt>
                  <c:pt idx="2">
                    <c:v>Laden op basis van dynamische stroomtarieven</c:v>
                  </c:pt>
                  <c:pt idx="3">
                    <c:v>Laden op duurzame opwek (zon en wind)</c:v>
                  </c:pt>
                  <c:pt idx="5">
                    <c:v>Bidirectioneel laden</c:v>
                  </c:pt>
                  <c:pt idx="6">
                    <c:v>Laden o.b.v. netcapaciteit</c:v>
                  </c:pt>
                  <c:pt idx="7">
                    <c:v>Laden op basis van dynamische stroomtarieven</c:v>
                  </c:pt>
                  <c:pt idx="8">
                    <c:v>Laden op duurzame opwek (zon en wind)</c:v>
                  </c:pt>
                  <c:pt idx="10">
                    <c:v>Bidirectioneel laden</c:v>
                  </c:pt>
                  <c:pt idx="11">
                    <c:v>Laden o.b.v. netcapaciteit</c:v>
                  </c:pt>
                  <c:pt idx="12">
                    <c:v>Laden op basis van dynamische stroomtarieven</c:v>
                  </c:pt>
                  <c:pt idx="13">
                    <c:v>Laden op duurzame opwek (zon en wind)</c:v>
                  </c:pt>
                  <c:pt idx="15">
                    <c:v>Bidirectioneel laden</c:v>
                  </c:pt>
                  <c:pt idx="16">
                    <c:v>Laden o.b.v. netcapaciteit</c:v>
                  </c:pt>
                  <c:pt idx="17">
                    <c:v>Laden op basis van dynamische stroomtarieven</c:v>
                  </c:pt>
                  <c:pt idx="18">
                    <c:v>Laden op duurzame opwek (zon en wind)</c:v>
                  </c:pt>
                  <c:pt idx="20">
                    <c:v>Bidirectioneel laden</c:v>
                  </c:pt>
                  <c:pt idx="21">
                    <c:v>Laden o.b.v. netcapaciteit</c:v>
                  </c:pt>
                  <c:pt idx="22">
                    <c:v>Laden op basis van dynamische stroomtarieven</c:v>
                  </c:pt>
                  <c:pt idx="23">
                    <c:v>Laden op duurzame opwek (zon en wind)</c:v>
                  </c:pt>
                  <c:pt idx="25">
                    <c:v>Bidirectioneel laden</c:v>
                  </c:pt>
                  <c:pt idx="26">
                    <c:v>Laden o.b.v. netcapaciteit</c:v>
                  </c:pt>
                  <c:pt idx="27">
                    <c:v>Laden op basis van dynamische stroomtarieven</c:v>
                  </c:pt>
                  <c:pt idx="28">
                    <c:v>Laden op duurzame opwek (zon en wind)</c:v>
                  </c:pt>
                </c:lvl>
                <c:lvl>
                  <c:pt idx="0">
                    <c:v>G4</c:v>
                  </c:pt>
                  <c:pt idx="5">
                    <c:v>Noord</c:v>
                  </c:pt>
                  <c:pt idx="10">
                    <c:v>Noordwest</c:v>
                  </c:pt>
                  <c:pt idx="15">
                    <c:v>Oost</c:v>
                  </c:pt>
                  <c:pt idx="20">
                    <c:v>Zuid</c:v>
                  </c:pt>
                  <c:pt idx="25">
                    <c:v>Zuidwest</c:v>
                  </c:pt>
                </c:lvl>
              </c:multiLvlStrCache>
            </c:multiLvlStrRef>
          </c:cat>
          <c:val>
            <c:numRef>
              <c:f>Analyse!$AG$1089:$AG$1117</c:f>
              <c:numCache>
                <c:formatCode>0%</c:formatCode>
                <c:ptCount val="29"/>
                <c:pt idx="0">
                  <c:v>0.45283018867924529</c:v>
                </c:pt>
                <c:pt idx="1">
                  <c:v>0.3962264150943397</c:v>
                </c:pt>
                <c:pt idx="2">
                  <c:v>0.26415094339622636</c:v>
                </c:pt>
                <c:pt idx="3">
                  <c:v>0.34905660377358499</c:v>
                </c:pt>
                <c:pt idx="5">
                  <c:v>0.43708609271523174</c:v>
                </c:pt>
                <c:pt idx="6">
                  <c:v>0.4039735099337749</c:v>
                </c:pt>
                <c:pt idx="7">
                  <c:v>0.22847682119205304</c:v>
                </c:pt>
                <c:pt idx="8">
                  <c:v>0.27483443708609273</c:v>
                </c:pt>
                <c:pt idx="10">
                  <c:v>0.45070422535211269</c:v>
                </c:pt>
                <c:pt idx="11">
                  <c:v>0.38204225352112675</c:v>
                </c:pt>
                <c:pt idx="12">
                  <c:v>0.25704225352112675</c:v>
                </c:pt>
                <c:pt idx="13">
                  <c:v>0.3221830985915492</c:v>
                </c:pt>
                <c:pt idx="15">
                  <c:v>0.41476274165202109</c:v>
                </c:pt>
                <c:pt idx="16">
                  <c:v>0.38840070298769774</c:v>
                </c:pt>
                <c:pt idx="17">
                  <c:v>0.2724077328646749</c:v>
                </c:pt>
                <c:pt idx="18">
                  <c:v>0.31282952548330395</c:v>
                </c:pt>
                <c:pt idx="20">
                  <c:v>0.42397137745974961</c:v>
                </c:pt>
                <c:pt idx="21">
                  <c:v>0.4239713774597495</c:v>
                </c:pt>
                <c:pt idx="22">
                  <c:v>0.27906976744186046</c:v>
                </c:pt>
                <c:pt idx="23">
                  <c:v>0.32379248658318421</c:v>
                </c:pt>
                <c:pt idx="25">
                  <c:v>0.41499999999999998</c:v>
                </c:pt>
                <c:pt idx="26">
                  <c:v>0.47249999999999992</c:v>
                </c:pt>
                <c:pt idx="27">
                  <c:v>0.26</c:v>
                </c:pt>
                <c:pt idx="28">
                  <c:v>0.35000000000000009</c:v>
                </c:pt>
              </c:numCache>
            </c:numRef>
          </c:val>
          <c:extLst>
            <c:ext xmlns:c16="http://schemas.microsoft.com/office/drawing/2014/chart" uri="{C3380CC4-5D6E-409C-BE32-E72D297353CC}">
              <c16:uniqueId val="{00000002-92CC-41F7-BC7E-5B314934BD7D}"/>
            </c:ext>
          </c:extLst>
        </c:ser>
        <c:dLbls>
          <c:dLblPos val="ctr"/>
          <c:showLegendKey val="0"/>
          <c:showVal val="1"/>
          <c:showCatName val="0"/>
          <c:showSerName val="0"/>
          <c:showPercent val="0"/>
          <c:showBubbleSize val="0"/>
        </c:dLbls>
        <c:gapWidth val="150"/>
        <c:overlap val="100"/>
        <c:axId val="531688943"/>
        <c:axId val="531690383"/>
      </c:barChart>
      <c:catAx>
        <c:axId val="531688943"/>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2C307E"/>
                </a:solidFill>
                <a:latin typeface="+mn-lt"/>
                <a:ea typeface="+mn-ea"/>
                <a:cs typeface="+mn-cs"/>
              </a:defRPr>
            </a:pPr>
            <a:endParaRPr lang="en-NL"/>
          </a:p>
        </c:txPr>
        <c:crossAx val="531690383"/>
        <c:crosses val="autoZero"/>
        <c:auto val="1"/>
        <c:lblAlgn val="ctr"/>
        <c:lblOffset val="100"/>
        <c:noMultiLvlLbl val="0"/>
      </c:catAx>
      <c:valAx>
        <c:axId val="531690383"/>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2C307E"/>
                </a:solidFill>
                <a:latin typeface="+mn-lt"/>
                <a:ea typeface="+mn-ea"/>
                <a:cs typeface="+mn-cs"/>
              </a:defRPr>
            </a:pPr>
            <a:endParaRPr lang="en-NL"/>
          </a:p>
        </c:txPr>
        <c:crossAx val="53168894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rgbClr val="2C307E"/>
              </a:solidFill>
              <a:latin typeface="+mn-lt"/>
              <a:ea typeface="+mn-ea"/>
              <a:cs typeface="+mn-cs"/>
            </a:defRPr>
          </a:pPr>
          <a:endParaRPr lang="en-NL"/>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a:solidFill>
            <a:srgbClr val="2C307E"/>
          </a:solidFill>
        </a:defRPr>
      </a:pPr>
      <a:endParaRPr lang="en-NL"/>
    </a:p>
  </c:txPr>
  <c:externalData r:id="rId3">
    <c:autoUpdate val="0"/>
  </c:externalData>
</c:chartSpace>
</file>

<file path=word/charts/chart1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rgbClr val="2C307E"/>
                </a:solidFill>
                <a:latin typeface="+mn-lt"/>
                <a:ea typeface="+mn-ea"/>
                <a:cs typeface="+mn-cs"/>
              </a:defRPr>
            </a:pPr>
            <a:r>
              <a:rPr lang="nl-NL" sz="1100"/>
              <a:t>Slim laden openbaar per regio</a:t>
            </a:r>
          </a:p>
        </c:rich>
      </c:tx>
      <c:overlay val="0"/>
      <c:spPr>
        <a:noFill/>
        <a:ln>
          <a:noFill/>
        </a:ln>
        <a:effectLst/>
      </c:spPr>
      <c:txPr>
        <a:bodyPr rot="0" spcFirstLastPara="1" vertOverflow="ellipsis" vert="horz" wrap="square" anchor="ctr" anchorCtr="1"/>
        <a:lstStyle/>
        <a:p>
          <a:pPr>
            <a:defRPr sz="1100" b="0" i="0" u="none" strike="noStrike" kern="1200" spc="0" baseline="0">
              <a:solidFill>
                <a:srgbClr val="2C307E"/>
              </a:solidFill>
              <a:latin typeface="+mn-lt"/>
              <a:ea typeface="+mn-ea"/>
              <a:cs typeface="+mn-cs"/>
            </a:defRPr>
          </a:pPr>
          <a:endParaRPr lang="en-NL"/>
        </a:p>
      </c:txPr>
    </c:title>
    <c:autoTitleDeleted val="0"/>
    <c:plotArea>
      <c:layout>
        <c:manualLayout>
          <c:layoutTarget val="inner"/>
          <c:xMode val="edge"/>
          <c:yMode val="edge"/>
          <c:x val="0.20271510605124124"/>
          <c:y val="7.7427402820631555E-2"/>
          <c:w val="0.75076189200417487"/>
          <c:h val="0.82639188529692509"/>
        </c:manualLayout>
      </c:layout>
      <c:barChart>
        <c:barDir val="bar"/>
        <c:grouping val="percentStacked"/>
        <c:varyColors val="0"/>
        <c:ser>
          <c:idx val="0"/>
          <c:order val="0"/>
          <c:tx>
            <c:strRef>
              <c:f>Analyse!$AS$1088</c:f>
              <c:strCache>
                <c:ptCount val="1"/>
                <c:pt idx="0">
                  <c:v>Gebruik ik</c:v>
                </c:pt>
              </c:strCache>
            </c:strRef>
          </c:tx>
          <c:spPr>
            <a:solidFill>
              <a:srgbClr val="2C307E"/>
            </a:solidFill>
            <a:ln>
              <a:noFill/>
            </a:ln>
            <a:effectLst/>
          </c:spPr>
          <c:invertIfNegative val="0"/>
          <c:dLbls>
            <c:dLbl>
              <c:idx val="5"/>
              <c:layout>
                <c:manualLayout>
                  <c:x val="8.8202866593163464E-3"/>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7EB-4F73-8798-A663A5C02408}"/>
                </c:ext>
              </c:extLst>
            </c:dLbl>
            <c:dLbl>
              <c:idx val="7"/>
              <c:layout>
                <c:manualLayout>
                  <c:x val="6.6152149944872403E-3"/>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7EB-4F73-8798-A663A5C02408}"/>
                </c:ext>
              </c:extLst>
            </c:dLbl>
            <c:dLbl>
              <c:idx val="8"/>
              <c:layout>
                <c:manualLayout>
                  <c:x val="4.4101433296581333E-3"/>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7EB-4F73-8798-A663A5C02408}"/>
                </c:ext>
              </c:extLst>
            </c:dLbl>
            <c:dLbl>
              <c:idx val="10"/>
              <c:layout>
                <c:manualLayout>
                  <c:x val="6.6152149944872403E-3"/>
                  <c:y val="-6.8805109955146523E-1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7EB-4F73-8798-A663A5C02408}"/>
                </c:ext>
              </c:extLst>
            </c:dLbl>
            <c:dLbl>
              <c:idx val="15"/>
              <c:layout>
                <c:manualLayout>
                  <c:x val="8.8202866593164279E-3"/>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7EB-4F73-8798-A663A5C02408}"/>
                </c:ext>
              </c:extLst>
            </c:dLbl>
            <c:dLbl>
              <c:idx val="20"/>
              <c:layout>
                <c:manualLayout>
                  <c:x val="6.615214994487321E-3"/>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7EB-4F73-8798-A663A5C02408}"/>
                </c:ext>
              </c:extLst>
            </c:dLbl>
            <c:dLbl>
              <c:idx val="25"/>
              <c:layout>
                <c:manualLayout>
                  <c:x val="4.410143329658214E-3"/>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F7EB-4F73-8798-A663A5C02408}"/>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bg1"/>
                    </a:solidFill>
                    <a:latin typeface="+mn-lt"/>
                    <a:ea typeface="+mn-ea"/>
                    <a:cs typeface="+mn-cs"/>
                  </a:defRPr>
                </a:pPr>
                <a:endParaRPr lang="en-N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Analyse!$AC$1089:$AD$1117</c:f>
              <c:multiLvlStrCache>
                <c:ptCount val="29"/>
                <c:lvl>
                  <c:pt idx="0">
                    <c:v>Bidirectioneel laden</c:v>
                  </c:pt>
                  <c:pt idx="1">
                    <c:v>Laden o.b.v. netcapaciteit</c:v>
                  </c:pt>
                  <c:pt idx="2">
                    <c:v>Laden op basis van dynamische stroomtarieven</c:v>
                  </c:pt>
                  <c:pt idx="3">
                    <c:v>Laden op duurzame opwek (zon en wind)</c:v>
                  </c:pt>
                  <c:pt idx="5">
                    <c:v>Bidirectioneel laden</c:v>
                  </c:pt>
                  <c:pt idx="6">
                    <c:v>Laden o.b.v. netcapaciteit</c:v>
                  </c:pt>
                  <c:pt idx="7">
                    <c:v>Laden op basis van dynamische stroomtarieven</c:v>
                  </c:pt>
                  <c:pt idx="8">
                    <c:v>Laden op duurzame opwek (zon en wind)</c:v>
                  </c:pt>
                  <c:pt idx="10">
                    <c:v>Bidirectioneel laden</c:v>
                  </c:pt>
                  <c:pt idx="11">
                    <c:v>Laden o.b.v. netcapaciteit</c:v>
                  </c:pt>
                  <c:pt idx="12">
                    <c:v>Laden op basis van dynamische stroomtarieven</c:v>
                  </c:pt>
                  <c:pt idx="13">
                    <c:v>Laden op duurzame opwek (zon en wind)</c:v>
                  </c:pt>
                  <c:pt idx="15">
                    <c:v>Bidirectioneel laden</c:v>
                  </c:pt>
                  <c:pt idx="16">
                    <c:v>Laden o.b.v. netcapaciteit</c:v>
                  </c:pt>
                  <c:pt idx="17">
                    <c:v>Laden op basis van dynamische stroomtarieven</c:v>
                  </c:pt>
                  <c:pt idx="18">
                    <c:v>Laden op duurzame opwek (zon en wind)</c:v>
                  </c:pt>
                  <c:pt idx="20">
                    <c:v>Bidirectioneel laden</c:v>
                  </c:pt>
                  <c:pt idx="21">
                    <c:v>Laden o.b.v. netcapaciteit</c:v>
                  </c:pt>
                  <c:pt idx="22">
                    <c:v>Laden op basis van dynamische stroomtarieven</c:v>
                  </c:pt>
                  <c:pt idx="23">
                    <c:v>Laden op duurzame opwek (zon en wind)</c:v>
                  </c:pt>
                  <c:pt idx="25">
                    <c:v>Bidirectioneel laden</c:v>
                  </c:pt>
                  <c:pt idx="26">
                    <c:v>Laden o.b.v. netcapaciteit</c:v>
                  </c:pt>
                  <c:pt idx="27">
                    <c:v>Laden op basis van dynamische stroomtarieven</c:v>
                  </c:pt>
                  <c:pt idx="28">
                    <c:v>Laden op duurzame opwek (zon en wind)</c:v>
                  </c:pt>
                </c:lvl>
                <c:lvl>
                  <c:pt idx="0">
                    <c:v>G4</c:v>
                  </c:pt>
                  <c:pt idx="5">
                    <c:v>Noord</c:v>
                  </c:pt>
                  <c:pt idx="10">
                    <c:v>Noordwest</c:v>
                  </c:pt>
                  <c:pt idx="15">
                    <c:v>Oost</c:v>
                  </c:pt>
                  <c:pt idx="20">
                    <c:v>Zuid</c:v>
                  </c:pt>
                  <c:pt idx="25">
                    <c:v>Zuidwest</c:v>
                  </c:pt>
                </c:lvl>
              </c:multiLvlStrCache>
            </c:multiLvlStrRef>
          </c:cat>
          <c:val>
            <c:numRef>
              <c:f>Analyse!$AS$1089:$AS$1117</c:f>
              <c:numCache>
                <c:formatCode>0%</c:formatCode>
                <c:ptCount val="29"/>
                <c:pt idx="0">
                  <c:v>9.0476190476190474E-2</c:v>
                </c:pt>
                <c:pt idx="1">
                  <c:v>0.21428571428571427</c:v>
                </c:pt>
                <c:pt idx="2">
                  <c:v>0.10952380952380952</c:v>
                </c:pt>
                <c:pt idx="3">
                  <c:v>0.14761904761904762</c:v>
                </c:pt>
                <c:pt idx="5">
                  <c:v>1.1235955056179775E-2</c:v>
                </c:pt>
                <c:pt idx="6">
                  <c:v>4.49438202247191E-2</c:v>
                </c:pt>
                <c:pt idx="7">
                  <c:v>2.247191011235955E-2</c:v>
                </c:pt>
                <c:pt idx="8">
                  <c:v>3.3707865168539325E-2</c:v>
                </c:pt>
                <c:pt idx="10">
                  <c:v>2.8708133971291867E-2</c:v>
                </c:pt>
                <c:pt idx="11">
                  <c:v>9.3301435406698566E-2</c:v>
                </c:pt>
                <c:pt idx="12">
                  <c:v>4.784688995215311E-2</c:v>
                </c:pt>
                <c:pt idx="13">
                  <c:v>7.6555023923444973E-2</c:v>
                </c:pt>
                <c:pt idx="15">
                  <c:v>1.5432098765432098E-2</c:v>
                </c:pt>
                <c:pt idx="16">
                  <c:v>4.9382716049382713E-2</c:v>
                </c:pt>
                <c:pt idx="17">
                  <c:v>3.7037037037037035E-2</c:v>
                </c:pt>
                <c:pt idx="18">
                  <c:v>4.3209876543209874E-2</c:v>
                </c:pt>
                <c:pt idx="20">
                  <c:v>3.007518796992481E-2</c:v>
                </c:pt>
                <c:pt idx="21">
                  <c:v>8.2706766917293228E-2</c:v>
                </c:pt>
                <c:pt idx="22">
                  <c:v>5.5137844611528819E-2</c:v>
                </c:pt>
                <c:pt idx="23">
                  <c:v>5.5137844611528819E-2</c:v>
                </c:pt>
                <c:pt idx="25">
                  <c:v>3.2745591939546598E-2</c:v>
                </c:pt>
                <c:pt idx="26">
                  <c:v>9.8236775818639793E-2</c:v>
                </c:pt>
                <c:pt idx="27">
                  <c:v>6.0453400503778336E-2</c:v>
                </c:pt>
                <c:pt idx="28">
                  <c:v>5.793450881612091E-2</c:v>
                </c:pt>
              </c:numCache>
            </c:numRef>
          </c:val>
          <c:extLst>
            <c:ext xmlns:c16="http://schemas.microsoft.com/office/drawing/2014/chart" uri="{C3380CC4-5D6E-409C-BE32-E72D297353CC}">
              <c16:uniqueId val="{00000007-F7EB-4F73-8798-A663A5C02408}"/>
            </c:ext>
          </c:extLst>
        </c:ser>
        <c:ser>
          <c:idx val="1"/>
          <c:order val="1"/>
          <c:tx>
            <c:strRef>
              <c:f>Analyse!$AT$1088</c:f>
              <c:strCache>
                <c:ptCount val="1"/>
                <c:pt idx="0">
                  <c:v>Wil ik gebruiken</c:v>
                </c:pt>
              </c:strCache>
            </c:strRef>
          </c:tx>
          <c:spPr>
            <a:solidFill>
              <a:srgbClr val="08B466"/>
            </a:solidFill>
            <a:ln>
              <a:noFill/>
            </a:ln>
            <a:effectLst/>
          </c:spPr>
          <c:invertIfNegative val="0"/>
          <c:dLbls>
            <c:dLbl>
              <c:idx val="5"/>
              <c:layout>
                <c:manualLayout>
                  <c:x val="8.8202866593163464E-3"/>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F7EB-4F73-8798-A663A5C02408}"/>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bg1"/>
                    </a:solidFill>
                    <a:latin typeface="+mn-lt"/>
                    <a:ea typeface="+mn-ea"/>
                    <a:cs typeface="+mn-cs"/>
                  </a:defRPr>
                </a:pPr>
                <a:endParaRPr lang="en-N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Analyse!$AC$1089:$AD$1117</c:f>
              <c:multiLvlStrCache>
                <c:ptCount val="29"/>
                <c:lvl>
                  <c:pt idx="0">
                    <c:v>Bidirectioneel laden</c:v>
                  </c:pt>
                  <c:pt idx="1">
                    <c:v>Laden o.b.v. netcapaciteit</c:v>
                  </c:pt>
                  <c:pt idx="2">
                    <c:v>Laden op basis van dynamische stroomtarieven</c:v>
                  </c:pt>
                  <c:pt idx="3">
                    <c:v>Laden op duurzame opwek (zon en wind)</c:v>
                  </c:pt>
                  <c:pt idx="5">
                    <c:v>Bidirectioneel laden</c:v>
                  </c:pt>
                  <c:pt idx="6">
                    <c:v>Laden o.b.v. netcapaciteit</c:v>
                  </c:pt>
                  <c:pt idx="7">
                    <c:v>Laden op basis van dynamische stroomtarieven</c:v>
                  </c:pt>
                  <c:pt idx="8">
                    <c:v>Laden op duurzame opwek (zon en wind)</c:v>
                  </c:pt>
                  <c:pt idx="10">
                    <c:v>Bidirectioneel laden</c:v>
                  </c:pt>
                  <c:pt idx="11">
                    <c:v>Laden o.b.v. netcapaciteit</c:v>
                  </c:pt>
                  <c:pt idx="12">
                    <c:v>Laden op basis van dynamische stroomtarieven</c:v>
                  </c:pt>
                  <c:pt idx="13">
                    <c:v>Laden op duurzame opwek (zon en wind)</c:v>
                  </c:pt>
                  <c:pt idx="15">
                    <c:v>Bidirectioneel laden</c:v>
                  </c:pt>
                  <c:pt idx="16">
                    <c:v>Laden o.b.v. netcapaciteit</c:v>
                  </c:pt>
                  <c:pt idx="17">
                    <c:v>Laden op basis van dynamische stroomtarieven</c:v>
                  </c:pt>
                  <c:pt idx="18">
                    <c:v>Laden op duurzame opwek (zon en wind)</c:v>
                  </c:pt>
                  <c:pt idx="20">
                    <c:v>Bidirectioneel laden</c:v>
                  </c:pt>
                  <c:pt idx="21">
                    <c:v>Laden o.b.v. netcapaciteit</c:v>
                  </c:pt>
                  <c:pt idx="22">
                    <c:v>Laden op basis van dynamische stroomtarieven</c:v>
                  </c:pt>
                  <c:pt idx="23">
                    <c:v>Laden op duurzame opwek (zon en wind)</c:v>
                  </c:pt>
                  <c:pt idx="25">
                    <c:v>Bidirectioneel laden</c:v>
                  </c:pt>
                  <c:pt idx="26">
                    <c:v>Laden o.b.v. netcapaciteit</c:v>
                  </c:pt>
                  <c:pt idx="27">
                    <c:v>Laden op basis van dynamische stroomtarieven</c:v>
                  </c:pt>
                  <c:pt idx="28">
                    <c:v>Laden op duurzame opwek (zon en wind)</c:v>
                  </c:pt>
                </c:lvl>
                <c:lvl>
                  <c:pt idx="0">
                    <c:v>G4</c:v>
                  </c:pt>
                  <c:pt idx="5">
                    <c:v>Noord</c:v>
                  </c:pt>
                  <c:pt idx="10">
                    <c:v>Noordwest</c:v>
                  </c:pt>
                  <c:pt idx="15">
                    <c:v>Oost</c:v>
                  </c:pt>
                  <c:pt idx="20">
                    <c:v>Zuid</c:v>
                  </c:pt>
                  <c:pt idx="25">
                    <c:v>Zuidwest</c:v>
                  </c:pt>
                </c:lvl>
              </c:multiLvlStrCache>
            </c:multiLvlStrRef>
          </c:cat>
          <c:val>
            <c:numRef>
              <c:f>Analyse!$AT$1089:$AT$1117</c:f>
              <c:numCache>
                <c:formatCode>0%</c:formatCode>
                <c:ptCount val="29"/>
                <c:pt idx="0">
                  <c:v>0.24285714285714285</c:v>
                </c:pt>
                <c:pt idx="1">
                  <c:v>0.31904761904761902</c:v>
                </c:pt>
                <c:pt idx="2">
                  <c:v>0.40476190476190477</c:v>
                </c:pt>
                <c:pt idx="3">
                  <c:v>0.32857142857142857</c:v>
                </c:pt>
                <c:pt idx="5">
                  <c:v>8.98876404494382E-2</c:v>
                </c:pt>
                <c:pt idx="6">
                  <c:v>0.1853932584269663</c:v>
                </c:pt>
                <c:pt idx="7">
                  <c:v>0.19662921348314608</c:v>
                </c:pt>
                <c:pt idx="8">
                  <c:v>0.14606741573033707</c:v>
                </c:pt>
                <c:pt idx="10">
                  <c:v>0.13157894736842105</c:v>
                </c:pt>
                <c:pt idx="11">
                  <c:v>0.20574162679425836</c:v>
                </c:pt>
                <c:pt idx="12">
                  <c:v>0.25837320574162681</c:v>
                </c:pt>
                <c:pt idx="13">
                  <c:v>0.18660287081339713</c:v>
                </c:pt>
                <c:pt idx="15">
                  <c:v>0.11728395061728394</c:v>
                </c:pt>
                <c:pt idx="16">
                  <c:v>0.20987654320987653</c:v>
                </c:pt>
                <c:pt idx="17">
                  <c:v>0.22530864197530864</c:v>
                </c:pt>
                <c:pt idx="18">
                  <c:v>0.20370370370370369</c:v>
                </c:pt>
                <c:pt idx="20">
                  <c:v>0.13784461152882205</c:v>
                </c:pt>
                <c:pt idx="21">
                  <c:v>0.21052631578947367</c:v>
                </c:pt>
                <c:pt idx="22">
                  <c:v>0.22556390977443608</c:v>
                </c:pt>
                <c:pt idx="23">
                  <c:v>0.17293233082706766</c:v>
                </c:pt>
                <c:pt idx="25">
                  <c:v>0.14609571788413098</c:v>
                </c:pt>
                <c:pt idx="26">
                  <c:v>0.20654911838790932</c:v>
                </c:pt>
                <c:pt idx="27">
                  <c:v>0.22921914357682618</c:v>
                </c:pt>
                <c:pt idx="28">
                  <c:v>0.23677581863979849</c:v>
                </c:pt>
              </c:numCache>
            </c:numRef>
          </c:val>
          <c:extLst>
            <c:ext xmlns:c16="http://schemas.microsoft.com/office/drawing/2014/chart" uri="{C3380CC4-5D6E-409C-BE32-E72D297353CC}">
              <c16:uniqueId val="{00000009-F7EB-4F73-8798-A663A5C02408}"/>
            </c:ext>
          </c:extLst>
        </c:ser>
        <c:ser>
          <c:idx val="2"/>
          <c:order val="2"/>
          <c:tx>
            <c:strRef>
              <c:f>Analyse!$AU$1088</c:f>
              <c:strCache>
                <c:ptCount val="1"/>
                <c:pt idx="0">
                  <c:v>Niet</c:v>
                </c:pt>
              </c:strCache>
            </c:strRef>
          </c:tx>
          <c:spPr>
            <a:solidFill>
              <a:srgbClr val="C9C74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rgbClr val="2C307E"/>
                    </a:solidFill>
                    <a:latin typeface="+mn-lt"/>
                    <a:ea typeface="+mn-ea"/>
                    <a:cs typeface="+mn-cs"/>
                  </a:defRPr>
                </a:pPr>
                <a:endParaRPr lang="en-N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Analyse!$AC$1089:$AD$1117</c:f>
              <c:multiLvlStrCache>
                <c:ptCount val="29"/>
                <c:lvl>
                  <c:pt idx="0">
                    <c:v>Bidirectioneel laden</c:v>
                  </c:pt>
                  <c:pt idx="1">
                    <c:v>Laden o.b.v. netcapaciteit</c:v>
                  </c:pt>
                  <c:pt idx="2">
                    <c:v>Laden op basis van dynamische stroomtarieven</c:v>
                  </c:pt>
                  <c:pt idx="3">
                    <c:v>Laden op duurzame opwek (zon en wind)</c:v>
                  </c:pt>
                  <c:pt idx="5">
                    <c:v>Bidirectioneel laden</c:v>
                  </c:pt>
                  <c:pt idx="6">
                    <c:v>Laden o.b.v. netcapaciteit</c:v>
                  </c:pt>
                  <c:pt idx="7">
                    <c:v>Laden op basis van dynamische stroomtarieven</c:v>
                  </c:pt>
                  <c:pt idx="8">
                    <c:v>Laden op duurzame opwek (zon en wind)</c:v>
                  </c:pt>
                  <c:pt idx="10">
                    <c:v>Bidirectioneel laden</c:v>
                  </c:pt>
                  <c:pt idx="11">
                    <c:v>Laden o.b.v. netcapaciteit</c:v>
                  </c:pt>
                  <c:pt idx="12">
                    <c:v>Laden op basis van dynamische stroomtarieven</c:v>
                  </c:pt>
                  <c:pt idx="13">
                    <c:v>Laden op duurzame opwek (zon en wind)</c:v>
                  </c:pt>
                  <c:pt idx="15">
                    <c:v>Bidirectioneel laden</c:v>
                  </c:pt>
                  <c:pt idx="16">
                    <c:v>Laden o.b.v. netcapaciteit</c:v>
                  </c:pt>
                  <c:pt idx="17">
                    <c:v>Laden op basis van dynamische stroomtarieven</c:v>
                  </c:pt>
                  <c:pt idx="18">
                    <c:v>Laden op duurzame opwek (zon en wind)</c:v>
                  </c:pt>
                  <c:pt idx="20">
                    <c:v>Bidirectioneel laden</c:v>
                  </c:pt>
                  <c:pt idx="21">
                    <c:v>Laden o.b.v. netcapaciteit</c:v>
                  </c:pt>
                  <c:pt idx="22">
                    <c:v>Laden op basis van dynamische stroomtarieven</c:v>
                  </c:pt>
                  <c:pt idx="23">
                    <c:v>Laden op duurzame opwek (zon en wind)</c:v>
                  </c:pt>
                  <c:pt idx="25">
                    <c:v>Bidirectioneel laden</c:v>
                  </c:pt>
                  <c:pt idx="26">
                    <c:v>Laden o.b.v. netcapaciteit</c:v>
                  </c:pt>
                  <c:pt idx="27">
                    <c:v>Laden op basis van dynamische stroomtarieven</c:v>
                  </c:pt>
                  <c:pt idx="28">
                    <c:v>Laden op duurzame opwek (zon en wind)</c:v>
                  </c:pt>
                </c:lvl>
                <c:lvl>
                  <c:pt idx="0">
                    <c:v>G4</c:v>
                  </c:pt>
                  <c:pt idx="5">
                    <c:v>Noord</c:v>
                  </c:pt>
                  <c:pt idx="10">
                    <c:v>Noordwest</c:v>
                  </c:pt>
                  <c:pt idx="15">
                    <c:v>Oost</c:v>
                  </c:pt>
                  <c:pt idx="20">
                    <c:v>Zuid</c:v>
                  </c:pt>
                  <c:pt idx="25">
                    <c:v>Zuidwest</c:v>
                  </c:pt>
                </c:lvl>
              </c:multiLvlStrCache>
            </c:multiLvlStrRef>
          </c:cat>
          <c:val>
            <c:numRef>
              <c:f>Analyse!$AU$1089:$AU$1117</c:f>
              <c:numCache>
                <c:formatCode>0%</c:formatCode>
                <c:ptCount val="29"/>
                <c:pt idx="0">
                  <c:v>0.66666666666666663</c:v>
                </c:pt>
                <c:pt idx="1">
                  <c:v>0.46666666666666667</c:v>
                </c:pt>
                <c:pt idx="2">
                  <c:v>0.48571428571428571</c:v>
                </c:pt>
                <c:pt idx="3">
                  <c:v>0.52380952380952384</c:v>
                </c:pt>
                <c:pt idx="5">
                  <c:v>0.898876404494382</c:v>
                </c:pt>
                <c:pt idx="6">
                  <c:v>0.7696629213483146</c:v>
                </c:pt>
                <c:pt idx="7">
                  <c:v>0.7808988764044944</c:v>
                </c:pt>
                <c:pt idx="8">
                  <c:v>0.8202247191011236</c:v>
                </c:pt>
                <c:pt idx="10">
                  <c:v>0.83971291866028708</c:v>
                </c:pt>
                <c:pt idx="11">
                  <c:v>0.70095693779904311</c:v>
                </c:pt>
                <c:pt idx="12">
                  <c:v>0.69377990430622005</c:v>
                </c:pt>
                <c:pt idx="13">
                  <c:v>0.73684210526315796</c:v>
                </c:pt>
                <c:pt idx="15">
                  <c:v>0.86728395061728403</c:v>
                </c:pt>
                <c:pt idx="16">
                  <c:v>0.7407407407407407</c:v>
                </c:pt>
                <c:pt idx="17">
                  <c:v>0.73765432098765427</c:v>
                </c:pt>
                <c:pt idx="18">
                  <c:v>0.75308641975308643</c:v>
                </c:pt>
                <c:pt idx="20">
                  <c:v>0.83208020050125309</c:v>
                </c:pt>
                <c:pt idx="21">
                  <c:v>0.70676691729323315</c:v>
                </c:pt>
                <c:pt idx="22">
                  <c:v>0.7192982456140351</c:v>
                </c:pt>
                <c:pt idx="23">
                  <c:v>0.77192982456140358</c:v>
                </c:pt>
                <c:pt idx="25">
                  <c:v>0.82115869017632237</c:v>
                </c:pt>
                <c:pt idx="26">
                  <c:v>0.69521410579345089</c:v>
                </c:pt>
                <c:pt idx="27">
                  <c:v>0.7103274559193955</c:v>
                </c:pt>
                <c:pt idx="28">
                  <c:v>0.70528967254408059</c:v>
                </c:pt>
              </c:numCache>
            </c:numRef>
          </c:val>
          <c:extLst>
            <c:ext xmlns:c16="http://schemas.microsoft.com/office/drawing/2014/chart" uri="{C3380CC4-5D6E-409C-BE32-E72D297353CC}">
              <c16:uniqueId val="{0000000A-F7EB-4F73-8798-A663A5C02408}"/>
            </c:ext>
          </c:extLst>
        </c:ser>
        <c:dLbls>
          <c:dLblPos val="ctr"/>
          <c:showLegendKey val="0"/>
          <c:showVal val="1"/>
          <c:showCatName val="0"/>
          <c:showSerName val="0"/>
          <c:showPercent val="0"/>
          <c:showBubbleSize val="0"/>
        </c:dLbls>
        <c:gapWidth val="150"/>
        <c:overlap val="100"/>
        <c:axId val="531688943"/>
        <c:axId val="531690383"/>
      </c:barChart>
      <c:catAx>
        <c:axId val="531688943"/>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2C307E"/>
                </a:solidFill>
                <a:latin typeface="+mn-lt"/>
                <a:ea typeface="+mn-ea"/>
                <a:cs typeface="+mn-cs"/>
              </a:defRPr>
            </a:pPr>
            <a:endParaRPr lang="en-NL"/>
          </a:p>
        </c:txPr>
        <c:crossAx val="531690383"/>
        <c:crosses val="autoZero"/>
        <c:auto val="1"/>
        <c:lblAlgn val="ctr"/>
        <c:lblOffset val="100"/>
        <c:noMultiLvlLbl val="0"/>
      </c:catAx>
      <c:valAx>
        <c:axId val="531690383"/>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2C307E"/>
                </a:solidFill>
                <a:latin typeface="+mn-lt"/>
                <a:ea typeface="+mn-ea"/>
                <a:cs typeface="+mn-cs"/>
              </a:defRPr>
            </a:pPr>
            <a:endParaRPr lang="en-NL"/>
          </a:p>
        </c:txPr>
        <c:crossAx val="53168894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rgbClr val="2C307E"/>
              </a:solidFill>
              <a:latin typeface="+mn-lt"/>
              <a:ea typeface="+mn-ea"/>
              <a:cs typeface="+mn-cs"/>
            </a:defRPr>
          </a:pPr>
          <a:endParaRPr lang="en-NL"/>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a:solidFill>
            <a:srgbClr val="2C307E"/>
          </a:solidFill>
        </a:defRPr>
      </a:pPr>
      <a:endParaRPr lang="en-NL"/>
    </a:p>
  </c:txPr>
  <c:externalData r:id="rId3">
    <c:autoUpdate val="0"/>
  </c:externalData>
</c:chartSpace>
</file>

<file path=word/charts/chart1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rgbClr val="2C307E"/>
                </a:solidFill>
                <a:latin typeface="+mn-lt"/>
                <a:ea typeface="+mn-ea"/>
                <a:cs typeface="+mn-cs"/>
              </a:defRPr>
            </a:pPr>
            <a:r>
              <a:rPr lang="nl-NL"/>
              <a:t>Slim laden op het werk per regio</a:t>
            </a:r>
          </a:p>
        </c:rich>
      </c:tx>
      <c:overlay val="0"/>
      <c:spPr>
        <a:noFill/>
        <a:ln>
          <a:noFill/>
        </a:ln>
        <a:effectLst/>
      </c:spPr>
      <c:txPr>
        <a:bodyPr rot="0" spcFirstLastPara="1" vertOverflow="ellipsis" vert="horz" wrap="square" anchor="ctr" anchorCtr="1"/>
        <a:lstStyle/>
        <a:p>
          <a:pPr>
            <a:defRPr sz="1400" b="0" i="0" u="none" strike="noStrike" kern="1200" spc="0" baseline="0">
              <a:solidFill>
                <a:srgbClr val="2C307E"/>
              </a:solidFill>
              <a:latin typeface="+mn-lt"/>
              <a:ea typeface="+mn-ea"/>
              <a:cs typeface="+mn-cs"/>
            </a:defRPr>
          </a:pPr>
          <a:endParaRPr lang="en-NL"/>
        </a:p>
      </c:txPr>
    </c:title>
    <c:autoTitleDeleted val="0"/>
    <c:plotArea>
      <c:layout>
        <c:manualLayout>
          <c:layoutTarget val="inner"/>
          <c:xMode val="edge"/>
          <c:yMode val="edge"/>
          <c:x val="0.20271510605124124"/>
          <c:y val="7.7427402820631555E-2"/>
          <c:w val="0.75076189200417487"/>
          <c:h val="0.82639188529692509"/>
        </c:manualLayout>
      </c:layout>
      <c:barChart>
        <c:barDir val="bar"/>
        <c:grouping val="percentStacked"/>
        <c:varyColors val="0"/>
        <c:ser>
          <c:idx val="0"/>
          <c:order val="0"/>
          <c:tx>
            <c:strRef>
              <c:f>Analyse!$AL$1088</c:f>
              <c:strCache>
                <c:ptCount val="1"/>
                <c:pt idx="0">
                  <c:v>Gebruik ik</c:v>
                </c:pt>
              </c:strCache>
            </c:strRef>
          </c:tx>
          <c:spPr>
            <a:solidFill>
              <a:srgbClr val="2C307E"/>
            </a:solidFill>
            <a:ln>
              <a:noFill/>
            </a:ln>
            <a:effectLst/>
          </c:spPr>
          <c:invertIfNegative val="0"/>
          <c:dLbls>
            <c:dLbl>
              <c:idx val="0"/>
              <c:layout>
                <c:manualLayout>
                  <c:x val="8.8202866593163464E-3"/>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2B7-4A71-9B47-17FC2EA3917B}"/>
                </c:ext>
              </c:extLst>
            </c:dLbl>
            <c:dLbl>
              <c:idx val="2"/>
              <c:layout>
                <c:manualLayout>
                  <c:x val="6.615214994487321E-3"/>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2B7-4A71-9B47-17FC2EA3917B}"/>
                </c:ext>
              </c:extLst>
            </c:dLbl>
            <c:dLbl>
              <c:idx val="5"/>
              <c:delete val="1"/>
              <c:extLst>
                <c:ext xmlns:c15="http://schemas.microsoft.com/office/drawing/2012/chart" uri="{CE6537A1-D6FC-4f65-9D91-7224C49458BB}"/>
                <c:ext xmlns:c16="http://schemas.microsoft.com/office/drawing/2014/chart" uri="{C3380CC4-5D6E-409C-BE32-E72D297353CC}">
                  <c16:uniqueId val="{00000002-D2B7-4A71-9B47-17FC2EA3917B}"/>
                </c:ext>
              </c:extLst>
            </c:dLbl>
            <c:dLbl>
              <c:idx val="7"/>
              <c:layout>
                <c:manualLayout>
                  <c:x val="6.615214994487321E-3"/>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2B7-4A71-9B47-17FC2EA3917B}"/>
                </c:ext>
              </c:extLst>
            </c:dLbl>
            <c:dLbl>
              <c:idx val="10"/>
              <c:layout>
                <c:manualLayout>
                  <c:x val="4.410143329658214E-3"/>
                  <c:y val="-6.8805109955146523E-1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2B7-4A71-9B47-17FC2EA3917B}"/>
                </c:ext>
              </c:extLst>
            </c:dLbl>
            <c:dLbl>
              <c:idx val="15"/>
              <c:layout>
                <c:manualLayout>
                  <c:x val="8.8202866593164279E-3"/>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2B7-4A71-9B47-17FC2EA3917B}"/>
                </c:ext>
              </c:extLst>
            </c:dLbl>
            <c:dLbl>
              <c:idx val="20"/>
              <c:layout>
                <c:manualLayout>
                  <c:x val="8.8202866593163464E-3"/>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D2B7-4A71-9B47-17FC2EA3917B}"/>
                </c:ext>
              </c:extLst>
            </c:dLbl>
            <c:dLbl>
              <c:idx val="25"/>
              <c:layout>
                <c:manualLayout>
                  <c:x val="8.8202866593164279E-3"/>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D2B7-4A71-9B47-17FC2EA3917B}"/>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bg1"/>
                    </a:solidFill>
                    <a:latin typeface="+mn-lt"/>
                    <a:ea typeface="+mn-ea"/>
                    <a:cs typeface="+mn-cs"/>
                  </a:defRPr>
                </a:pPr>
                <a:endParaRPr lang="en-N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Analyse!$AC$1089:$AD$1117</c:f>
              <c:multiLvlStrCache>
                <c:ptCount val="29"/>
                <c:lvl>
                  <c:pt idx="0">
                    <c:v>Bidirectioneel laden</c:v>
                  </c:pt>
                  <c:pt idx="1">
                    <c:v>Laden o.b.v. netcapaciteit</c:v>
                  </c:pt>
                  <c:pt idx="2">
                    <c:v>Laden op basis van dynamische stroomtarieven</c:v>
                  </c:pt>
                  <c:pt idx="3">
                    <c:v>Laden op duurzame opwek (zon en wind)</c:v>
                  </c:pt>
                  <c:pt idx="5">
                    <c:v>Bidirectioneel laden</c:v>
                  </c:pt>
                  <c:pt idx="6">
                    <c:v>Laden o.b.v. netcapaciteit</c:v>
                  </c:pt>
                  <c:pt idx="7">
                    <c:v>Laden op basis van dynamische stroomtarieven</c:v>
                  </c:pt>
                  <c:pt idx="8">
                    <c:v>Laden op duurzame opwek (zon en wind)</c:v>
                  </c:pt>
                  <c:pt idx="10">
                    <c:v>Bidirectioneel laden</c:v>
                  </c:pt>
                  <c:pt idx="11">
                    <c:v>Laden o.b.v. netcapaciteit</c:v>
                  </c:pt>
                  <c:pt idx="12">
                    <c:v>Laden op basis van dynamische stroomtarieven</c:v>
                  </c:pt>
                  <c:pt idx="13">
                    <c:v>Laden op duurzame opwek (zon en wind)</c:v>
                  </c:pt>
                  <c:pt idx="15">
                    <c:v>Bidirectioneel laden</c:v>
                  </c:pt>
                  <c:pt idx="16">
                    <c:v>Laden o.b.v. netcapaciteit</c:v>
                  </c:pt>
                  <c:pt idx="17">
                    <c:v>Laden op basis van dynamische stroomtarieven</c:v>
                  </c:pt>
                  <c:pt idx="18">
                    <c:v>Laden op duurzame opwek (zon en wind)</c:v>
                  </c:pt>
                  <c:pt idx="20">
                    <c:v>Bidirectioneel laden</c:v>
                  </c:pt>
                  <c:pt idx="21">
                    <c:v>Laden o.b.v. netcapaciteit</c:v>
                  </c:pt>
                  <c:pt idx="22">
                    <c:v>Laden op basis van dynamische stroomtarieven</c:v>
                  </c:pt>
                  <c:pt idx="23">
                    <c:v>Laden op duurzame opwek (zon en wind)</c:v>
                  </c:pt>
                  <c:pt idx="25">
                    <c:v>Bidirectioneel laden</c:v>
                  </c:pt>
                  <c:pt idx="26">
                    <c:v>Laden o.b.v. netcapaciteit</c:v>
                  </c:pt>
                  <c:pt idx="27">
                    <c:v>Laden op basis van dynamische stroomtarieven</c:v>
                  </c:pt>
                  <c:pt idx="28">
                    <c:v>Laden op duurzame opwek (zon en wind)</c:v>
                  </c:pt>
                </c:lvl>
                <c:lvl>
                  <c:pt idx="0">
                    <c:v>G4</c:v>
                  </c:pt>
                  <c:pt idx="5">
                    <c:v>Noord</c:v>
                  </c:pt>
                  <c:pt idx="10">
                    <c:v>Noordwest</c:v>
                  </c:pt>
                  <c:pt idx="15">
                    <c:v>Oost</c:v>
                  </c:pt>
                  <c:pt idx="20">
                    <c:v>Zuid</c:v>
                  </c:pt>
                  <c:pt idx="25">
                    <c:v>Zuidwest</c:v>
                  </c:pt>
                </c:lvl>
              </c:multiLvlStrCache>
            </c:multiLvlStrRef>
          </c:cat>
          <c:val>
            <c:numRef>
              <c:f>Analyse!$AL$1089:$AL$1117</c:f>
              <c:numCache>
                <c:formatCode>0%</c:formatCode>
                <c:ptCount val="29"/>
                <c:pt idx="0">
                  <c:v>1.4084507042253521E-2</c:v>
                </c:pt>
                <c:pt idx="1">
                  <c:v>8.4507042253521125E-2</c:v>
                </c:pt>
                <c:pt idx="2">
                  <c:v>2.8169014084507043E-2</c:v>
                </c:pt>
                <c:pt idx="3">
                  <c:v>9.8591549295774641E-2</c:v>
                </c:pt>
                <c:pt idx="5">
                  <c:v>0</c:v>
                </c:pt>
                <c:pt idx="6">
                  <c:v>6.3829787234042548E-2</c:v>
                </c:pt>
                <c:pt idx="7">
                  <c:v>3.1914893617021274E-2</c:v>
                </c:pt>
                <c:pt idx="8">
                  <c:v>5.3191489361702128E-2</c:v>
                </c:pt>
                <c:pt idx="10">
                  <c:v>2.8846153846153848E-2</c:v>
                </c:pt>
                <c:pt idx="11">
                  <c:v>9.6153846153846159E-2</c:v>
                </c:pt>
                <c:pt idx="12">
                  <c:v>5.2884615384615384E-2</c:v>
                </c:pt>
                <c:pt idx="13">
                  <c:v>8.6538461538461536E-2</c:v>
                </c:pt>
                <c:pt idx="15">
                  <c:v>2.0408163265306121E-2</c:v>
                </c:pt>
                <c:pt idx="16">
                  <c:v>9.6938775510204078E-2</c:v>
                </c:pt>
                <c:pt idx="17">
                  <c:v>7.1428571428571425E-2</c:v>
                </c:pt>
                <c:pt idx="18">
                  <c:v>0.10204081632653061</c:v>
                </c:pt>
                <c:pt idx="20">
                  <c:v>1.4851485148514851E-2</c:v>
                </c:pt>
                <c:pt idx="21">
                  <c:v>0.10396039603960396</c:v>
                </c:pt>
                <c:pt idx="22">
                  <c:v>4.9504950495049507E-2</c:v>
                </c:pt>
                <c:pt idx="23">
                  <c:v>5.4455445544554455E-2</c:v>
                </c:pt>
                <c:pt idx="25">
                  <c:v>2.0408163265306121E-2</c:v>
                </c:pt>
                <c:pt idx="26">
                  <c:v>0.10714285714285714</c:v>
                </c:pt>
                <c:pt idx="27">
                  <c:v>4.5918367346938778E-2</c:v>
                </c:pt>
                <c:pt idx="28">
                  <c:v>9.6938775510204078E-2</c:v>
                </c:pt>
              </c:numCache>
            </c:numRef>
          </c:val>
          <c:extLst>
            <c:ext xmlns:c16="http://schemas.microsoft.com/office/drawing/2014/chart" uri="{C3380CC4-5D6E-409C-BE32-E72D297353CC}">
              <c16:uniqueId val="{00000008-D2B7-4A71-9B47-17FC2EA3917B}"/>
            </c:ext>
          </c:extLst>
        </c:ser>
        <c:ser>
          <c:idx val="1"/>
          <c:order val="1"/>
          <c:tx>
            <c:strRef>
              <c:f>Analyse!$AM$1088</c:f>
              <c:strCache>
                <c:ptCount val="1"/>
                <c:pt idx="0">
                  <c:v>Wil ik gebruiken</c:v>
                </c:pt>
              </c:strCache>
            </c:strRef>
          </c:tx>
          <c:spPr>
            <a:solidFill>
              <a:srgbClr val="08B46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bg1"/>
                    </a:solidFill>
                    <a:latin typeface="+mn-lt"/>
                    <a:ea typeface="+mn-ea"/>
                    <a:cs typeface="+mn-cs"/>
                  </a:defRPr>
                </a:pPr>
                <a:endParaRPr lang="en-N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Analyse!$AC$1089:$AD$1117</c:f>
              <c:multiLvlStrCache>
                <c:ptCount val="29"/>
                <c:lvl>
                  <c:pt idx="0">
                    <c:v>Bidirectioneel laden</c:v>
                  </c:pt>
                  <c:pt idx="1">
                    <c:v>Laden o.b.v. netcapaciteit</c:v>
                  </c:pt>
                  <c:pt idx="2">
                    <c:v>Laden op basis van dynamische stroomtarieven</c:v>
                  </c:pt>
                  <c:pt idx="3">
                    <c:v>Laden op duurzame opwek (zon en wind)</c:v>
                  </c:pt>
                  <c:pt idx="5">
                    <c:v>Bidirectioneel laden</c:v>
                  </c:pt>
                  <c:pt idx="6">
                    <c:v>Laden o.b.v. netcapaciteit</c:v>
                  </c:pt>
                  <c:pt idx="7">
                    <c:v>Laden op basis van dynamische stroomtarieven</c:v>
                  </c:pt>
                  <c:pt idx="8">
                    <c:v>Laden op duurzame opwek (zon en wind)</c:v>
                  </c:pt>
                  <c:pt idx="10">
                    <c:v>Bidirectioneel laden</c:v>
                  </c:pt>
                  <c:pt idx="11">
                    <c:v>Laden o.b.v. netcapaciteit</c:v>
                  </c:pt>
                  <c:pt idx="12">
                    <c:v>Laden op basis van dynamische stroomtarieven</c:v>
                  </c:pt>
                  <c:pt idx="13">
                    <c:v>Laden op duurzame opwek (zon en wind)</c:v>
                  </c:pt>
                  <c:pt idx="15">
                    <c:v>Bidirectioneel laden</c:v>
                  </c:pt>
                  <c:pt idx="16">
                    <c:v>Laden o.b.v. netcapaciteit</c:v>
                  </c:pt>
                  <c:pt idx="17">
                    <c:v>Laden op basis van dynamische stroomtarieven</c:v>
                  </c:pt>
                  <c:pt idx="18">
                    <c:v>Laden op duurzame opwek (zon en wind)</c:v>
                  </c:pt>
                  <c:pt idx="20">
                    <c:v>Bidirectioneel laden</c:v>
                  </c:pt>
                  <c:pt idx="21">
                    <c:v>Laden o.b.v. netcapaciteit</c:v>
                  </c:pt>
                  <c:pt idx="22">
                    <c:v>Laden op basis van dynamische stroomtarieven</c:v>
                  </c:pt>
                  <c:pt idx="23">
                    <c:v>Laden op duurzame opwek (zon en wind)</c:v>
                  </c:pt>
                  <c:pt idx="25">
                    <c:v>Bidirectioneel laden</c:v>
                  </c:pt>
                  <c:pt idx="26">
                    <c:v>Laden o.b.v. netcapaciteit</c:v>
                  </c:pt>
                  <c:pt idx="27">
                    <c:v>Laden op basis van dynamische stroomtarieven</c:v>
                  </c:pt>
                  <c:pt idx="28">
                    <c:v>Laden op duurzame opwek (zon en wind)</c:v>
                  </c:pt>
                </c:lvl>
                <c:lvl>
                  <c:pt idx="0">
                    <c:v>G4</c:v>
                  </c:pt>
                  <c:pt idx="5">
                    <c:v>Noord</c:v>
                  </c:pt>
                  <c:pt idx="10">
                    <c:v>Noordwest</c:v>
                  </c:pt>
                  <c:pt idx="15">
                    <c:v>Oost</c:v>
                  </c:pt>
                  <c:pt idx="20">
                    <c:v>Zuid</c:v>
                  </c:pt>
                  <c:pt idx="25">
                    <c:v>Zuidwest</c:v>
                  </c:pt>
                </c:lvl>
              </c:multiLvlStrCache>
            </c:multiLvlStrRef>
          </c:cat>
          <c:val>
            <c:numRef>
              <c:f>Analyse!$AM$1089:$AM$1117</c:f>
              <c:numCache>
                <c:formatCode>0%</c:formatCode>
                <c:ptCount val="29"/>
                <c:pt idx="0">
                  <c:v>0.26760563380281688</c:v>
                </c:pt>
                <c:pt idx="1">
                  <c:v>0.3380281690140845</c:v>
                </c:pt>
                <c:pt idx="2">
                  <c:v>0.36619718309859156</c:v>
                </c:pt>
                <c:pt idx="3">
                  <c:v>0.30985915492957744</c:v>
                </c:pt>
                <c:pt idx="5">
                  <c:v>8.5106382978723402E-2</c:v>
                </c:pt>
                <c:pt idx="6">
                  <c:v>0.24468085106382978</c:v>
                </c:pt>
                <c:pt idx="7">
                  <c:v>0.24468085106382978</c:v>
                </c:pt>
                <c:pt idx="8">
                  <c:v>0.25531914893617019</c:v>
                </c:pt>
                <c:pt idx="10">
                  <c:v>0.16346153846153846</c:v>
                </c:pt>
                <c:pt idx="11">
                  <c:v>0.25961538461538464</c:v>
                </c:pt>
                <c:pt idx="12">
                  <c:v>0.26442307692307693</c:v>
                </c:pt>
                <c:pt idx="13">
                  <c:v>0.25</c:v>
                </c:pt>
                <c:pt idx="15">
                  <c:v>0.13775510204081631</c:v>
                </c:pt>
                <c:pt idx="16">
                  <c:v>0.23469387755102042</c:v>
                </c:pt>
                <c:pt idx="17">
                  <c:v>0.20918367346938777</c:v>
                </c:pt>
                <c:pt idx="18">
                  <c:v>0.22448979591836735</c:v>
                </c:pt>
                <c:pt idx="20">
                  <c:v>0.17326732673267325</c:v>
                </c:pt>
                <c:pt idx="21">
                  <c:v>0.18811881188118812</c:v>
                </c:pt>
                <c:pt idx="22">
                  <c:v>0.19306930693069307</c:v>
                </c:pt>
                <c:pt idx="23">
                  <c:v>0.20297029702970298</c:v>
                </c:pt>
                <c:pt idx="25">
                  <c:v>0.12755102040816327</c:v>
                </c:pt>
                <c:pt idx="26">
                  <c:v>0.19387755102040816</c:v>
                </c:pt>
                <c:pt idx="27">
                  <c:v>0.18367346938775511</c:v>
                </c:pt>
                <c:pt idx="28">
                  <c:v>0.21428571428571427</c:v>
                </c:pt>
              </c:numCache>
            </c:numRef>
          </c:val>
          <c:extLst>
            <c:ext xmlns:c16="http://schemas.microsoft.com/office/drawing/2014/chart" uri="{C3380CC4-5D6E-409C-BE32-E72D297353CC}">
              <c16:uniqueId val="{00000009-D2B7-4A71-9B47-17FC2EA3917B}"/>
            </c:ext>
          </c:extLst>
        </c:ser>
        <c:ser>
          <c:idx val="2"/>
          <c:order val="2"/>
          <c:tx>
            <c:strRef>
              <c:f>Analyse!$AN$1088</c:f>
              <c:strCache>
                <c:ptCount val="1"/>
                <c:pt idx="0">
                  <c:v>Niet</c:v>
                </c:pt>
              </c:strCache>
            </c:strRef>
          </c:tx>
          <c:spPr>
            <a:solidFill>
              <a:srgbClr val="C9C74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rgbClr val="2C307E"/>
                    </a:solidFill>
                    <a:latin typeface="+mn-lt"/>
                    <a:ea typeface="+mn-ea"/>
                    <a:cs typeface="+mn-cs"/>
                  </a:defRPr>
                </a:pPr>
                <a:endParaRPr lang="en-N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Analyse!$AC$1089:$AD$1117</c:f>
              <c:multiLvlStrCache>
                <c:ptCount val="29"/>
                <c:lvl>
                  <c:pt idx="0">
                    <c:v>Bidirectioneel laden</c:v>
                  </c:pt>
                  <c:pt idx="1">
                    <c:v>Laden o.b.v. netcapaciteit</c:v>
                  </c:pt>
                  <c:pt idx="2">
                    <c:v>Laden op basis van dynamische stroomtarieven</c:v>
                  </c:pt>
                  <c:pt idx="3">
                    <c:v>Laden op duurzame opwek (zon en wind)</c:v>
                  </c:pt>
                  <c:pt idx="5">
                    <c:v>Bidirectioneel laden</c:v>
                  </c:pt>
                  <c:pt idx="6">
                    <c:v>Laden o.b.v. netcapaciteit</c:v>
                  </c:pt>
                  <c:pt idx="7">
                    <c:v>Laden op basis van dynamische stroomtarieven</c:v>
                  </c:pt>
                  <c:pt idx="8">
                    <c:v>Laden op duurzame opwek (zon en wind)</c:v>
                  </c:pt>
                  <c:pt idx="10">
                    <c:v>Bidirectioneel laden</c:v>
                  </c:pt>
                  <c:pt idx="11">
                    <c:v>Laden o.b.v. netcapaciteit</c:v>
                  </c:pt>
                  <c:pt idx="12">
                    <c:v>Laden op basis van dynamische stroomtarieven</c:v>
                  </c:pt>
                  <c:pt idx="13">
                    <c:v>Laden op duurzame opwek (zon en wind)</c:v>
                  </c:pt>
                  <c:pt idx="15">
                    <c:v>Bidirectioneel laden</c:v>
                  </c:pt>
                  <c:pt idx="16">
                    <c:v>Laden o.b.v. netcapaciteit</c:v>
                  </c:pt>
                  <c:pt idx="17">
                    <c:v>Laden op basis van dynamische stroomtarieven</c:v>
                  </c:pt>
                  <c:pt idx="18">
                    <c:v>Laden op duurzame opwek (zon en wind)</c:v>
                  </c:pt>
                  <c:pt idx="20">
                    <c:v>Bidirectioneel laden</c:v>
                  </c:pt>
                  <c:pt idx="21">
                    <c:v>Laden o.b.v. netcapaciteit</c:v>
                  </c:pt>
                  <c:pt idx="22">
                    <c:v>Laden op basis van dynamische stroomtarieven</c:v>
                  </c:pt>
                  <c:pt idx="23">
                    <c:v>Laden op duurzame opwek (zon en wind)</c:v>
                  </c:pt>
                  <c:pt idx="25">
                    <c:v>Bidirectioneel laden</c:v>
                  </c:pt>
                  <c:pt idx="26">
                    <c:v>Laden o.b.v. netcapaciteit</c:v>
                  </c:pt>
                  <c:pt idx="27">
                    <c:v>Laden op basis van dynamische stroomtarieven</c:v>
                  </c:pt>
                  <c:pt idx="28">
                    <c:v>Laden op duurzame opwek (zon en wind)</c:v>
                  </c:pt>
                </c:lvl>
                <c:lvl>
                  <c:pt idx="0">
                    <c:v>G4</c:v>
                  </c:pt>
                  <c:pt idx="5">
                    <c:v>Noord</c:v>
                  </c:pt>
                  <c:pt idx="10">
                    <c:v>Noordwest</c:v>
                  </c:pt>
                  <c:pt idx="15">
                    <c:v>Oost</c:v>
                  </c:pt>
                  <c:pt idx="20">
                    <c:v>Zuid</c:v>
                  </c:pt>
                  <c:pt idx="25">
                    <c:v>Zuidwest</c:v>
                  </c:pt>
                </c:lvl>
              </c:multiLvlStrCache>
            </c:multiLvlStrRef>
          </c:cat>
          <c:val>
            <c:numRef>
              <c:f>Analyse!$AN$1089:$AN$1117</c:f>
              <c:numCache>
                <c:formatCode>0%</c:formatCode>
                <c:ptCount val="29"/>
                <c:pt idx="0">
                  <c:v>0.71830985915492962</c:v>
                </c:pt>
                <c:pt idx="1">
                  <c:v>0.57746478873239437</c:v>
                </c:pt>
                <c:pt idx="2">
                  <c:v>0.60563380281690149</c:v>
                </c:pt>
                <c:pt idx="3">
                  <c:v>0.59154929577464788</c:v>
                </c:pt>
                <c:pt idx="5">
                  <c:v>0.91489361702127658</c:v>
                </c:pt>
                <c:pt idx="6">
                  <c:v>0.69148936170212771</c:v>
                </c:pt>
                <c:pt idx="7">
                  <c:v>0.72340425531914898</c:v>
                </c:pt>
                <c:pt idx="8">
                  <c:v>0.69148936170212771</c:v>
                </c:pt>
                <c:pt idx="10">
                  <c:v>0.80769230769230771</c:v>
                </c:pt>
                <c:pt idx="11">
                  <c:v>0.64423076923076927</c:v>
                </c:pt>
                <c:pt idx="12">
                  <c:v>0.68269230769230771</c:v>
                </c:pt>
                <c:pt idx="13">
                  <c:v>0.66346153846153844</c:v>
                </c:pt>
                <c:pt idx="15">
                  <c:v>0.84183673469387754</c:v>
                </c:pt>
                <c:pt idx="16">
                  <c:v>0.66836734693877542</c:v>
                </c:pt>
                <c:pt idx="17">
                  <c:v>0.71938775510204089</c:v>
                </c:pt>
                <c:pt idx="18">
                  <c:v>0.67346938775510201</c:v>
                </c:pt>
                <c:pt idx="20">
                  <c:v>0.81188118811881194</c:v>
                </c:pt>
                <c:pt idx="21">
                  <c:v>0.70792079207920799</c:v>
                </c:pt>
                <c:pt idx="22">
                  <c:v>0.75742574257425743</c:v>
                </c:pt>
                <c:pt idx="23">
                  <c:v>0.74257425742574257</c:v>
                </c:pt>
                <c:pt idx="25">
                  <c:v>0.85204081632653061</c:v>
                </c:pt>
                <c:pt idx="26">
                  <c:v>0.69897959183673475</c:v>
                </c:pt>
                <c:pt idx="27">
                  <c:v>0.77040816326530615</c:v>
                </c:pt>
                <c:pt idx="28">
                  <c:v>0.68877551020408156</c:v>
                </c:pt>
              </c:numCache>
            </c:numRef>
          </c:val>
          <c:extLst>
            <c:ext xmlns:c16="http://schemas.microsoft.com/office/drawing/2014/chart" uri="{C3380CC4-5D6E-409C-BE32-E72D297353CC}">
              <c16:uniqueId val="{0000000A-D2B7-4A71-9B47-17FC2EA3917B}"/>
            </c:ext>
          </c:extLst>
        </c:ser>
        <c:dLbls>
          <c:dLblPos val="ctr"/>
          <c:showLegendKey val="0"/>
          <c:showVal val="1"/>
          <c:showCatName val="0"/>
          <c:showSerName val="0"/>
          <c:showPercent val="0"/>
          <c:showBubbleSize val="0"/>
        </c:dLbls>
        <c:gapWidth val="150"/>
        <c:overlap val="100"/>
        <c:axId val="531688943"/>
        <c:axId val="531690383"/>
      </c:barChart>
      <c:catAx>
        <c:axId val="531688943"/>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2C307E"/>
                </a:solidFill>
                <a:latin typeface="+mn-lt"/>
                <a:ea typeface="+mn-ea"/>
                <a:cs typeface="+mn-cs"/>
              </a:defRPr>
            </a:pPr>
            <a:endParaRPr lang="en-NL"/>
          </a:p>
        </c:txPr>
        <c:crossAx val="531690383"/>
        <c:crosses val="autoZero"/>
        <c:auto val="1"/>
        <c:lblAlgn val="ctr"/>
        <c:lblOffset val="100"/>
        <c:noMultiLvlLbl val="0"/>
      </c:catAx>
      <c:valAx>
        <c:axId val="531690383"/>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2C307E"/>
                </a:solidFill>
                <a:latin typeface="+mn-lt"/>
                <a:ea typeface="+mn-ea"/>
                <a:cs typeface="+mn-cs"/>
              </a:defRPr>
            </a:pPr>
            <a:endParaRPr lang="en-NL"/>
          </a:p>
        </c:txPr>
        <c:crossAx val="53168894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rgbClr val="2C307E"/>
              </a:solidFill>
              <a:latin typeface="+mn-lt"/>
              <a:ea typeface="+mn-ea"/>
              <a:cs typeface="+mn-cs"/>
            </a:defRPr>
          </a:pPr>
          <a:endParaRPr lang="en-NL"/>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a:solidFill>
            <a:srgbClr val="2C307E"/>
          </a:solidFill>
        </a:defRPr>
      </a:pPr>
      <a:endParaRPr lang="en-NL"/>
    </a:p>
  </c:txPr>
  <c:externalData r:id="rId3">
    <c:autoUpdate val="0"/>
  </c:externalData>
</c:chartSpace>
</file>

<file path=word/charts/chart1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rgbClr val="2C307E"/>
                </a:solidFill>
                <a:latin typeface="+mn-lt"/>
                <a:ea typeface="+mn-ea"/>
                <a:cs typeface="+mn-cs"/>
              </a:defRPr>
            </a:pPr>
            <a:r>
              <a:rPr lang="nl-NL" sz="1100">
                <a:solidFill>
                  <a:srgbClr val="2C307E"/>
                </a:solidFill>
              </a:rPr>
              <a:t>Hoe</a:t>
            </a:r>
            <a:r>
              <a:rPr lang="nl-NL" sz="1100" baseline="0">
                <a:solidFill>
                  <a:srgbClr val="2C307E"/>
                </a:solidFill>
              </a:rPr>
              <a:t> waardeer je de volgende slim laden opties aan de openbare laadpaal? [N=906]</a:t>
            </a:r>
            <a:endParaRPr lang="nl-NL" sz="1100">
              <a:solidFill>
                <a:srgbClr val="2C307E"/>
              </a:solidFill>
            </a:endParaRPr>
          </a:p>
        </c:rich>
      </c:tx>
      <c:overlay val="0"/>
      <c:spPr>
        <a:noFill/>
        <a:ln>
          <a:noFill/>
        </a:ln>
        <a:effectLst/>
      </c:spPr>
      <c:txPr>
        <a:bodyPr rot="0" spcFirstLastPara="1" vertOverflow="ellipsis" vert="horz" wrap="square" anchor="ctr" anchorCtr="1"/>
        <a:lstStyle/>
        <a:p>
          <a:pPr>
            <a:defRPr sz="1100" b="0" i="0" u="none" strike="noStrike" kern="1200" spc="0" baseline="0">
              <a:solidFill>
                <a:srgbClr val="2C307E"/>
              </a:solidFill>
              <a:latin typeface="+mn-lt"/>
              <a:ea typeface="+mn-ea"/>
              <a:cs typeface="+mn-cs"/>
            </a:defRPr>
          </a:pPr>
          <a:endParaRPr lang="nl-NL"/>
        </a:p>
      </c:txPr>
    </c:title>
    <c:autoTitleDeleted val="0"/>
    <c:plotArea>
      <c:layout/>
      <c:barChart>
        <c:barDir val="col"/>
        <c:grouping val="percentStacked"/>
        <c:varyColors val="0"/>
        <c:ser>
          <c:idx val="0"/>
          <c:order val="0"/>
          <c:tx>
            <c:strRef>
              <c:f>Analyse!$L$1054</c:f>
              <c:strCache>
                <c:ptCount val="1"/>
                <c:pt idx="0">
                  <c:v>Zeer negatief</c:v>
                </c:pt>
              </c:strCache>
            </c:strRef>
          </c:tx>
          <c:spPr>
            <a:solidFill>
              <a:srgbClr val="2C307E"/>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bg1"/>
                    </a:solidFill>
                    <a:latin typeface="+mn-lt"/>
                    <a:ea typeface="+mn-ea"/>
                    <a:cs typeface="+mn-cs"/>
                  </a:defRPr>
                </a:pPr>
                <a:endParaRPr lang="en-N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Analyse!$J$1055:$K$1066</c:f>
              <c:multiLvlStrCache>
                <c:ptCount val="12"/>
                <c:lvl>
                  <c:pt idx="0">
                    <c:v>G4</c:v>
                  </c:pt>
                  <c:pt idx="1">
                    <c:v>Noord</c:v>
                  </c:pt>
                  <c:pt idx="2">
                    <c:v>Noordwest</c:v>
                  </c:pt>
                  <c:pt idx="3">
                    <c:v>Oost</c:v>
                  </c:pt>
                  <c:pt idx="4">
                    <c:v>Zuid</c:v>
                  </c:pt>
                  <c:pt idx="5">
                    <c:v>Zuidwest</c:v>
                  </c:pt>
                  <c:pt idx="6">
                    <c:v>G4</c:v>
                  </c:pt>
                  <c:pt idx="7">
                    <c:v>Noord</c:v>
                  </c:pt>
                  <c:pt idx="8">
                    <c:v>Noordwest</c:v>
                  </c:pt>
                  <c:pt idx="9">
                    <c:v>Oost</c:v>
                  </c:pt>
                  <c:pt idx="10">
                    <c:v>Zuid</c:v>
                  </c:pt>
                  <c:pt idx="11">
                    <c:v>Zuidwest</c:v>
                  </c:pt>
                </c:lvl>
                <c:lvl>
                  <c:pt idx="0">
                    <c:v>Gelijkblijvend laadtarief, maar variabele laadsnelheid </c:v>
                  </c:pt>
                  <c:pt idx="6">
                    <c:v>Laag laadtarief tijdens daluren/hoog tarief in spits, maar gelijkblijvende Laadsnelheid</c:v>
                  </c:pt>
                </c:lvl>
              </c:multiLvlStrCache>
            </c:multiLvlStrRef>
          </c:cat>
          <c:val>
            <c:numRef>
              <c:f>Analyse!$L$1055:$L$1066</c:f>
              <c:numCache>
                <c:formatCode>0%</c:formatCode>
                <c:ptCount val="12"/>
                <c:pt idx="0">
                  <c:v>0.11</c:v>
                </c:pt>
                <c:pt idx="1">
                  <c:v>6.1728395061728392E-2</c:v>
                </c:pt>
                <c:pt idx="2">
                  <c:v>0.13089005235602094</c:v>
                </c:pt>
                <c:pt idx="3">
                  <c:v>0.11949685534591195</c:v>
                </c:pt>
                <c:pt idx="4">
                  <c:v>0.10695187165775401</c:v>
                </c:pt>
                <c:pt idx="5">
                  <c:v>0.11229946524064172</c:v>
                </c:pt>
                <c:pt idx="6">
                  <c:v>0.12871287128712872</c:v>
                </c:pt>
                <c:pt idx="7">
                  <c:v>4.9382716049382713E-2</c:v>
                </c:pt>
                <c:pt idx="8">
                  <c:v>4.2105263157894736E-2</c:v>
                </c:pt>
                <c:pt idx="9">
                  <c:v>3.1446540880503145E-2</c:v>
                </c:pt>
                <c:pt idx="10">
                  <c:v>3.7234042553191488E-2</c:v>
                </c:pt>
                <c:pt idx="11">
                  <c:v>5.3475935828877004E-2</c:v>
                </c:pt>
              </c:numCache>
            </c:numRef>
          </c:val>
          <c:extLst>
            <c:ext xmlns:c16="http://schemas.microsoft.com/office/drawing/2014/chart" uri="{C3380CC4-5D6E-409C-BE32-E72D297353CC}">
              <c16:uniqueId val="{00000000-368F-4BD5-8D71-FCF78FBC396B}"/>
            </c:ext>
          </c:extLst>
        </c:ser>
        <c:ser>
          <c:idx val="1"/>
          <c:order val="1"/>
          <c:tx>
            <c:strRef>
              <c:f>Analyse!$M$1054</c:f>
              <c:strCache>
                <c:ptCount val="1"/>
                <c:pt idx="0">
                  <c:v>Negatief</c:v>
                </c:pt>
              </c:strCache>
            </c:strRef>
          </c:tx>
          <c:spPr>
            <a:solidFill>
              <a:srgbClr val="08B46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bg1"/>
                    </a:solidFill>
                    <a:latin typeface="+mn-lt"/>
                    <a:ea typeface="+mn-ea"/>
                    <a:cs typeface="+mn-cs"/>
                  </a:defRPr>
                </a:pPr>
                <a:endParaRPr lang="en-N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Analyse!$J$1055:$K$1066</c:f>
              <c:multiLvlStrCache>
                <c:ptCount val="12"/>
                <c:lvl>
                  <c:pt idx="0">
                    <c:v>G4</c:v>
                  </c:pt>
                  <c:pt idx="1">
                    <c:v>Noord</c:v>
                  </c:pt>
                  <c:pt idx="2">
                    <c:v>Noordwest</c:v>
                  </c:pt>
                  <c:pt idx="3">
                    <c:v>Oost</c:v>
                  </c:pt>
                  <c:pt idx="4">
                    <c:v>Zuid</c:v>
                  </c:pt>
                  <c:pt idx="5">
                    <c:v>Zuidwest</c:v>
                  </c:pt>
                  <c:pt idx="6">
                    <c:v>G4</c:v>
                  </c:pt>
                  <c:pt idx="7">
                    <c:v>Noord</c:v>
                  </c:pt>
                  <c:pt idx="8">
                    <c:v>Noordwest</c:v>
                  </c:pt>
                  <c:pt idx="9">
                    <c:v>Oost</c:v>
                  </c:pt>
                  <c:pt idx="10">
                    <c:v>Zuid</c:v>
                  </c:pt>
                  <c:pt idx="11">
                    <c:v>Zuidwest</c:v>
                  </c:pt>
                </c:lvl>
                <c:lvl>
                  <c:pt idx="0">
                    <c:v>Gelijkblijvend laadtarief, maar variabele laadsnelheid </c:v>
                  </c:pt>
                  <c:pt idx="6">
                    <c:v>Laag laadtarief tijdens daluren/hoog tarief in spits, maar gelijkblijvende Laadsnelheid</c:v>
                  </c:pt>
                </c:lvl>
              </c:multiLvlStrCache>
            </c:multiLvlStrRef>
          </c:cat>
          <c:val>
            <c:numRef>
              <c:f>Analyse!$M$1055:$M$1066</c:f>
              <c:numCache>
                <c:formatCode>0%</c:formatCode>
                <c:ptCount val="12"/>
                <c:pt idx="0">
                  <c:v>0.26</c:v>
                </c:pt>
                <c:pt idx="1">
                  <c:v>0.30864197530864196</c:v>
                </c:pt>
                <c:pt idx="2">
                  <c:v>0.25654450261780104</c:v>
                </c:pt>
                <c:pt idx="3">
                  <c:v>0.21383647798742139</c:v>
                </c:pt>
                <c:pt idx="4">
                  <c:v>0.21925133689839571</c:v>
                </c:pt>
                <c:pt idx="5">
                  <c:v>0.19786096256684493</c:v>
                </c:pt>
                <c:pt idx="6">
                  <c:v>9.9009900990099015E-2</c:v>
                </c:pt>
                <c:pt idx="7">
                  <c:v>3.7037037037037035E-2</c:v>
                </c:pt>
                <c:pt idx="8">
                  <c:v>7.3684210526315783E-2</c:v>
                </c:pt>
                <c:pt idx="9">
                  <c:v>0.11949685534591195</c:v>
                </c:pt>
                <c:pt idx="10">
                  <c:v>6.9148936170212769E-2</c:v>
                </c:pt>
                <c:pt idx="11">
                  <c:v>5.3475935828877004E-2</c:v>
                </c:pt>
              </c:numCache>
            </c:numRef>
          </c:val>
          <c:extLst>
            <c:ext xmlns:c16="http://schemas.microsoft.com/office/drawing/2014/chart" uri="{C3380CC4-5D6E-409C-BE32-E72D297353CC}">
              <c16:uniqueId val="{00000001-368F-4BD5-8D71-FCF78FBC396B}"/>
            </c:ext>
          </c:extLst>
        </c:ser>
        <c:ser>
          <c:idx val="2"/>
          <c:order val="2"/>
          <c:tx>
            <c:strRef>
              <c:f>Analyse!$N$1054</c:f>
              <c:strCache>
                <c:ptCount val="1"/>
                <c:pt idx="0">
                  <c:v>Neutraal</c:v>
                </c:pt>
              </c:strCache>
            </c:strRef>
          </c:tx>
          <c:spPr>
            <a:solidFill>
              <a:srgbClr val="C9C74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bg1"/>
                    </a:solidFill>
                    <a:latin typeface="+mn-lt"/>
                    <a:ea typeface="+mn-ea"/>
                    <a:cs typeface="+mn-cs"/>
                  </a:defRPr>
                </a:pPr>
                <a:endParaRPr lang="en-N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Analyse!$J$1055:$K$1066</c:f>
              <c:multiLvlStrCache>
                <c:ptCount val="12"/>
                <c:lvl>
                  <c:pt idx="0">
                    <c:v>G4</c:v>
                  </c:pt>
                  <c:pt idx="1">
                    <c:v>Noord</c:v>
                  </c:pt>
                  <c:pt idx="2">
                    <c:v>Noordwest</c:v>
                  </c:pt>
                  <c:pt idx="3">
                    <c:v>Oost</c:v>
                  </c:pt>
                  <c:pt idx="4">
                    <c:v>Zuid</c:v>
                  </c:pt>
                  <c:pt idx="5">
                    <c:v>Zuidwest</c:v>
                  </c:pt>
                  <c:pt idx="6">
                    <c:v>G4</c:v>
                  </c:pt>
                  <c:pt idx="7">
                    <c:v>Noord</c:v>
                  </c:pt>
                  <c:pt idx="8">
                    <c:v>Noordwest</c:v>
                  </c:pt>
                  <c:pt idx="9">
                    <c:v>Oost</c:v>
                  </c:pt>
                  <c:pt idx="10">
                    <c:v>Zuid</c:v>
                  </c:pt>
                  <c:pt idx="11">
                    <c:v>Zuidwest</c:v>
                  </c:pt>
                </c:lvl>
                <c:lvl>
                  <c:pt idx="0">
                    <c:v>Gelijkblijvend laadtarief, maar variabele laadsnelheid </c:v>
                  </c:pt>
                  <c:pt idx="6">
                    <c:v>Laag laadtarief tijdens daluren/hoog tarief in spits, maar gelijkblijvende Laadsnelheid</c:v>
                  </c:pt>
                </c:lvl>
              </c:multiLvlStrCache>
            </c:multiLvlStrRef>
          </c:cat>
          <c:val>
            <c:numRef>
              <c:f>Analyse!$N$1055:$N$1066</c:f>
              <c:numCache>
                <c:formatCode>0%</c:formatCode>
                <c:ptCount val="12"/>
                <c:pt idx="0">
                  <c:v>0.33</c:v>
                </c:pt>
                <c:pt idx="1">
                  <c:v>0.30864197530864196</c:v>
                </c:pt>
                <c:pt idx="2">
                  <c:v>0.35602094240837695</c:v>
                </c:pt>
                <c:pt idx="3">
                  <c:v>0.33333333333333331</c:v>
                </c:pt>
                <c:pt idx="4">
                  <c:v>0.38502673796791442</c:v>
                </c:pt>
                <c:pt idx="5">
                  <c:v>0.35294117647058826</c:v>
                </c:pt>
                <c:pt idx="6">
                  <c:v>0.22772277227722773</c:v>
                </c:pt>
                <c:pt idx="7">
                  <c:v>0.2839506172839506</c:v>
                </c:pt>
                <c:pt idx="8">
                  <c:v>0.26842105263157895</c:v>
                </c:pt>
                <c:pt idx="9">
                  <c:v>0.2389937106918239</c:v>
                </c:pt>
                <c:pt idx="10">
                  <c:v>0.23936170212765959</c:v>
                </c:pt>
                <c:pt idx="11">
                  <c:v>0.21925133689839571</c:v>
                </c:pt>
              </c:numCache>
            </c:numRef>
          </c:val>
          <c:extLst>
            <c:ext xmlns:c16="http://schemas.microsoft.com/office/drawing/2014/chart" uri="{C3380CC4-5D6E-409C-BE32-E72D297353CC}">
              <c16:uniqueId val="{00000002-368F-4BD5-8D71-FCF78FBC396B}"/>
            </c:ext>
          </c:extLst>
        </c:ser>
        <c:ser>
          <c:idx val="3"/>
          <c:order val="3"/>
          <c:tx>
            <c:strRef>
              <c:f>Analyse!$O$1054</c:f>
              <c:strCache>
                <c:ptCount val="1"/>
                <c:pt idx="0">
                  <c:v>Positief</c:v>
                </c:pt>
              </c:strCache>
            </c:strRef>
          </c:tx>
          <c:spPr>
            <a:solidFill>
              <a:srgbClr val="4EAFAA"/>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bg1"/>
                    </a:solidFill>
                    <a:latin typeface="+mn-lt"/>
                    <a:ea typeface="+mn-ea"/>
                    <a:cs typeface="+mn-cs"/>
                  </a:defRPr>
                </a:pPr>
                <a:endParaRPr lang="en-N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Analyse!$J$1055:$K$1066</c:f>
              <c:multiLvlStrCache>
                <c:ptCount val="12"/>
                <c:lvl>
                  <c:pt idx="0">
                    <c:v>G4</c:v>
                  </c:pt>
                  <c:pt idx="1">
                    <c:v>Noord</c:v>
                  </c:pt>
                  <c:pt idx="2">
                    <c:v>Noordwest</c:v>
                  </c:pt>
                  <c:pt idx="3">
                    <c:v>Oost</c:v>
                  </c:pt>
                  <c:pt idx="4">
                    <c:v>Zuid</c:v>
                  </c:pt>
                  <c:pt idx="5">
                    <c:v>Zuidwest</c:v>
                  </c:pt>
                  <c:pt idx="6">
                    <c:v>G4</c:v>
                  </c:pt>
                  <c:pt idx="7">
                    <c:v>Noord</c:v>
                  </c:pt>
                  <c:pt idx="8">
                    <c:v>Noordwest</c:v>
                  </c:pt>
                  <c:pt idx="9">
                    <c:v>Oost</c:v>
                  </c:pt>
                  <c:pt idx="10">
                    <c:v>Zuid</c:v>
                  </c:pt>
                  <c:pt idx="11">
                    <c:v>Zuidwest</c:v>
                  </c:pt>
                </c:lvl>
                <c:lvl>
                  <c:pt idx="0">
                    <c:v>Gelijkblijvend laadtarief, maar variabele laadsnelheid </c:v>
                  </c:pt>
                  <c:pt idx="6">
                    <c:v>Laag laadtarief tijdens daluren/hoog tarief in spits, maar gelijkblijvende Laadsnelheid</c:v>
                  </c:pt>
                </c:lvl>
              </c:multiLvlStrCache>
            </c:multiLvlStrRef>
          </c:cat>
          <c:val>
            <c:numRef>
              <c:f>Analyse!$O$1055:$O$1066</c:f>
              <c:numCache>
                <c:formatCode>0%</c:formatCode>
                <c:ptCount val="12"/>
                <c:pt idx="0">
                  <c:v>0.2</c:v>
                </c:pt>
                <c:pt idx="1">
                  <c:v>0.27160493827160492</c:v>
                </c:pt>
                <c:pt idx="2">
                  <c:v>0.19895287958115182</c:v>
                </c:pt>
                <c:pt idx="3">
                  <c:v>0.2389937106918239</c:v>
                </c:pt>
                <c:pt idx="4">
                  <c:v>0.23529411764705882</c:v>
                </c:pt>
                <c:pt idx="5">
                  <c:v>0.25133689839572193</c:v>
                </c:pt>
                <c:pt idx="6">
                  <c:v>0.25742574257425743</c:v>
                </c:pt>
                <c:pt idx="7">
                  <c:v>0.35802469135802467</c:v>
                </c:pt>
                <c:pt idx="8">
                  <c:v>0.37368421052631579</c:v>
                </c:pt>
                <c:pt idx="9">
                  <c:v>0.37735849056603776</c:v>
                </c:pt>
                <c:pt idx="10">
                  <c:v>0.38297872340425532</c:v>
                </c:pt>
                <c:pt idx="11">
                  <c:v>0.44919786096256686</c:v>
                </c:pt>
              </c:numCache>
            </c:numRef>
          </c:val>
          <c:extLst>
            <c:ext xmlns:c16="http://schemas.microsoft.com/office/drawing/2014/chart" uri="{C3380CC4-5D6E-409C-BE32-E72D297353CC}">
              <c16:uniqueId val="{00000003-368F-4BD5-8D71-FCF78FBC396B}"/>
            </c:ext>
          </c:extLst>
        </c:ser>
        <c:ser>
          <c:idx val="4"/>
          <c:order val="4"/>
          <c:tx>
            <c:strRef>
              <c:f>Analyse!$P$1054</c:f>
              <c:strCache>
                <c:ptCount val="1"/>
                <c:pt idx="0">
                  <c:v>Zeer positief</c:v>
                </c:pt>
              </c:strCache>
            </c:strRef>
          </c:tx>
          <c:spPr>
            <a:solidFill>
              <a:srgbClr val="BAD6ED"/>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rgbClr val="2C307E"/>
                    </a:solidFill>
                    <a:latin typeface="+mn-lt"/>
                    <a:ea typeface="+mn-ea"/>
                    <a:cs typeface="+mn-cs"/>
                  </a:defRPr>
                </a:pPr>
                <a:endParaRPr lang="en-N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Analyse!$J$1055:$K$1066</c:f>
              <c:multiLvlStrCache>
                <c:ptCount val="12"/>
                <c:lvl>
                  <c:pt idx="0">
                    <c:v>G4</c:v>
                  </c:pt>
                  <c:pt idx="1">
                    <c:v>Noord</c:v>
                  </c:pt>
                  <c:pt idx="2">
                    <c:v>Noordwest</c:v>
                  </c:pt>
                  <c:pt idx="3">
                    <c:v>Oost</c:v>
                  </c:pt>
                  <c:pt idx="4">
                    <c:v>Zuid</c:v>
                  </c:pt>
                  <c:pt idx="5">
                    <c:v>Zuidwest</c:v>
                  </c:pt>
                  <c:pt idx="6">
                    <c:v>G4</c:v>
                  </c:pt>
                  <c:pt idx="7">
                    <c:v>Noord</c:v>
                  </c:pt>
                  <c:pt idx="8">
                    <c:v>Noordwest</c:v>
                  </c:pt>
                  <c:pt idx="9">
                    <c:v>Oost</c:v>
                  </c:pt>
                  <c:pt idx="10">
                    <c:v>Zuid</c:v>
                  </c:pt>
                  <c:pt idx="11">
                    <c:v>Zuidwest</c:v>
                  </c:pt>
                </c:lvl>
                <c:lvl>
                  <c:pt idx="0">
                    <c:v>Gelijkblijvend laadtarief, maar variabele laadsnelheid </c:v>
                  </c:pt>
                  <c:pt idx="6">
                    <c:v>Laag laadtarief tijdens daluren/hoog tarief in spits, maar gelijkblijvende Laadsnelheid</c:v>
                  </c:pt>
                </c:lvl>
              </c:multiLvlStrCache>
            </c:multiLvlStrRef>
          </c:cat>
          <c:val>
            <c:numRef>
              <c:f>Analyse!$P$1055:$P$1066</c:f>
              <c:numCache>
                <c:formatCode>0%</c:formatCode>
                <c:ptCount val="12"/>
                <c:pt idx="0">
                  <c:v>0.1</c:v>
                </c:pt>
                <c:pt idx="1">
                  <c:v>4.9382716049382713E-2</c:v>
                </c:pt>
                <c:pt idx="2">
                  <c:v>5.7591623036649213E-2</c:v>
                </c:pt>
                <c:pt idx="3">
                  <c:v>9.4339622641509441E-2</c:v>
                </c:pt>
                <c:pt idx="4">
                  <c:v>5.3475935828877004E-2</c:v>
                </c:pt>
                <c:pt idx="5">
                  <c:v>8.5561497326203204E-2</c:v>
                </c:pt>
                <c:pt idx="6">
                  <c:v>0.28712871287128711</c:v>
                </c:pt>
                <c:pt idx="7">
                  <c:v>0.27160493827160492</c:v>
                </c:pt>
                <c:pt idx="8">
                  <c:v>0.24210526315789474</c:v>
                </c:pt>
                <c:pt idx="9">
                  <c:v>0.23270440251572327</c:v>
                </c:pt>
                <c:pt idx="10">
                  <c:v>0.27127659574468083</c:v>
                </c:pt>
                <c:pt idx="11">
                  <c:v>0.22459893048128343</c:v>
                </c:pt>
              </c:numCache>
            </c:numRef>
          </c:val>
          <c:extLst>
            <c:ext xmlns:c16="http://schemas.microsoft.com/office/drawing/2014/chart" uri="{C3380CC4-5D6E-409C-BE32-E72D297353CC}">
              <c16:uniqueId val="{00000004-368F-4BD5-8D71-FCF78FBC396B}"/>
            </c:ext>
          </c:extLst>
        </c:ser>
        <c:dLbls>
          <c:dLblPos val="ctr"/>
          <c:showLegendKey val="0"/>
          <c:showVal val="1"/>
          <c:showCatName val="0"/>
          <c:showSerName val="0"/>
          <c:showPercent val="0"/>
          <c:showBubbleSize val="0"/>
        </c:dLbls>
        <c:gapWidth val="150"/>
        <c:overlap val="100"/>
        <c:axId val="1616989759"/>
        <c:axId val="1616980639"/>
      </c:barChart>
      <c:catAx>
        <c:axId val="161698975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2C307E"/>
                </a:solidFill>
                <a:latin typeface="+mn-lt"/>
                <a:ea typeface="+mn-ea"/>
                <a:cs typeface="+mn-cs"/>
              </a:defRPr>
            </a:pPr>
            <a:endParaRPr lang="en-NL"/>
          </a:p>
        </c:txPr>
        <c:crossAx val="1616980639"/>
        <c:crosses val="autoZero"/>
        <c:auto val="1"/>
        <c:lblAlgn val="ctr"/>
        <c:lblOffset val="100"/>
        <c:noMultiLvlLbl val="0"/>
      </c:catAx>
      <c:valAx>
        <c:axId val="1616980639"/>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2C307E"/>
                </a:solidFill>
                <a:latin typeface="+mn-lt"/>
                <a:ea typeface="+mn-ea"/>
                <a:cs typeface="+mn-cs"/>
              </a:defRPr>
            </a:pPr>
            <a:endParaRPr lang="en-NL"/>
          </a:p>
        </c:txPr>
        <c:crossAx val="161698975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rgbClr val="2C307E"/>
              </a:solidFill>
              <a:latin typeface="+mn-lt"/>
              <a:ea typeface="+mn-ea"/>
              <a:cs typeface="+mn-cs"/>
            </a:defRPr>
          </a:pPr>
          <a:endParaRPr lang="en-NL"/>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a:pPr>
      <a:endParaRPr lang="en-NL"/>
    </a:p>
  </c:txPr>
  <c:externalData r:id="rId3">
    <c:autoUpdate val="0"/>
  </c:externalData>
</c:chartSpace>
</file>

<file path=word/charts/chart1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rgbClr val="2C307E"/>
                </a:solidFill>
                <a:latin typeface="+mn-lt"/>
                <a:ea typeface="+mn-ea"/>
                <a:cs typeface="+mn-cs"/>
              </a:defRPr>
            </a:pPr>
            <a:r>
              <a:rPr lang="nl-NL" sz="1100"/>
              <a:t>Hoe lang mag een elektrische auto wat jou betreft aan de laadpaal blijven als deze volgeladen is? [N=1.090]</a:t>
            </a:r>
          </a:p>
        </c:rich>
      </c:tx>
      <c:overlay val="0"/>
      <c:spPr>
        <a:noFill/>
        <a:ln>
          <a:noFill/>
        </a:ln>
        <a:effectLst/>
      </c:spPr>
      <c:txPr>
        <a:bodyPr rot="0" spcFirstLastPara="1" vertOverflow="ellipsis" vert="horz" wrap="square" anchor="ctr" anchorCtr="1"/>
        <a:lstStyle/>
        <a:p>
          <a:pPr>
            <a:defRPr sz="1100" b="0" i="0" u="none" strike="noStrike" kern="1200" spc="0" baseline="0">
              <a:solidFill>
                <a:srgbClr val="2C307E"/>
              </a:solidFill>
              <a:latin typeface="+mn-lt"/>
              <a:ea typeface="+mn-ea"/>
              <a:cs typeface="+mn-cs"/>
            </a:defRPr>
          </a:pPr>
          <a:endParaRPr lang="en-NL"/>
        </a:p>
      </c:txPr>
    </c:title>
    <c:autoTitleDeleted val="0"/>
    <c:plotArea>
      <c:layout/>
      <c:barChart>
        <c:barDir val="bar"/>
        <c:grouping val="percentStacked"/>
        <c:varyColors val="0"/>
        <c:ser>
          <c:idx val="0"/>
          <c:order val="0"/>
          <c:tx>
            <c:strRef>
              <c:f>Analyse!$K$852</c:f>
              <c:strCache>
                <c:ptCount val="1"/>
                <c:pt idx="0">
                  <c:v>Direct weghalen</c:v>
                </c:pt>
              </c:strCache>
            </c:strRef>
          </c:tx>
          <c:spPr>
            <a:solidFill>
              <a:srgbClr val="2C307E"/>
            </a:solidFill>
            <a:ln>
              <a:noFill/>
            </a:ln>
            <a:effectLst/>
          </c:spPr>
          <c:invertIfNegative val="0"/>
          <c:dLbls>
            <c:spPr>
              <a:noFill/>
              <a:ln>
                <a:noFill/>
              </a:ln>
              <a:effectLst/>
            </c:spPr>
            <c:txPr>
              <a:bodyPr rot="0" spcFirstLastPara="1" vertOverflow="ellipsis" vert="horz" wrap="square" anchor="ctr" anchorCtr="1"/>
              <a:lstStyle/>
              <a:p>
                <a:pPr>
                  <a:defRPr sz="800" b="1" i="0" u="none" strike="noStrike" kern="1200" baseline="0">
                    <a:solidFill>
                      <a:schemeClr val="bg1"/>
                    </a:solidFill>
                    <a:latin typeface="+mn-lt"/>
                    <a:ea typeface="+mn-ea"/>
                    <a:cs typeface="+mn-cs"/>
                  </a:defRPr>
                </a:pPr>
                <a:endParaRPr lang="en-N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Analyse!$J$853:$J$858</c:f>
              <c:strCache>
                <c:ptCount val="6"/>
                <c:pt idx="0">
                  <c:v>G4</c:v>
                </c:pt>
                <c:pt idx="1">
                  <c:v>Noord</c:v>
                </c:pt>
                <c:pt idx="2">
                  <c:v>Noordwest</c:v>
                </c:pt>
                <c:pt idx="3">
                  <c:v>Oost</c:v>
                </c:pt>
                <c:pt idx="4">
                  <c:v>Zuid</c:v>
                </c:pt>
                <c:pt idx="5">
                  <c:v>Zuidwest</c:v>
                </c:pt>
              </c:strCache>
            </c:strRef>
          </c:cat>
          <c:val>
            <c:numRef>
              <c:f>Analyse!$K$853:$K$858</c:f>
              <c:numCache>
                <c:formatCode>0%</c:formatCode>
                <c:ptCount val="6"/>
                <c:pt idx="0">
                  <c:v>0.23728813559322035</c:v>
                </c:pt>
                <c:pt idx="1">
                  <c:v>0.50505050505050508</c:v>
                </c:pt>
                <c:pt idx="2">
                  <c:v>0.30078125</c:v>
                </c:pt>
                <c:pt idx="3">
                  <c:v>0.45945945945945948</c:v>
                </c:pt>
                <c:pt idx="4">
                  <c:v>0.38164251207729466</c:v>
                </c:pt>
                <c:pt idx="5">
                  <c:v>0.38666666666666666</c:v>
                </c:pt>
              </c:numCache>
            </c:numRef>
          </c:val>
          <c:extLst>
            <c:ext xmlns:c16="http://schemas.microsoft.com/office/drawing/2014/chart" uri="{C3380CC4-5D6E-409C-BE32-E72D297353CC}">
              <c16:uniqueId val="{00000000-29D5-4EC1-832F-765F43CCDF5B}"/>
            </c:ext>
          </c:extLst>
        </c:ser>
        <c:ser>
          <c:idx val="1"/>
          <c:order val="1"/>
          <c:tx>
            <c:strRef>
              <c:f>Analyse!$L$852</c:f>
              <c:strCache>
                <c:ptCount val="1"/>
                <c:pt idx="0">
                  <c:v>2 uur</c:v>
                </c:pt>
              </c:strCache>
            </c:strRef>
          </c:tx>
          <c:spPr>
            <a:solidFill>
              <a:srgbClr val="08B466"/>
            </a:solidFill>
            <a:ln>
              <a:noFill/>
            </a:ln>
            <a:effectLst/>
          </c:spPr>
          <c:invertIfNegative val="0"/>
          <c:dLbls>
            <c:spPr>
              <a:noFill/>
              <a:ln>
                <a:noFill/>
              </a:ln>
              <a:effectLst/>
            </c:spPr>
            <c:txPr>
              <a:bodyPr rot="0" spcFirstLastPara="1" vertOverflow="ellipsis" vert="horz" wrap="square" anchor="ctr" anchorCtr="1"/>
              <a:lstStyle/>
              <a:p>
                <a:pPr>
                  <a:defRPr sz="800" b="1" i="0" u="none" strike="noStrike" kern="1200" baseline="0">
                    <a:solidFill>
                      <a:schemeClr val="bg1"/>
                    </a:solidFill>
                    <a:latin typeface="+mn-lt"/>
                    <a:ea typeface="+mn-ea"/>
                    <a:cs typeface="+mn-cs"/>
                  </a:defRPr>
                </a:pPr>
                <a:endParaRPr lang="en-N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Analyse!$J$853:$J$858</c:f>
              <c:strCache>
                <c:ptCount val="6"/>
                <c:pt idx="0">
                  <c:v>G4</c:v>
                </c:pt>
                <c:pt idx="1">
                  <c:v>Noord</c:v>
                </c:pt>
                <c:pt idx="2">
                  <c:v>Noordwest</c:v>
                </c:pt>
                <c:pt idx="3">
                  <c:v>Oost</c:v>
                </c:pt>
                <c:pt idx="4">
                  <c:v>Zuid</c:v>
                </c:pt>
                <c:pt idx="5">
                  <c:v>Zuidwest</c:v>
                </c:pt>
              </c:strCache>
            </c:strRef>
          </c:cat>
          <c:val>
            <c:numRef>
              <c:f>Analyse!$L$853:$L$858</c:f>
              <c:numCache>
                <c:formatCode>0%</c:formatCode>
                <c:ptCount val="6"/>
                <c:pt idx="0">
                  <c:v>0.43220338983050849</c:v>
                </c:pt>
                <c:pt idx="1">
                  <c:v>0.33333333333333331</c:v>
                </c:pt>
                <c:pt idx="2">
                  <c:v>0.44140625</c:v>
                </c:pt>
                <c:pt idx="3">
                  <c:v>0.38918918918918921</c:v>
                </c:pt>
                <c:pt idx="4">
                  <c:v>0.4251207729468599</c:v>
                </c:pt>
                <c:pt idx="5">
                  <c:v>0.44</c:v>
                </c:pt>
              </c:numCache>
            </c:numRef>
          </c:val>
          <c:extLst>
            <c:ext xmlns:c16="http://schemas.microsoft.com/office/drawing/2014/chart" uri="{C3380CC4-5D6E-409C-BE32-E72D297353CC}">
              <c16:uniqueId val="{00000001-29D5-4EC1-832F-765F43CCDF5B}"/>
            </c:ext>
          </c:extLst>
        </c:ser>
        <c:ser>
          <c:idx val="2"/>
          <c:order val="2"/>
          <c:tx>
            <c:strRef>
              <c:f>Analyse!$M$852</c:f>
              <c:strCache>
                <c:ptCount val="1"/>
                <c:pt idx="0">
                  <c:v>4 uur</c:v>
                </c:pt>
              </c:strCache>
            </c:strRef>
          </c:tx>
          <c:spPr>
            <a:solidFill>
              <a:srgbClr val="C9C743"/>
            </a:solidFill>
            <a:ln>
              <a:noFill/>
            </a:ln>
            <a:effectLst/>
          </c:spPr>
          <c:invertIfNegative val="0"/>
          <c:dLbls>
            <c:dLbl>
              <c:idx val="0"/>
              <c:layout>
                <c:manualLayout>
                  <c:x val="-1.4347202295552456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9D5-4EC1-832F-765F43CCDF5B}"/>
                </c:ext>
              </c:extLst>
            </c:dLbl>
            <c:dLbl>
              <c:idx val="1"/>
              <c:layout>
                <c:manualLayout>
                  <c:x val="-9.5648015303682454E-3"/>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9D5-4EC1-832F-765F43CCDF5B}"/>
                </c:ext>
              </c:extLst>
            </c:dLbl>
            <c:dLbl>
              <c:idx val="2"/>
              <c:layout>
                <c:manualLayout>
                  <c:x val="-3.3476805356288948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9D5-4EC1-832F-765F43CCDF5B}"/>
                </c:ext>
              </c:extLst>
            </c:dLbl>
            <c:dLbl>
              <c:idx val="4"/>
              <c:layout>
                <c:manualLayout>
                  <c:x val="-9.5648015303684206E-3"/>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9D5-4EC1-832F-765F43CCDF5B}"/>
                </c:ext>
              </c:extLst>
            </c:dLbl>
            <c:dLbl>
              <c:idx val="5"/>
              <c:layout>
                <c:manualLayout>
                  <c:x val="-9.5648015303682454E-3"/>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29D5-4EC1-832F-765F43CCDF5B}"/>
                </c:ext>
              </c:extLst>
            </c:dLbl>
            <c:spPr>
              <a:noFill/>
              <a:ln>
                <a:noFill/>
              </a:ln>
              <a:effectLst/>
            </c:spPr>
            <c:txPr>
              <a:bodyPr rot="0" spcFirstLastPara="1" vertOverflow="ellipsis" vert="horz" wrap="square" anchor="ctr" anchorCtr="1"/>
              <a:lstStyle/>
              <a:p>
                <a:pPr>
                  <a:defRPr sz="800" b="1" i="0" u="none" strike="noStrike" kern="1200" baseline="0">
                    <a:solidFill>
                      <a:schemeClr val="bg1"/>
                    </a:solidFill>
                    <a:latin typeface="+mn-lt"/>
                    <a:ea typeface="+mn-ea"/>
                    <a:cs typeface="+mn-cs"/>
                  </a:defRPr>
                </a:pPr>
                <a:endParaRPr lang="en-N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Analyse!$J$853:$J$858</c:f>
              <c:strCache>
                <c:ptCount val="6"/>
                <c:pt idx="0">
                  <c:v>G4</c:v>
                </c:pt>
                <c:pt idx="1">
                  <c:v>Noord</c:v>
                </c:pt>
                <c:pt idx="2">
                  <c:v>Noordwest</c:v>
                </c:pt>
                <c:pt idx="3">
                  <c:v>Oost</c:v>
                </c:pt>
                <c:pt idx="4">
                  <c:v>Zuid</c:v>
                </c:pt>
                <c:pt idx="5">
                  <c:v>Zuidwest</c:v>
                </c:pt>
              </c:strCache>
            </c:strRef>
          </c:cat>
          <c:val>
            <c:numRef>
              <c:f>Analyse!$M$853:$M$858</c:f>
              <c:numCache>
                <c:formatCode>0%</c:formatCode>
                <c:ptCount val="6"/>
                <c:pt idx="0">
                  <c:v>0.1440677966101695</c:v>
                </c:pt>
                <c:pt idx="1">
                  <c:v>0.10101010101010101</c:v>
                </c:pt>
                <c:pt idx="2">
                  <c:v>0.1640625</c:v>
                </c:pt>
                <c:pt idx="3">
                  <c:v>9.7297297297297303E-2</c:v>
                </c:pt>
                <c:pt idx="4">
                  <c:v>0.13526570048309178</c:v>
                </c:pt>
                <c:pt idx="5">
                  <c:v>9.3333333333333338E-2</c:v>
                </c:pt>
              </c:numCache>
            </c:numRef>
          </c:val>
          <c:extLst>
            <c:ext xmlns:c16="http://schemas.microsoft.com/office/drawing/2014/chart" uri="{C3380CC4-5D6E-409C-BE32-E72D297353CC}">
              <c16:uniqueId val="{00000007-29D5-4EC1-832F-765F43CCDF5B}"/>
            </c:ext>
          </c:extLst>
        </c:ser>
        <c:ser>
          <c:idx val="3"/>
          <c:order val="3"/>
          <c:tx>
            <c:strRef>
              <c:f>Analyse!$N$852</c:f>
              <c:strCache>
                <c:ptCount val="1"/>
                <c:pt idx="0">
                  <c:v>6 uur</c:v>
                </c:pt>
              </c:strCache>
            </c:strRef>
          </c:tx>
          <c:spPr>
            <a:solidFill>
              <a:srgbClr val="BAD6ED"/>
            </a:solidFill>
            <a:ln>
              <a:noFill/>
            </a:ln>
            <a:effectLst/>
          </c:spPr>
          <c:invertIfNegative val="0"/>
          <c:dLbls>
            <c:dLbl>
              <c:idx val="0"/>
              <c:layout>
                <c:manualLayout>
                  <c:x val="-1.9129603060736491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29D5-4EC1-832F-765F43CCDF5B}"/>
                </c:ext>
              </c:extLst>
            </c:dLbl>
            <c:dLbl>
              <c:idx val="1"/>
              <c:layout>
                <c:manualLayout>
                  <c:x val="9.5648015303682454E-3"/>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29D5-4EC1-832F-765F43CCDF5B}"/>
                </c:ext>
              </c:extLst>
            </c:dLbl>
            <c:dLbl>
              <c:idx val="2"/>
              <c:layout>
                <c:manualLayout>
                  <c:x val="-2.3912003825920611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29D5-4EC1-832F-765F43CCDF5B}"/>
                </c:ext>
              </c:extLst>
            </c:dLbl>
            <c:dLbl>
              <c:idx val="3"/>
              <c:delete val="1"/>
              <c:extLst>
                <c:ext xmlns:c15="http://schemas.microsoft.com/office/drawing/2012/chart" uri="{CE6537A1-D6FC-4f65-9D91-7224C49458BB}"/>
                <c:ext xmlns:c16="http://schemas.microsoft.com/office/drawing/2014/chart" uri="{C3380CC4-5D6E-409C-BE32-E72D297353CC}">
                  <c16:uniqueId val="{0000000B-29D5-4EC1-832F-765F43CCDF5B}"/>
                </c:ext>
              </c:extLst>
            </c:dLbl>
            <c:dLbl>
              <c:idx val="4"/>
              <c:layout>
                <c:manualLayout>
                  <c:x val="0"/>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29D5-4EC1-832F-765F43CCDF5B}"/>
                </c:ext>
              </c:extLst>
            </c:dLbl>
            <c:dLbl>
              <c:idx val="5"/>
              <c:layout>
                <c:manualLayout>
                  <c:x val="4.7824007651841227E-3"/>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29D5-4EC1-832F-765F43CCDF5B}"/>
                </c:ext>
              </c:extLst>
            </c:dLbl>
            <c:spPr>
              <a:noFill/>
              <a:ln>
                <a:noFill/>
              </a:ln>
              <a:effectLst/>
            </c:spPr>
            <c:txPr>
              <a:bodyPr rot="0" spcFirstLastPara="1" vertOverflow="ellipsis" vert="horz" wrap="square" anchor="ctr" anchorCtr="1"/>
              <a:lstStyle/>
              <a:p>
                <a:pPr>
                  <a:defRPr sz="800" b="1" i="0" u="none" strike="noStrike" kern="1200" baseline="0">
                    <a:solidFill>
                      <a:srgbClr val="2C307E"/>
                    </a:solidFill>
                    <a:latin typeface="+mn-lt"/>
                    <a:ea typeface="+mn-ea"/>
                    <a:cs typeface="+mn-cs"/>
                  </a:defRPr>
                </a:pPr>
                <a:endParaRPr lang="en-N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Analyse!$J$853:$J$858</c:f>
              <c:strCache>
                <c:ptCount val="6"/>
                <c:pt idx="0">
                  <c:v>G4</c:v>
                </c:pt>
                <c:pt idx="1">
                  <c:v>Noord</c:v>
                </c:pt>
                <c:pt idx="2">
                  <c:v>Noordwest</c:v>
                </c:pt>
                <c:pt idx="3">
                  <c:v>Oost</c:v>
                </c:pt>
                <c:pt idx="4">
                  <c:v>Zuid</c:v>
                </c:pt>
                <c:pt idx="5">
                  <c:v>Zuidwest</c:v>
                </c:pt>
              </c:strCache>
            </c:strRef>
          </c:cat>
          <c:val>
            <c:numRef>
              <c:f>Analyse!$N$853:$N$858</c:f>
              <c:numCache>
                <c:formatCode>0%</c:formatCode>
                <c:ptCount val="6"/>
                <c:pt idx="0">
                  <c:v>5.9322033898305086E-2</c:v>
                </c:pt>
                <c:pt idx="1">
                  <c:v>3.0303030303030304E-2</c:v>
                </c:pt>
                <c:pt idx="2">
                  <c:v>3.125E-2</c:v>
                </c:pt>
                <c:pt idx="3">
                  <c:v>1.6216216216216217E-2</c:v>
                </c:pt>
                <c:pt idx="4">
                  <c:v>4.3478260869565216E-2</c:v>
                </c:pt>
                <c:pt idx="5">
                  <c:v>4.4444444444444446E-2</c:v>
                </c:pt>
              </c:numCache>
            </c:numRef>
          </c:val>
          <c:extLst>
            <c:ext xmlns:c16="http://schemas.microsoft.com/office/drawing/2014/chart" uri="{C3380CC4-5D6E-409C-BE32-E72D297353CC}">
              <c16:uniqueId val="{0000000E-29D5-4EC1-832F-765F43CCDF5B}"/>
            </c:ext>
          </c:extLst>
        </c:ser>
        <c:ser>
          <c:idx val="4"/>
          <c:order val="4"/>
          <c:tx>
            <c:strRef>
              <c:f>Analyse!$O$852</c:f>
              <c:strCache>
                <c:ptCount val="1"/>
                <c:pt idx="0">
                  <c:v>12 uur</c:v>
                </c:pt>
              </c:strCache>
            </c:strRef>
          </c:tx>
          <c:spPr>
            <a:solidFill>
              <a:srgbClr val="4EAFAA"/>
            </a:solidFill>
            <a:ln>
              <a:noFill/>
            </a:ln>
            <a:effectLst/>
          </c:spPr>
          <c:invertIfNegative val="0"/>
          <c:dLbls>
            <c:dLbl>
              <c:idx val="1"/>
              <c:delete val="1"/>
              <c:extLst>
                <c:ext xmlns:c15="http://schemas.microsoft.com/office/drawing/2012/chart" uri="{CE6537A1-D6FC-4f65-9D91-7224C49458BB}"/>
                <c:ext xmlns:c16="http://schemas.microsoft.com/office/drawing/2014/chart" uri="{C3380CC4-5D6E-409C-BE32-E72D297353CC}">
                  <c16:uniqueId val="{0000000F-29D5-4EC1-832F-765F43CCDF5B}"/>
                </c:ext>
              </c:extLst>
            </c:dLbl>
            <c:dLbl>
              <c:idx val="2"/>
              <c:layout>
                <c:manualLayout>
                  <c:x val="4.7824007651841227E-3"/>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29D5-4EC1-832F-765F43CCDF5B}"/>
                </c:ext>
              </c:extLst>
            </c:dLbl>
            <c:dLbl>
              <c:idx val="3"/>
              <c:delete val="1"/>
              <c:extLst>
                <c:ext xmlns:c15="http://schemas.microsoft.com/office/drawing/2012/chart" uri="{CE6537A1-D6FC-4f65-9D91-7224C49458BB}"/>
                <c:ext xmlns:c16="http://schemas.microsoft.com/office/drawing/2014/chart" uri="{C3380CC4-5D6E-409C-BE32-E72D297353CC}">
                  <c16:uniqueId val="{00000011-29D5-4EC1-832F-765F43CCDF5B}"/>
                </c:ext>
              </c:extLst>
            </c:dLbl>
            <c:dLbl>
              <c:idx val="4"/>
              <c:delete val="1"/>
              <c:extLst>
                <c:ext xmlns:c15="http://schemas.microsoft.com/office/drawing/2012/chart" uri="{CE6537A1-D6FC-4f65-9D91-7224C49458BB}"/>
                <c:ext xmlns:c16="http://schemas.microsoft.com/office/drawing/2014/chart" uri="{C3380CC4-5D6E-409C-BE32-E72D297353CC}">
                  <c16:uniqueId val="{00000012-29D5-4EC1-832F-765F43CCDF5B}"/>
                </c:ext>
              </c:extLst>
            </c:dLbl>
            <c:dLbl>
              <c:idx val="5"/>
              <c:delete val="1"/>
              <c:extLst>
                <c:ext xmlns:c15="http://schemas.microsoft.com/office/drawing/2012/chart" uri="{CE6537A1-D6FC-4f65-9D91-7224C49458BB}"/>
                <c:ext xmlns:c16="http://schemas.microsoft.com/office/drawing/2014/chart" uri="{C3380CC4-5D6E-409C-BE32-E72D297353CC}">
                  <c16:uniqueId val="{00000013-29D5-4EC1-832F-765F43CCDF5B}"/>
                </c:ext>
              </c:extLst>
            </c:dLbl>
            <c:spPr>
              <a:noFill/>
              <a:ln>
                <a:noFill/>
              </a:ln>
              <a:effectLst/>
            </c:spPr>
            <c:txPr>
              <a:bodyPr rot="0" spcFirstLastPara="1" vertOverflow="ellipsis" vert="horz" wrap="square" anchor="ctr" anchorCtr="1"/>
              <a:lstStyle/>
              <a:p>
                <a:pPr>
                  <a:defRPr sz="800" b="1" i="0" u="none" strike="noStrike" kern="1200" baseline="0">
                    <a:solidFill>
                      <a:schemeClr val="bg1"/>
                    </a:solidFill>
                    <a:latin typeface="+mn-lt"/>
                    <a:ea typeface="+mn-ea"/>
                    <a:cs typeface="+mn-cs"/>
                  </a:defRPr>
                </a:pPr>
                <a:endParaRPr lang="en-N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Analyse!$J$853:$J$858</c:f>
              <c:strCache>
                <c:ptCount val="6"/>
                <c:pt idx="0">
                  <c:v>G4</c:v>
                </c:pt>
                <c:pt idx="1">
                  <c:v>Noord</c:v>
                </c:pt>
                <c:pt idx="2">
                  <c:v>Noordwest</c:v>
                </c:pt>
                <c:pt idx="3">
                  <c:v>Oost</c:v>
                </c:pt>
                <c:pt idx="4">
                  <c:v>Zuid</c:v>
                </c:pt>
                <c:pt idx="5">
                  <c:v>Zuidwest</c:v>
                </c:pt>
              </c:strCache>
            </c:strRef>
          </c:cat>
          <c:val>
            <c:numRef>
              <c:f>Analyse!$O$853:$O$858</c:f>
              <c:numCache>
                <c:formatCode>0%</c:formatCode>
                <c:ptCount val="6"/>
                <c:pt idx="0">
                  <c:v>4.2372881355932202E-2</c:v>
                </c:pt>
                <c:pt idx="1">
                  <c:v>1.0101010101010102E-2</c:v>
                </c:pt>
                <c:pt idx="2">
                  <c:v>3.125E-2</c:v>
                </c:pt>
                <c:pt idx="3">
                  <c:v>1.6216216216216217E-2</c:v>
                </c:pt>
                <c:pt idx="4">
                  <c:v>1.4492753623188406E-2</c:v>
                </c:pt>
                <c:pt idx="5">
                  <c:v>1.3333333333333334E-2</c:v>
                </c:pt>
              </c:numCache>
            </c:numRef>
          </c:val>
          <c:extLst>
            <c:ext xmlns:c16="http://schemas.microsoft.com/office/drawing/2014/chart" uri="{C3380CC4-5D6E-409C-BE32-E72D297353CC}">
              <c16:uniqueId val="{00000014-29D5-4EC1-832F-765F43CCDF5B}"/>
            </c:ext>
          </c:extLst>
        </c:ser>
        <c:ser>
          <c:idx val="5"/>
          <c:order val="5"/>
          <c:tx>
            <c:strRef>
              <c:f>Analyse!$P$852</c:f>
              <c:strCache>
                <c:ptCount val="1"/>
                <c:pt idx="0">
                  <c:v>Langer dan 12 uur</c:v>
                </c:pt>
              </c:strCache>
            </c:strRef>
          </c:tx>
          <c:spPr>
            <a:solidFill>
              <a:srgbClr val="696969"/>
            </a:solidFill>
            <a:ln>
              <a:noFill/>
            </a:ln>
            <a:effectLst/>
          </c:spPr>
          <c:invertIfNegative val="0"/>
          <c:dLbls>
            <c:dLbl>
              <c:idx val="0"/>
              <c:layout>
                <c:manualLayout>
                  <c:x val="4.7824007651841227E-3"/>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29D5-4EC1-832F-765F43CCDF5B}"/>
                </c:ext>
              </c:extLst>
            </c:dLbl>
            <c:dLbl>
              <c:idx val="1"/>
              <c:delete val="1"/>
              <c:extLst>
                <c:ext xmlns:c15="http://schemas.microsoft.com/office/drawing/2012/chart" uri="{CE6537A1-D6FC-4f65-9D91-7224C49458BB}"/>
                <c:ext xmlns:c16="http://schemas.microsoft.com/office/drawing/2014/chart" uri="{C3380CC4-5D6E-409C-BE32-E72D297353CC}">
                  <c16:uniqueId val="{00000016-29D5-4EC1-832F-765F43CCDF5B}"/>
                </c:ext>
              </c:extLst>
            </c:dLbl>
            <c:dLbl>
              <c:idx val="2"/>
              <c:layout>
                <c:manualLayout>
                  <c:x val="3.3476805356288858E-2"/>
                  <c:y val="0"/>
                </c:manualLayout>
              </c:layout>
              <c:spPr>
                <a:noFill/>
                <a:ln>
                  <a:noFill/>
                </a:ln>
                <a:effectLst/>
              </c:spPr>
              <c:txPr>
                <a:bodyPr rot="0" spcFirstLastPara="1" vertOverflow="ellipsis" vert="horz" wrap="square" anchor="ctr" anchorCtr="1"/>
                <a:lstStyle/>
                <a:p>
                  <a:pPr>
                    <a:defRPr sz="800" b="1" i="0" u="none" strike="noStrike" kern="1200" baseline="0">
                      <a:solidFill>
                        <a:srgbClr val="2C307E"/>
                      </a:solidFill>
                      <a:latin typeface="+mn-lt"/>
                      <a:ea typeface="+mn-ea"/>
                      <a:cs typeface="+mn-cs"/>
                    </a:defRPr>
                  </a:pPr>
                  <a:endParaRPr lang="en-NL"/>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29D5-4EC1-832F-765F43CCDF5B}"/>
                </c:ext>
              </c:extLst>
            </c:dLbl>
            <c:dLbl>
              <c:idx val="3"/>
              <c:delete val="1"/>
              <c:extLst>
                <c:ext xmlns:c15="http://schemas.microsoft.com/office/drawing/2012/chart" uri="{CE6537A1-D6FC-4f65-9D91-7224C49458BB}"/>
                <c:ext xmlns:c16="http://schemas.microsoft.com/office/drawing/2014/chart" uri="{C3380CC4-5D6E-409C-BE32-E72D297353CC}">
                  <c16:uniqueId val="{00000018-29D5-4EC1-832F-765F43CCDF5B}"/>
                </c:ext>
              </c:extLst>
            </c:dLbl>
            <c:dLbl>
              <c:idx val="4"/>
              <c:delete val="1"/>
              <c:extLst>
                <c:ext xmlns:c15="http://schemas.microsoft.com/office/drawing/2012/chart" uri="{CE6537A1-D6FC-4f65-9D91-7224C49458BB}"/>
                <c:ext xmlns:c16="http://schemas.microsoft.com/office/drawing/2014/chart" uri="{C3380CC4-5D6E-409C-BE32-E72D297353CC}">
                  <c16:uniqueId val="{00000019-29D5-4EC1-832F-765F43CCDF5B}"/>
                </c:ext>
              </c:extLst>
            </c:dLbl>
            <c:dLbl>
              <c:idx val="5"/>
              <c:delete val="1"/>
              <c:extLst>
                <c:ext xmlns:c15="http://schemas.microsoft.com/office/drawing/2012/chart" uri="{CE6537A1-D6FC-4f65-9D91-7224C49458BB}"/>
                <c:ext xmlns:c16="http://schemas.microsoft.com/office/drawing/2014/chart" uri="{C3380CC4-5D6E-409C-BE32-E72D297353CC}">
                  <c16:uniqueId val="{0000001A-29D5-4EC1-832F-765F43CCDF5B}"/>
                </c:ext>
              </c:extLst>
            </c:dLbl>
            <c:spPr>
              <a:noFill/>
              <a:ln>
                <a:noFill/>
              </a:ln>
              <a:effectLst/>
            </c:spPr>
            <c:txPr>
              <a:bodyPr rot="0" spcFirstLastPara="1" vertOverflow="ellipsis" vert="horz" wrap="square" anchor="ctr" anchorCtr="1"/>
              <a:lstStyle/>
              <a:p>
                <a:pPr>
                  <a:defRPr sz="800" b="1" i="0" u="none" strike="noStrike" kern="1200" baseline="0">
                    <a:solidFill>
                      <a:schemeClr val="bg1"/>
                    </a:solidFill>
                    <a:latin typeface="+mn-lt"/>
                    <a:ea typeface="+mn-ea"/>
                    <a:cs typeface="+mn-cs"/>
                  </a:defRPr>
                </a:pPr>
                <a:endParaRPr lang="en-N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Analyse!$J$853:$J$858</c:f>
              <c:strCache>
                <c:ptCount val="6"/>
                <c:pt idx="0">
                  <c:v>G4</c:v>
                </c:pt>
                <c:pt idx="1">
                  <c:v>Noord</c:v>
                </c:pt>
                <c:pt idx="2">
                  <c:v>Noordwest</c:v>
                </c:pt>
                <c:pt idx="3">
                  <c:v>Oost</c:v>
                </c:pt>
                <c:pt idx="4">
                  <c:v>Zuid</c:v>
                </c:pt>
                <c:pt idx="5">
                  <c:v>Zuidwest</c:v>
                </c:pt>
              </c:strCache>
            </c:strRef>
          </c:cat>
          <c:val>
            <c:numRef>
              <c:f>Analyse!$P$853:$P$858</c:f>
              <c:numCache>
                <c:formatCode>0%</c:formatCode>
                <c:ptCount val="6"/>
                <c:pt idx="0">
                  <c:v>8.4745762711864403E-2</c:v>
                </c:pt>
                <c:pt idx="1">
                  <c:v>2.0202020202020204E-2</c:v>
                </c:pt>
                <c:pt idx="2">
                  <c:v>3.125E-2</c:v>
                </c:pt>
                <c:pt idx="3">
                  <c:v>2.1621621621621623E-2</c:v>
                </c:pt>
                <c:pt idx="4">
                  <c:v>0</c:v>
                </c:pt>
                <c:pt idx="5">
                  <c:v>2.2222222222222223E-2</c:v>
                </c:pt>
              </c:numCache>
            </c:numRef>
          </c:val>
          <c:extLst>
            <c:ext xmlns:c16="http://schemas.microsoft.com/office/drawing/2014/chart" uri="{C3380CC4-5D6E-409C-BE32-E72D297353CC}">
              <c16:uniqueId val="{0000001B-29D5-4EC1-832F-765F43CCDF5B}"/>
            </c:ext>
          </c:extLst>
        </c:ser>
        <c:dLbls>
          <c:dLblPos val="ctr"/>
          <c:showLegendKey val="0"/>
          <c:showVal val="1"/>
          <c:showCatName val="0"/>
          <c:showSerName val="0"/>
          <c:showPercent val="0"/>
          <c:showBubbleSize val="0"/>
        </c:dLbls>
        <c:gapWidth val="150"/>
        <c:overlap val="100"/>
        <c:axId val="426294640"/>
        <c:axId val="426295120"/>
      </c:barChart>
      <c:catAx>
        <c:axId val="42629464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2C307E"/>
                </a:solidFill>
                <a:latin typeface="+mn-lt"/>
                <a:ea typeface="+mn-ea"/>
                <a:cs typeface="+mn-cs"/>
              </a:defRPr>
            </a:pPr>
            <a:endParaRPr lang="en-NL"/>
          </a:p>
        </c:txPr>
        <c:crossAx val="426295120"/>
        <c:crosses val="autoZero"/>
        <c:auto val="1"/>
        <c:lblAlgn val="ctr"/>
        <c:lblOffset val="100"/>
        <c:noMultiLvlLbl val="0"/>
      </c:catAx>
      <c:valAx>
        <c:axId val="426295120"/>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2C307E"/>
                </a:solidFill>
                <a:latin typeface="+mn-lt"/>
                <a:ea typeface="+mn-ea"/>
                <a:cs typeface="+mn-cs"/>
              </a:defRPr>
            </a:pPr>
            <a:endParaRPr lang="en-NL"/>
          </a:p>
        </c:txPr>
        <c:crossAx val="426294640"/>
        <c:crosses val="autoZero"/>
        <c:crossBetween val="between"/>
      </c:valAx>
      <c:spPr>
        <a:noFill/>
        <a:ln>
          <a:noFill/>
        </a:ln>
        <a:effectLst/>
      </c:spPr>
    </c:plotArea>
    <c:legend>
      <c:legendPos val="b"/>
      <c:legendEntry>
        <c:idx val="0"/>
        <c:txPr>
          <a:bodyPr rot="0" spcFirstLastPara="1" vertOverflow="ellipsis" vert="horz" wrap="square" anchor="ctr" anchorCtr="1"/>
          <a:lstStyle/>
          <a:p>
            <a:pPr>
              <a:defRPr sz="900" b="0" i="0" u="none" strike="noStrike" kern="1200" baseline="0">
                <a:solidFill>
                  <a:srgbClr val="2C307E"/>
                </a:solidFill>
                <a:latin typeface="+mn-lt"/>
                <a:ea typeface="+mn-ea"/>
                <a:cs typeface="+mn-cs"/>
              </a:defRPr>
            </a:pPr>
            <a:endParaRPr lang="en-NL"/>
          </a:p>
        </c:txPr>
      </c:legendEntry>
      <c:overlay val="0"/>
      <c:spPr>
        <a:noFill/>
        <a:ln>
          <a:noFill/>
        </a:ln>
        <a:effectLst/>
      </c:spPr>
      <c:txPr>
        <a:bodyPr rot="0" spcFirstLastPara="1" vertOverflow="ellipsis" vert="horz" wrap="square" anchor="ctr" anchorCtr="1"/>
        <a:lstStyle/>
        <a:p>
          <a:pPr>
            <a:defRPr sz="900" b="0" i="0" u="none" strike="noStrike" kern="1200" baseline="0">
              <a:solidFill>
                <a:srgbClr val="2C307E"/>
              </a:solidFill>
              <a:latin typeface="+mn-lt"/>
              <a:ea typeface="+mn-ea"/>
              <a:cs typeface="+mn-cs"/>
            </a:defRPr>
          </a:pPr>
          <a:endParaRPr lang="en-NL"/>
        </a:p>
      </c:txPr>
    </c:legend>
    <c:plotVisOnly val="1"/>
    <c:dispBlanksAs val="gap"/>
    <c:showDLblsOverMax val="0"/>
  </c:chart>
  <c:spPr>
    <a:noFill/>
    <a:ln w="9525" cap="flat" cmpd="sng" algn="ctr">
      <a:noFill/>
      <a:round/>
    </a:ln>
    <a:effectLst/>
  </c:spPr>
  <c:txPr>
    <a:bodyPr/>
    <a:lstStyle/>
    <a:p>
      <a:pPr>
        <a:defRPr>
          <a:solidFill>
            <a:srgbClr val="2C307E"/>
          </a:solidFill>
        </a:defRPr>
      </a:pPr>
      <a:endParaRPr lang="en-NL"/>
    </a:p>
  </c:txPr>
  <c:externalData r:id="rId3">
    <c:autoUpdate val="0"/>
  </c:externalData>
</c:chartSpace>
</file>

<file path=word/charts/chart1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rgbClr val="2C307E"/>
                </a:solidFill>
                <a:latin typeface="+mn-lt"/>
                <a:ea typeface="+mn-ea"/>
                <a:cs typeface="+mn-cs"/>
              </a:defRPr>
            </a:pPr>
            <a:r>
              <a:rPr lang="nl-NL" sz="1100"/>
              <a:t>Wie mag er voor jou bepalen of je slim laadt aan de openbare laadpaal?</a:t>
            </a:r>
          </a:p>
        </c:rich>
      </c:tx>
      <c:overlay val="0"/>
      <c:spPr>
        <a:noFill/>
        <a:ln>
          <a:noFill/>
        </a:ln>
        <a:effectLst/>
      </c:spPr>
      <c:txPr>
        <a:bodyPr rot="0" spcFirstLastPara="1" vertOverflow="ellipsis" vert="horz" wrap="square" anchor="ctr" anchorCtr="1"/>
        <a:lstStyle/>
        <a:p>
          <a:pPr>
            <a:defRPr sz="1100" b="0" i="0" u="none" strike="noStrike" kern="1200" spc="0" baseline="0">
              <a:solidFill>
                <a:srgbClr val="2C307E"/>
              </a:solidFill>
              <a:latin typeface="+mn-lt"/>
              <a:ea typeface="+mn-ea"/>
              <a:cs typeface="+mn-cs"/>
            </a:defRPr>
          </a:pPr>
          <a:endParaRPr lang="en-NL"/>
        </a:p>
      </c:txPr>
    </c:title>
    <c:autoTitleDeleted val="0"/>
    <c:plotArea>
      <c:layout/>
      <c:barChart>
        <c:barDir val="bar"/>
        <c:grouping val="percentStacked"/>
        <c:varyColors val="0"/>
        <c:ser>
          <c:idx val="0"/>
          <c:order val="0"/>
          <c:tx>
            <c:strRef>
              <c:f>Analyse!$K$869</c:f>
              <c:strCache>
                <c:ptCount val="1"/>
                <c:pt idx="0">
                  <c:v>Allen ikzelf</c:v>
                </c:pt>
              </c:strCache>
            </c:strRef>
          </c:tx>
          <c:spPr>
            <a:solidFill>
              <a:srgbClr val="2C307E"/>
            </a:solidFill>
            <a:ln>
              <a:noFill/>
            </a:ln>
            <a:effectLst/>
          </c:spPr>
          <c:invertIfNegative val="0"/>
          <c:dLbls>
            <c:spPr>
              <a:noFill/>
              <a:ln>
                <a:noFill/>
              </a:ln>
              <a:effectLst/>
            </c:spPr>
            <c:txPr>
              <a:bodyPr rot="0" spcFirstLastPara="1" vertOverflow="ellipsis" vert="horz" wrap="square" anchor="ctr" anchorCtr="1"/>
              <a:lstStyle/>
              <a:p>
                <a:pPr>
                  <a:defRPr sz="800" b="1" i="0" u="none" strike="noStrike" kern="1200" baseline="0">
                    <a:solidFill>
                      <a:schemeClr val="bg1"/>
                    </a:solidFill>
                    <a:latin typeface="+mn-lt"/>
                    <a:ea typeface="+mn-ea"/>
                    <a:cs typeface="+mn-cs"/>
                  </a:defRPr>
                </a:pPr>
                <a:endParaRPr lang="en-N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Analyse!$J$870:$J$875</c:f>
              <c:strCache>
                <c:ptCount val="6"/>
                <c:pt idx="0">
                  <c:v>G4</c:v>
                </c:pt>
                <c:pt idx="1">
                  <c:v>Noord</c:v>
                </c:pt>
                <c:pt idx="2">
                  <c:v>Noordwest</c:v>
                </c:pt>
                <c:pt idx="3">
                  <c:v>Oost</c:v>
                </c:pt>
                <c:pt idx="4">
                  <c:v>Zuid</c:v>
                </c:pt>
                <c:pt idx="5">
                  <c:v>Zuidwest</c:v>
                </c:pt>
              </c:strCache>
            </c:strRef>
          </c:cat>
          <c:val>
            <c:numRef>
              <c:f>Analyse!$K$870:$K$875</c:f>
              <c:numCache>
                <c:formatCode>0%</c:formatCode>
                <c:ptCount val="6"/>
                <c:pt idx="0">
                  <c:v>0.53842105263157891</c:v>
                </c:pt>
                <c:pt idx="1">
                  <c:v>0.61728395061728403</c:v>
                </c:pt>
                <c:pt idx="2">
                  <c:v>0.62021321179737021</c:v>
                </c:pt>
                <c:pt idx="3">
                  <c:v>0.58655490933971943</c:v>
                </c:pt>
                <c:pt idx="4">
                  <c:v>0.65007091038018872</c:v>
                </c:pt>
                <c:pt idx="5">
                  <c:v>0.64896653247611602</c:v>
                </c:pt>
              </c:numCache>
            </c:numRef>
          </c:val>
          <c:extLst>
            <c:ext xmlns:c16="http://schemas.microsoft.com/office/drawing/2014/chart" uri="{C3380CC4-5D6E-409C-BE32-E72D297353CC}">
              <c16:uniqueId val="{00000000-13BF-4366-B39C-F10FBBD4FAAA}"/>
            </c:ext>
          </c:extLst>
        </c:ser>
        <c:ser>
          <c:idx val="1"/>
          <c:order val="1"/>
          <c:tx>
            <c:strRef>
              <c:f>Analyse!$L$869</c:f>
              <c:strCache>
                <c:ptCount val="1"/>
                <c:pt idx="0">
                  <c:v>Een door mij gekozen gemachtigde</c:v>
                </c:pt>
              </c:strCache>
            </c:strRef>
          </c:tx>
          <c:spPr>
            <a:solidFill>
              <a:srgbClr val="08B466"/>
            </a:solidFill>
            <a:ln>
              <a:noFill/>
            </a:ln>
            <a:effectLst/>
          </c:spPr>
          <c:invertIfNegative val="0"/>
          <c:dLbls>
            <c:spPr>
              <a:noFill/>
              <a:ln>
                <a:noFill/>
              </a:ln>
              <a:effectLst/>
            </c:spPr>
            <c:txPr>
              <a:bodyPr rot="0" spcFirstLastPara="1" vertOverflow="ellipsis" vert="horz" wrap="square" anchor="ctr" anchorCtr="1"/>
              <a:lstStyle/>
              <a:p>
                <a:pPr>
                  <a:defRPr sz="800" b="1" i="0" u="none" strike="noStrike" kern="1200" baseline="0">
                    <a:solidFill>
                      <a:schemeClr val="bg1"/>
                    </a:solidFill>
                    <a:latin typeface="+mn-lt"/>
                    <a:ea typeface="+mn-ea"/>
                    <a:cs typeface="+mn-cs"/>
                  </a:defRPr>
                </a:pPr>
                <a:endParaRPr lang="en-N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Analyse!$J$870:$J$875</c:f>
              <c:strCache>
                <c:ptCount val="6"/>
                <c:pt idx="0">
                  <c:v>G4</c:v>
                </c:pt>
                <c:pt idx="1">
                  <c:v>Noord</c:v>
                </c:pt>
                <c:pt idx="2">
                  <c:v>Noordwest</c:v>
                </c:pt>
                <c:pt idx="3">
                  <c:v>Oost</c:v>
                </c:pt>
                <c:pt idx="4">
                  <c:v>Zuid</c:v>
                </c:pt>
                <c:pt idx="5">
                  <c:v>Zuidwest</c:v>
                </c:pt>
              </c:strCache>
            </c:strRef>
          </c:cat>
          <c:val>
            <c:numRef>
              <c:f>Analyse!$L$870:$L$875</c:f>
              <c:numCache>
                <c:formatCode>0%</c:formatCode>
                <c:ptCount val="6"/>
                <c:pt idx="0">
                  <c:v>5.5789473684210528E-2</c:v>
                </c:pt>
                <c:pt idx="1">
                  <c:v>3.7037037037037035E-2</c:v>
                </c:pt>
                <c:pt idx="2">
                  <c:v>5.1207501702551207E-2</c:v>
                </c:pt>
                <c:pt idx="3">
                  <c:v>4.8323640095791993E-2</c:v>
                </c:pt>
                <c:pt idx="4">
                  <c:v>4.415534827905962E-2</c:v>
                </c:pt>
                <c:pt idx="5">
                  <c:v>4.7076849125758574E-2</c:v>
                </c:pt>
              </c:numCache>
            </c:numRef>
          </c:val>
          <c:extLst>
            <c:ext xmlns:c16="http://schemas.microsoft.com/office/drawing/2014/chart" uri="{C3380CC4-5D6E-409C-BE32-E72D297353CC}">
              <c16:uniqueId val="{00000001-13BF-4366-B39C-F10FBBD4FAAA}"/>
            </c:ext>
          </c:extLst>
        </c:ser>
        <c:ser>
          <c:idx val="2"/>
          <c:order val="2"/>
          <c:tx>
            <c:strRef>
              <c:f>Analyse!$M$869</c:f>
              <c:strCache>
                <c:ptCount val="1"/>
                <c:pt idx="0">
                  <c:v>Een andere partij (bijv. netbeheerder, laadpaalbeheerder, autofabrikant)</c:v>
                </c:pt>
              </c:strCache>
            </c:strRef>
          </c:tx>
          <c:spPr>
            <a:solidFill>
              <a:srgbClr val="C9C743"/>
            </a:solidFill>
            <a:ln>
              <a:noFill/>
            </a:ln>
            <a:effectLst/>
          </c:spPr>
          <c:invertIfNegative val="0"/>
          <c:dLbls>
            <c:spPr>
              <a:noFill/>
              <a:ln>
                <a:noFill/>
              </a:ln>
              <a:effectLst/>
            </c:spPr>
            <c:txPr>
              <a:bodyPr rot="0" spcFirstLastPara="1" vertOverflow="ellipsis" vert="horz" wrap="square" anchor="ctr" anchorCtr="1"/>
              <a:lstStyle/>
              <a:p>
                <a:pPr>
                  <a:defRPr sz="800" b="1" i="0" u="none" strike="noStrike" kern="1200" baseline="0">
                    <a:solidFill>
                      <a:schemeClr val="bg1"/>
                    </a:solidFill>
                    <a:latin typeface="+mn-lt"/>
                    <a:ea typeface="+mn-ea"/>
                    <a:cs typeface="+mn-cs"/>
                  </a:defRPr>
                </a:pPr>
                <a:endParaRPr lang="en-N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Analyse!$J$870:$J$875</c:f>
              <c:strCache>
                <c:ptCount val="6"/>
                <c:pt idx="0">
                  <c:v>G4</c:v>
                </c:pt>
                <c:pt idx="1">
                  <c:v>Noord</c:v>
                </c:pt>
                <c:pt idx="2">
                  <c:v>Noordwest</c:v>
                </c:pt>
                <c:pt idx="3">
                  <c:v>Oost</c:v>
                </c:pt>
                <c:pt idx="4">
                  <c:v>Zuid</c:v>
                </c:pt>
                <c:pt idx="5">
                  <c:v>Zuidwest</c:v>
                </c:pt>
              </c:strCache>
            </c:strRef>
          </c:cat>
          <c:val>
            <c:numRef>
              <c:f>Analyse!$M$870:$M$875</c:f>
              <c:numCache>
                <c:formatCode>0%</c:formatCode>
                <c:ptCount val="6"/>
                <c:pt idx="0">
                  <c:v>0.33921052631578946</c:v>
                </c:pt>
                <c:pt idx="1">
                  <c:v>0.24691358024691357</c:v>
                </c:pt>
                <c:pt idx="2">
                  <c:v>0.19228351406569227</c:v>
                </c:pt>
                <c:pt idx="3">
                  <c:v>0.21886760177899417</c:v>
                </c:pt>
                <c:pt idx="4">
                  <c:v>0.20911743849888179</c:v>
                </c:pt>
                <c:pt idx="5">
                  <c:v>0.21342306074625969</c:v>
                </c:pt>
              </c:numCache>
            </c:numRef>
          </c:val>
          <c:extLst>
            <c:ext xmlns:c16="http://schemas.microsoft.com/office/drawing/2014/chart" uri="{C3380CC4-5D6E-409C-BE32-E72D297353CC}">
              <c16:uniqueId val="{00000002-13BF-4366-B39C-F10FBBD4FAAA}"/>
            </c:ext>
          </c:extLst>
        </c:ser>
        <c:ser>
          <c:idx val="3"/>
          <c:order val="3"/>
          <c:tx>
            <c:strRef>
              <c:f>Analyse!$N$869</c:f>
              <c:strCache>
                <c:ptCount val="1"/>
                <c:pt idx="0">
                  <c:v>Ik weet het niet</c:v>
                </c:pt>
              </c:strCache>
            </c:strRef>
          </c:tx>
          <c:spPr>
            <a:solidFill>
              <a:srgbClr val="BAD6ED"/>
            </a:solidFill>
            <a:ln>
              <a:noFill/>
            </a:ln>
            <a:effectLst/>
          </c:spPr>
          <c:invertIfNegative val="0"/>
          <c:dLbls>
            <c:spPr>
              <a:noFill/>
              <a:ln>
                <a:noFill/>
              </a:ln>
              <a:effectLst/>
            </c:spPr>
            <c:txPr>
              <a:bodyPr rot="0" spcFirstLastPara="1" vertOverflow="ellipsis" vert="horz" wrap="square" anchor="ctr" anchorCtr="1"/>
              <a:lstStyle/>
              <a:p>
                <a:pPr>
                  <a:defRPr sz="800" b="1" i="0" u="none" strike="noStrike" kern="1200" baseline="0">
                    <a:solidFill>
                      <a:srgbClr val="2C307E"/>
                    </a:solidFill>
                    <a:latin typeface="+mn-lt"/>
                    <a:ea typeface="+mn-ea"/>
                    <a:cs typeface="+mn-cs"/>
                  </a:defRPr>
                </a:pPr>
                <a:endParaRPr lang="en-N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Analyse!$J$870:$J$875</c:f>
              <c:strCache>
                <c:ptCount val="6"/>
                <c:pt idx="0">
                  <c:v>G4</c:v>
                </c:pt>
                <c:pt idx="1">
                  <c:v>Noord</c:v>
                </c:pt>
                <c:pt idx="2">
                  <c:v>Noordwest</c:v>
                </c:pt>
                <c:pt idx="3">
                  <c:v>Oost</c:v>
                </c:pt>
                <c:pt idx="4">
                  <c:v>Zuid</c:v>
                </c:pt>
                <c:pt idx="5">
                  <c:v>Zuidwest</c:v>
                </c:pt>
              </c:strCache>
            </c:strRef>
          </c:cat>
          <c:val>
            <c:numRef>
              <c:f>Analyse!$N$870:$N$875</c:f>
              <c:numCache>
                <c:formatCode>0%</c:formatCode>
                <c:ptCount val="6"/>
                <c:pt idx="0">
                  <c:v>6.6578947368421057E-2</c:v>
                </c:pt>
                <c:pt idx="1">
                  <c:v>9.8765432098765427E-2</c:v>
                </c:pt>
                <c:pt idx="2">
                  <c:v>0.13629577243438629</c:v>
                </c:pt>
                <c:pt idx="3">
                  <c:v>0.14625384878549436</c:v>
                </c:pt>
                <c:pt idx="4">
                  <c:v>9.6656302841869851E-2</c:v>
                </c:pt>
                <c:pt idx="5">
                  <c:v>9.0533557651865645E-2</c:v>
                </c:pt>
              </c:numCache>
            </c:numRef>
          </c:val>
          <c:extLst>
            <c:ext xmlns:c16="http://schemas.microsoft.com/office/drawing/2014/chart" uri="{C3380CC4-5D6E-409C-BE32-E72D297353CC}">
              <c16:uniqueId val="{00000003-13BF-4366-B39C-F10FBBD4FAAA}"/>
            </c:ext>
          </c:extLst>
        </c:ser>
        <c:dLbls>
          <c:dLblPos val="ctr"/>
          <c:showLegendKey val="0"/>
          <c:showVal val="1"/>
          <c:showCatName val="0"/>
          <c:showSerName val="0"/>
          <c:showPercent val="0"/>
          <c:showBubbleSize val="0"/>
        </c:dLbls>
        <c:gapWidth val="150"/>
        <c:overlap val="100"/>
        <c:axId val="481659152"/>
        <c:axId val="481658672"/>
      </c:barChart>
      <c:catAx>
        <c:axId val="48165915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2C307E"/>
                </a:solidFill>
                <a:latin typeface="+mn-lt"/>
                <a:ea typeface="+mn-ea"/>
                <a:cs typeface="+mn-cs"/>
              </a:defRPr>
            </a:pPr>
            <a:endParaRPr lang="en-NL"/>
          </a:p>
        </c:txPr>
        <c:crossAx val="481658672"/>
        <c:crosses val="autoZero"/>
        <c:auto val="1"/>
        <c:lblAlgn val="ctr"/>
        <c:lblOffset val="100"/>
        <c:noMultiLvlLbl val="0"/>
      </c:catAx>
      <c:valAx>
        <c:axId val="481658672"/>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2C307E"/>
                </a:solidFill>
                <a:latin typeface="+mn-lt"/>
                <a:ea typeface="+mn-ea"/>
                <a:cs typeface="+mn-cs"/>
              </a:defRPr>
            </a:pPr>
            <a:endParaRPr lang="en-NL"/>
          </a:p>
        </c:txPr>
        <c:crossAx val="481659152"/>
        <c:crosses val="autoZero"/>
        <c:crossBetween val="between"/>
      </c:valAx>
      <c:spPr>
        <a:noFill/>
        <a:ln>
          <a:noFill/>
        </a:ln>
        <a:effectLst/>
      </c:spPr>
    </c:plotArea>
    <c:legend>
      <c:legendPos val="b"/>
      <c:layout>
        <c:manualLayout>
          <c:xMode val="edge"/>
          <c:yMode val="edge"/>
          <c:x val="0"/>
          <c:y val="0.73032235771474552"/>
          <c:w val="1"/>
          <c:h val="0.26967764228525437"/>
        </c:manualLayout>
      </c:layout>
      <c:overlay val="0"/>
      <c:spPr>
        <a:noFill/>
        <a:ln>
          <a:noFill/>
        </a:ln>
        <a:effectLst/>
      </c:spPr>
      <c:txPr>
        <a:bodyPr rot="0" spcFirstLastPara="1" vertOverflow="ellipsis" vert="horz" wrap="square" anchor="ctr" anchorCtr="1"/>
        <a:lstStyle/>
        <a:p>
          <a:pPr>
            <a:defRPr sz="900" b="0" i="0" u="none" strike="noStrike" kern="1200" baseline="0">
              <a:solidFill>
                <a:srgbClr val="2C307E"/>
              </a:solidFill>
              <a:latin typeface="+mn-lt"/>
              <a:ea typeface="+mn-ea"/>
              <a:cs typeface="+mn-cs"/>
            </a:defRPr>
          </a:pPr>
          <a:endParaRPr lang="en-NL"/>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a:solidFill>
            <a:srgbClr val="2C307E"/>
          </a:solidFill>
        </a:defRPr>
      </a:pPr>
      <a:endParaRPr lang="en-NL"/>
    </a:p>
  </c:txPr>
  <c:externalData r:id="rId3">
    <c:autoUpdate val="0"/>
  </c:externalData>
</c:chartSpace>
</file>

<file path=word/charts/chart1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rgbClr val="2C307E"/>
                </a:solidFill>
                <a:latin typeface="+mn-lt"/>
                <a:ea typeface="+mn-ea"/>
                <a:cs typeface="+mn-cs"/>
              </a:defRPr>
            </a:pPr>
            <a:r>
              <a:rPr lang="nl-NL" sz="1100"/>
              <a:t>Hoe vaak verwacht je je af te melden voor een slim laden sessie aan de openbare laadpaal? </a:t>
            </a:r>
          </a:p>
        </c:rich>
      </c:tx>
      <c:overlay val="0"/>
      <c:spPr>
        <a:noFill/>
        <a:ln>
          <a:noFill/>
        </a:ln>
        <a:effectLst/>
      </c:spPr>
      <c:txPr>
        <a:bodyPr rot="0" spcFirstLastPara="1" vertOverflow="ellipsis" vert="horz" wrap="square" anchor="ctr" anchorCtr="1"/>
        <a:lstStyle/>
        <a:p>
          <a:pPr>
            <a:defRPr sz="1100" b="0" i="0" u="none" strike="noStrike" kern="1200" spc="0" baseline="0">
              <a:solidFill>
                <a:srgbClr val="2C307E"/>
              </a:solidFill>
              <a:latin typeface="+mn-lt"/>
              <a:ea typeface="+mn-ea"/>
              <a:cs typeface="+mn-cs"/>
            </a:defRPr>
          </a:pPr>
          <a:endParaRPr lang="en-NL"/>
        </a:p>
      </c:txPr>
    </c:title>
    <c:autoTitleDeleted val="0"/>
    <c:plotArea>
      <c:layout/>
      <c:barChart>
        <c:barDir val="bar"/>
        <c:grouping val="percentStacked"/>
        <c:varyColors val="0"/>
        <c:ser>
          <c:idx val="0"/>
          <c:order val="0"/>
          <c:tx>
            <c:strRef>
              <c:f>Analyse!$K$1004</c:f>
              <c:strCache>
                <c:ptCount val="1"/>
                <c:pt idx="0">
                  <c:v>Heel vaak</c:v>
                </c:pt>
              </c:strCache>
            </c:strRef>
          </c:tx>
          <c:spPr>
            <a:solidFill>
              <a:srgbClr val="2C307E"/>
            </a:solidFill>
            <a:ln>
              <a:noFill/>
            </a:ln>
            <a:effectLst/>
          </c:spPr>
          <c:invertIfNegative val="0"/>
          <c:dLbls>
            <c:dLbl>
              <c:idx val="3"/>
              <c:layout>
                <c:manualLayout>
                  <c:x val="1.4347202295552324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583-4FF1-BE22-10FB0E63B21C}"/>
                </c:ext>
              </c:extLst>
            </c:dLbl>
            <c:spPr>
              <a:noFill/>
              <a:ln>
                <a:noFill/>
              </a:ln>
              <a:effectLst/>
            </c:spPr>
            <c:txPr>
              <a:bodyPr rot="0" spcFirstLastPara="1" vertOverflow="ellipsis" vert="horz" wrap="square" anchor="ctr" anchorCtr="1"/>
              <a:lstStyle/>
              <a:p>
                <a:pPr>
                  <a:defRPr sz="800" b="1" i="0" u="none" strike="noStrike" kern="1200" baseline="0">
                    <a:solidFill>
                      <a:schemeClr val="bg1"/>
                    </a:solidFill>
                    <a:latin typeface="+mn-lt"/>
                    <a:ea typeface="+mn-ea"/>
                    <a:cs typeface="+mn-cs"/>
                  </a:defRPr>
                </a:pPr>
                <a:endParaRPr lang="en-N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Analyse!$J$1005:$J$1010</c:f>
              <c:strCache>
                <c:ptCount val="6"/>
                <c:pt idx="0">
                  <c:v>G4</c:v>
                </c:pt>
                <c:pt idx="1">
                  <c:v>Noord</c:v>
                </c:pt>
                <c:pt idx="2">
                  <c:v>Noordwest</c:v>
                </c:pt>
                <c:pt idx="3">
                  <c:v>Oost</c:v>
                </c:pt>
                <c:pt idx="4">
                  <c:v>Zuid</c:v>
                </c:pt>
                <c:pt idx="5">
                  <c:v>Zuidwest</c:v>
                </c:pt>
              </c:strCache>
            </c:strRef>
          </c:cat>
          <c:val>
            <c:numRef>
              <c:f>Analyse!$K$1005:$K$1010</c:f>
              <c:numCache>
                <c:formatCode>0%</c:formatCode>
                <c:ptCount val="6"/>
                <c:pt idx="0">
                  <c:v>9.7807207989578815E-2</c:v>
                </c:pt>
                <c:pt idx="1">
                  <c:v>8.2383665716999052E-2</c:v>
                </c:pt>
                <c:pt idx="2">
                  <c:v>6.492342782665364E-2</c:v>
                </c:pt>
                <c:pt idx="3">
                  <c:v>4.9254317111459972E-2</c:v>
                </c:pt>
                <c:pt idx="4">
                  <c:v>6.3151364764267984E-2</c:v>
                </c:pt>
                <c:pt idx="5">
                  <c:v>6.070331695331696E-2</c:v>
                </c:pt>
              </c:numCache>
            </c:numRef>
          </c:val>
          <c:extLst>
            <c:ext xmlns:c16="http://schemas.microsoft.com/office/drawing/2014/chart" uri="{C3380CC4-5D6E-409C-BE32-E72D297353CC}">
              <c16:uniqueId val="{00000001-B583-4FF1-BE22-10FB0E63B21C}"/>
            </c:ext>
          </c:extLst>
        </c:ser>
        <c:ser>
          <c:idx val="1"/>
          <c:order val="1"/>
          <c:tx>
            <c:strRef>
              <c:f>Analyse!$L$1004</c:f>
              <c:strCache>
                <c:ptCount val="1"/>
                <c:pt idx="0">
                  <c:v>vaak</c:v>
                </c:pt>
              </c:strCache>
            </c:strRef>
          </c:tx>
          <c:spPr>
            <a:solidFill>
              <a:srgbClr val="08B466"/>
            </a:solidFill>
            <a:ln>
              <a:noFill/>
            </a:ln>
            <a:effectLst/>
          </c:spPr>
          <c:invertIfNegative val="0"/>
          <c:dLbls>
            <c:dLbl>
              <c:idx val="3"/>
              <c:layout>
                <c:manualLayout>
                  <c:x val="1.4347202295552367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583-4FF1-BE22-10FB0E63B21C}"/>
                </c:ext>
              </c:extLst>
            </c:dLbl>
            <c:spPr>
              <a:noFill/>
              <a:ln>
                <a:noFill/>
              </a:ln>
              <a:effectLst/>
            </c:spPr>
            <c:txPr>
              <a:bodyPr rot="0" spcFirstLastPara="1" vertOverflow="ellipsis" vert="horz" wrap="square" anchor="ctr" anchorCtr="1"/>
              <a:lstStyle/>
              <a:p>
                <a:pPr>
                  <a:defRPr sz="800" b="1" i="0" u="none" strike="noStrike" kern="1200" baseline="0">
                    <a:solidFill>
                      <a:schemeClr val="bg1"/>
                    </a:solidFill>
                    <a:latin typeface="+mn-lt"/>
                    <a:ea typeface="+mn-ea"/>
                    <a:cs typeface="+mn-cs"/>
                  </a:defRPr>
                </a:pPr>
                <a:endParaRPr lang="en-N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Analyse!$J$1005:$J$1010</c:f>
              <c:strCache>
                <c:ptCount val="6"/>
                <c:pt idx="0">
                  <c:v>G4</c:v>
                </c:pt>
                <c:pt idx="1">
                  <c:v>Noord</c:v>
                </c:pt>
                <c:pt idx="2">
                  <c:v>Noordwest</c:v>
                </c:pt>
                <c:pt idx="3">
                  <c:v>Oost</c:v>
                </c:pt>
                <c:pt idx="4">
                  <c:v>Zuid</c:v>
                </c:pt>
                <c:pt idx="5">
                  <c:v>Zuidwest</c:v>
                </c:pt>
              </c:strCache>
            </c:strRef>
          </c:cat>
          <c:val>
            <c:numRef>
              <c:f>Analyse!$L$1005:$L$1010</c:f>
              <c:numCache>
                <c:formatCode>0%</c:formatCode>
                <c:ptCount val="6"/>
                <c:pt idx="0">
                  <c:v>8.8688666956144163E-2</c:v>
                </c:pt>
                <c:pt idx="1">
                  <c:v>0.15123456790123457</c:v>
                </c:pt>
                <c:pt idx="2">
                  <c:v>8.3088954056696002E-2</c:v>
                </c:pt>
                <c:pt idx="3">
                  <c:v>0.12611198325484041</c:v>
                </c:pt>
                <c:pt idx="4">
                  <c:v>0.12799834574028124</c:v>
                </c:pt>
                <c:pt idx="5">
                  <c:v>7.1928746928746928E-2</c:v>
                </c:pt>
              </c:numCache>
            </c:numRef>
          </c:val>
          <c:extLst>
            <c:ext xmlns:c16="http://schemas.microsoft.com/office/drawing/2014/chart" uri="{C3380CC4-5D6E-409C-BE32-E72D297353CC}">
              <c16:uniqueId val="{00000003-B583-4FF1-BE22-10FB0E63B21C}"/>
            </c:ext>
          </c:extLst>
        </c:ser>
        <c:ser>
          <c:idx val="2"/>
          <c:order val="2"/>
          <c:tx>
            <c:strRef>
              <c:f>Analyse!$M$1004</c:f>
              <c:strCache>
                <c:ptCount val="1"/>
                <c:pt idx="0">
                  <c:v>soms</c:v>
                </c:pt>
              </c:strCache>
            </c:strRef>
          </c:tx>
          <c:spPr>
            <a:solidFill>
              <a:srgbClr val="C9C743"/>
            </a:solidFill>
            <a:ln>
              <a:noFill/>
            </a:ln>
            <a:effectLst/>
          </c:spPr>
          <c:invertIfNegative val="0"/>
          <c:dLbls>
            <c:spPr>
              <a:noFill/>
              <a:ln>
                <a:noFill/>
              </a:ln>
              <a:effectLst/>
            </c:spPr>
            <c:txPr>
              <a:bodyPr rot="0" spcFirstLastPara="1" vertOverflow="ellipsis" vert="horz" wrap="square" anchor="ctr" anchorCtr="1"/>
              <a:lstStyle/>
              <a:p>
                <a:pPr>
                  <a:defRPr sz="800" b="1" i="0" u="none" strike="noStrike" kern="1200" baseline="0">
                    <a:solidFill>
                      <a:schemeClr val="bg1"/>
                    </a:solidFill>
                    <a:latin typeface="+mn-lt"/>
                    <a:ea typeface="+mn-ea"/>
                    <a:cs typeface="+mn-cs"/>
                  </a:defRPr>
                </a:pPr>
                <a:endParaRPr lang="en-N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Analyse!$J$1005:$J$1010</c:f>
              <c:strCache>
                <c:ptCount val="6"/>
                <c:pt idx="0">
                  <c:v>G4</c:v>
                </c:pt>
                <c:pt idx="1">
                  <c:v>Noord</c:v>
                </c:pt>
                <c:pt idx="2">
                  <c:v>Noordwest</c:v>
                </c:pt>
                <c:pt idx="3">
                  <c:v>Oost</c:v>
                </c:pt>
                <c:pt idx="4">
                  <c:v>Zuid</c:v>
                </c:pt>
                <c:pt idx="5">
                  <c:v>Zuidwest</c:v>
                </c:pt>
              </c:strCache>
            </c:strRef>
          </c:cat>
          <c:val>
            <c:numRef>
              <c:f>Analyse!$M$1005:$M$1010</c:f>
              <c:numCache>
                <c:formatCode>0%</c:formatCode>
                <c:ptCount val="6"/>
                <c:pt idx="0">
                  <c:v>0.26074685193226227</c:v>
                </c:pt>
                <c:pt idx="1">
                  <c:v>0.35113960113960113</c:v>
                </c:pt>
                <c:pt idx="2">
                  <c:v>0.36314760508308896</c:v>
                </c:pt>
                <c:pt idx="3">
                  <c:v>0.32790423861852436</c:v>
                </c:pt>
                <c:pt idx="4">
                  <c:v>0.36215880893300245</c:v>
                </c:pt>
                <c:pt idx="5">
                  <c:v>0.34723587223587227</c:v>
                </c:pt>
              </c:numCache>
            </c:numRef>
          </c:val>
          <c:extLst>
            <c:ext xmlns:c16="http://schemas.microsoft.com/office/drawing/2014/chart" uri="{C3380CC4-5D6E-409C-BE32-E72D297353CC}">
              <c16:uniqueId val="{00000004-B583-4FF1-BE22-10FB0E63B21C}"/>
            </c:ext>
          </c:extLst>
        </c:ser>
        <c:ser>
          <c:idx val="3"/>
          <c:order val="3"/>
          <c:tx>
            <c:strRef>
              <c:f>Analyse!$N$1004</c:f>
              <c:strCache>
                <c:ptCount val="1"/>
                <c:pt idx="0">
                  <c:v>zelden </c:v>
                </c:pt>
              </c:strCache>
            </c:strRef>
          </c:tx>
          <c:spPr>
            <a:solidFill>
              <a:srgbClr val="BAD6ED"/>
            </a:solidFill>
            <a:ln>
              <a:noFill/>
            </a:ln>
            <a:effectLst/>
          </c:spPr>
          <c:invertIfNegative val="0"/>
          <c:dLbls>
            <c:spPr>
              <a:noFill/>
              <a:ln>
                <a:noFill/>
              </a:ln>
              <a:effectLst/>
            </c:spPr>
            <c:txPr>
              <a:bodyPr rot="0" spcFirstLastPara="1" vertOverflow="ellipsis" vert="horz" wrap="square" anchor="ctr" anchorCtr="1"/>
              <a:lstStyle/>
              <a:p>
                <a:pPr>
                  <a:defRPr sz="800" b="1" i="0" u="none" strike="noStrike" kern="1200" baseline="0">
                    <a:solidFill>
                      <a:srgbClr val="2C307E"/>
                    </a:solidFill>
                    <a:latin typeface="+mn-lt"/>
                    <a:ea typeface="+mn-ea"/>
                    <a:cs typeface="+mn-cs"/>
                  </a:defRPr>
                </a:pPr>
                <a:endParaRPr lang="en-N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Analyse!$J$1005:$J$1010</c:f>
              <c:strCache>
                <c:ptCount val="6"/>
                <c:pt idx="0">
                  <c:v>G4</c:v>
                </c:pt>
                <c:pt idx="1">
                  <c:v>Noord</c:v>
                </c:pt>
                <c:pt idx="2">
                  <c:v>Noordwest</c:v>
                </c:pt>
                <c:pt idx="3">
                  <c:v>Oost</c:v>
                </c:pt>
                <c:pt idx="4">
                  <c:v>Zuid</c:v>
                </c:pt>
                <c:pt idx="5">
                  <c:v>Zuidwest</c:v>
                </c:pt>
              </c:strCache>
            </c:strRef>
          </c:cat>
          <c:val>
            <c:numRef>
              <c:f>Analyse!$N$1005:$N$1010</c:f>
              <c:numCache>
                <c:formatCode>0%</c:formatCode>
                <c:ptCount val="6"/>
                <c:pt idx="0">
                  <c:v>0.40219279201042119</c:v>
                </c:pt>
                <c:pt idx="1">
                  <c:v>0.28323836657169987</c:v>
                </c:pt>
                <c:pt idx="2">
                  <c:v>0.34587813620071683</c:v>
                </c:pt>
                <c:pt idx="3">
                  <c:v>0.34674254317111464</c:v>
                </c:pt>
                <c:pt idx="4">
                  <c:v>0.32526881720430106</c:v>
                </c:pt>
                <c:pt idx="5">
                  <c:v>0.42942260442260444</c:v>
                </c:pt>
              </c:numCache>
            </c:numRef>
          </c:val>
          <c:extLst>
            <c:ext xmlns:c16="http://schemas.microsoft.com/office/drawing/2014/chart" uri="{C3380CC4-5D6E-409C-BE32-E72D297353CC}">
              <c16:uniqueId val="{00000005-B583-4FF1-BE22-10FB0E63B21C}"/>
            </c:ext>
          </c:extLst>
        </c:ser>
        <c:ser>
          <c:idx val="4"/>
          <c:order val="4"/>
          <c:tx>
            <c:strRef>
              <c:f>Analyse!$O$1004</c:f>
              <c:strCache>
                <c:ptCount val="1"/>
                <c:pt idx="0">
                  <c:v>nooit</c:v>
                </c:pt>
              </c:strCache>
            </c:strRef>
          </c:tx>
          <c:spPr>
            <a:solidFill>
              <a:srgbClr val="4EAFAA"/>
            </a:solidFill>
            <a:ln>
              <a:noFill/>
            </a:ln>
            <a:effectLst/>
          </c:spPr>
          <c:invertIfNegative val="0"/>
          <c:dLbls>
            <c:spPr>
              <a:noFill/>
              <a:ln>
                <a:noFill/>
              </a:ln>
              <a:effectLst/>
            </c:spPr>
            <c:txPr>
              <a:bodyPr rot="0" spcFirstLastPara="1" vertOverflow="ellipsis" vert="horz" wrap="square" anchor="ctr" anchorCtr="1"/>
              <a:lstStyle/>
              <a:p>
                <a:pPr>
                  <a:defRPr sz="800" b="1" i="0" u="none" strike="noStrike" kern="1200" baseline="0">
                    <a:solidFill>
                      <a:schemeClr val="bg1"/>
                    </a:solidFill>
                    <a:latin typeface="+mn-lt"/>
                    <a:ea typeface="+mn-ea"/>
                    <a:cs typeface="+mn-cs"/>
                  </a:defRPr>
                </a:pPr>
                <a:endParaRPr lang="en-N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Analyse!$J$1005:$J$1010</c:f>
              <c:strCache>
                <c:ptCount val="6"/>
                <c:pt idx="0">
                  <c:v>G4</c:v>
                </c:pt>
                <c:pt idx="1">
                  <c:v>Noord</c:v>
                </c:pt>
                <c:pt idx="2">
                  <c:v>Noordwest</c:v>
                </c:pt>
                <c:pt idx="3">
                  <c:v>Oost</c:v>
                </c:pt>
                <c:pt idx="4">
                  <c:v>Zuid</c:v>
                </c:pt>
                <c:pt idx="5">
                  <c:v>Zuidwest</c:v>
                </c:pt>
              </c:strCache>
            </c:strRef>
          </c:cat>
          <c:val>
            <c:numRef>
              <c:f>Analyse!$O$1005:$O$1010</c:f>
              <c:numCache>
                <c:formatCode>0%</c:formatCode>
                <c:ptCount val="6"/>
                <c:pt idx="0">
                  <c:v>0.15056448111159357</c:v>
                </c:pt>
                <c:pt idx="1">
                  <c:v>0.13200379867046533</c:v>
                </c:pt>
                <c:pt idx="2">
                  <c:v>0.14296187683284456</c:v>
                </c:pt>
                <c:pt idx="3">
                  <c:v>0.14998691784406071</c:v>
                </c:pt>
                <c:pt idx="4">
                  <c:v>0.12142266335814723</c:v>
                </c:pt>
                <c:pt idx="5">
                  <c:v>9.0709459459459463E-2</c:v>
                </c:pt>
              </c:numCache>
            </c:numRef>
          </c:val>
          <c:extLst>
            <c:ext xmlns:c16="http://schemas.microsoft.com/office/drawing/2014/chart" uri="{C3380CC4-5D6E-409C-BE32-E72D297353CC}">
              <c16:uniqueId val="{00000006-B583-4FF1-BE22-10FB0E63B21C}"/>
            </c:ext>
          </c:extLst>
        </c:ser>
        <c:dLbls>
          <c:dLblPos val="ctr"/>
          <c:showLegendKey val="0"/>
          <c:showVal val="1"/>
          <c:showCatName val="0"/>
          <c:showSerName val="0"/>
          <c:showPercent val="0"/>
          <c:showBubbleSize val="0"/>
        </c:dLbls>
        <c:gapWidth val="150"/>
        <c:overlap val="100"/>
        <c:axId val="150493424"/>
        <c:axId val="150491024"/>
      </c:barChart>
      <c:catAx>
        <c:axId val="15049342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2C307E"/>
                </a:solidFill>
                <a:latin typeface="+mn-lt"/>
                <a:ea typeface="+mn-ea"/>
                <a:cs typeface="+mn-cs"/>
              </a:defRPr>
            </a:pPr>
            <a:endParaRPr lang="en-NL"/>
          </a:p>
        </c:txPr>
        <c:crossAx val="150491024"/>
        <c:crosses val="autoZero"/>
        <c:auto val="1"/>
        <c:lblAlgn val="ctr"/>
        <c:lblOffset val="100"/>
        <c:noMultiLvlLbl val="0"/>
      </c:catAx>
      <c:valAx>
        <c:axId val="15049102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2C307E"/>
                </a:solidFill>
                <a:latin typeface="+mn-lt"/>
                <a:ea typeface="+mn-ea"/>
                <a:cs typeface="+mn-cs"/>
              </a:defRPr>
            </a:pPr>
            <a:endParaRPr lang="en-NL"/>
          </a:p>
        </c:txPr>
        <c:crossAx val="1504934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rgbClr val="2C307E"/>
              </a:solidFill>
              <a:latin typeface="+mn-lt"/>
              <a:ea typeface="+mn-ea"/>
              <a:cs typeface="+mn-cs"/>
            </a:defRPr>
          </a:pPr>
          <a:endParaRPr lang="en-NL"/>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a:solidFill>
            <a:srgbClr val="2C307E"/>
          </a:solidFill>
        </a:defRPr>
      </a:pPr>
      <a:endParaRPr lang="en-NL"/>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marL="0" marR="0" lvl="0" indent="0" algn="ctr" defTabSz="914400" rtl="0" eaLnBrk="1" fontAlgn="auto" latinLnBrk="0" hangingPunct="1">
              <a:lnSpc>
                <a:spcPct val="100000"/>
              </a:lnSpc>
              <a:spcBef>
                <a:spcPts val="0"/>
              </a:spcBef>
              <a:spcAft>
                <a:spcPts val="0"/>
              </a:spcAft>
              <a:buClrTx/>
              <a:buSzTx/>
              <a:buFontTx/>
              <a:buNone/>
              <a:tabLst/>
              <a:defRPr lang="nl-NL" sz="1100" b="0" i="0" u="none" strike="noStrike" kern="1200" spc="0" baseline="0">
                <a:solidFill>
                  <a:srgbClr val="2C307E"/>
                </a:solidFill>
                <a:latin typeface="+mn-lt"/>
                <a:ea typeface="+mn-ea"/>
                <a:cs typeface="+mn-cs"/>
              </a:defRPr>
            </a:pPr>
            <a:r>
              <a:rPr lang="nl-NL" sz="1100" b="0" i="0" u="none" strike="noStrike" kern="1200" spc="0" baseline="0">
                <a:solidFill>
                  <a:srgbClr val="2C307E"/>
                </a:solidFill>
                <a:latin typeface="+mn-lt"/>
                <a:ea typeface="+mn-ea"/>
                <a:cs typeface="+mn-cs"/>
              </a:rPr>
              <a:t>Heb je zonnepanelen?</a:t>
            </a:r>
          </a:p>
          <a:p>
            <a:pPr marL="0" marR="0" lvl="0" indent="0" algn="ctr" defTabSz="914400" rtl="0" eaLnBrk="1" fontAlgn="auto" latinLnBrk="0" hangingPunct="1">
              <a:lnSpc>
                <a:spcPct val="100000"/>
              </a:lnSpc>
              <a:spcBef>
                <a:spcPts val="0"/>
              </a:spcBef>
              <a:spcAft>
                <a:spcPts val="0"/>
              </a:spcAft>
              <a:buClrTx/>
              <a:buSzTx/>
              <a:buFontTx/>
              <a:buNone/>
              <a:tabLst/>
              <a:defRPr lang="nl-NL" sz="1100" b="0" i="0" u="none" strike="noStrike" kern="1200" spc="0" baseline="0">
                <a:solidFill>
                  <a:srgbClr val="2C307E"/>
                </a:solidFill>
                <a:latin typeface="+mn-lt"/>
                <a:ea typeface="+mn-ea"/>
                <a:cs typeface="+mn-cs"/>
              </a:defRPr>
            </a:pPr>
            <a:endParaRPr lang="nl-NL" sz="1100" b="0" i="0" u="none" strike="noStrike" kern="1200" spc="0" baseline="0">
              <a:solidFill>
                <a:srgbClr val="2C307E"/>
              </a:solidFill>
              <a:latin typeface="+mn-lt"/>
              <a:ea typeface="+mn-ea"/>
              <a:cs typeface="+mn-cs"/>
            </a:endParaRPr>
          </a:p>
        </c:rich>
      </c:tx>
      <c:overlay val="0"/>
    </c:title>
    <c:autoTitleDeleted val="0"/>
    <c:plotArea>
      <c:layout>
        <c:manualLayout>
          <c:layoutTarget val="inner"/>
          <c:xMode val="edge"/>
          <c:yMode val="edge"/>
          <c:x val="8.2746159320758475E-2"/>
          <c:y val="0.22597484362265369"/>
          <c:w val="0.89192281016686381"/>
          <c:h val="0.42433911977219063"/>
        </c:manualLayout>
      </c:layout>
      <c:barChart>
        <c:barDir val="col"/>
        <c:grouping val="clustered"/>
        <c:varyColors val="0"/>
        <c:ser>
          <c:idx val="0"/>
          <c:order val="0"/>
          <c:tx>
            <c:strRef>
              <c:f>'3.2 de elektrische auto'!$F$204</c:f>
              <c:strCache>
                <c:ptCount val="1"/>
                <c:pt idx="0">
                  <c:v>Totaal</c:v>
                </c:pt>
              </c:strCache>
            </c:strRef>
          </c:tx>
          <c:spPr>
            <a:solidFill>
              <a:srgbClr val="2C307E"/>
            </a:solidFill>
            <a:ln>
              <a:noFill/>
            </a:ln>
            <a:effectLst/>
          </c:spPr>
          <c:invertIfNegative val="0"/>
          <c:dLbls>
            <c:dLbl>
              <c:idx val="0"/>
              <c:tx>
                <c:rich>
                  <a:bodyPr wrap="square" lIns="38100" tIns="19050" rIns="38100" bIns="19050" anchor="ctr" anchorCtr="0">
                    <a:spAutoFit/>
                  </a:bodyPr>
                  <a:lstStyle/>
                  <a:p>
                    <a:pPr marL="0" marR="0" lvl="0" indent="0" algn="ctr" defTabSz="914400" rtl="0" eaLnBrk="1" fontAlgn="auto" latinLnBrk="0" hangingPunct="1">
                      <a:lnSpc>
                        <a:spcPct val="100000"/>
                      </a:lnSpc>
                      <a:spcBef>
                        <a:spcPts val="0"/>
                      </a:spcBef>
                      <a:spcAft>
                        <a:spcPts val="0"/>
                      </a:spcAft>
                      <a:buClrTx/>
                      <a:buSzTx/>
                      <a:buFontTx/>
                      <a:buNone/>
                      <a:tabLst/>
                      <a:defRPr sz="800" b="1" i="0" u="none" strike="noStrike" kern="1200" baseline="0">
                        <a:solidFill>
                          <a:sysClr val="windowText" lastClr="000000"/>
                        </a:solidFill>
                        <a:latin typeface="+mn-lt"/>
                        <a:ea typeface="+mn-ea"/>
                        <a:cs typeface="+mn-cs"/>
                      </a:defRPr>
                    </a:pPr>
                    <a:fld id="{1C944039-0652-4C9D-B2A4-884507B07111}" type="VALUE">
                      <a:rPr lang="en-US" sz="800" b="1" i="0" u="none" strike="noStrike" kern="1200" baseline="0">
                        <a:solidFill>
                          <a:srgbClr val="4EAFAA"/>
                        </a:solidFill>
                      </a:rPr>
                      <a:pPr marL="0" marR="0" lvl="0" indent="0" algn="ctr" defTabSz="914400" rtl="0" eaLnBrk="1" fontAlgn="auto" latinLnBrk="0" hangingPunct="1">
                        <a:lnSpc>
                          <a:spcPct val="100000"/>
                        </a:lnSpc>
                        <a:spcBef>
                          <a:spcPts val="0"/>
                        </a:spcBef>
                        <a:spcAft>
                          <a:spcPts val="0"/>
                        </a:spcAft>
                        <a:buClrTx/>
                        <a:buSzTx/>
                        <a:buFontTx/>
                        <a:buNone/>
                        <a:tabLst/>
                        <a:defRPr sz="800" b="1" i="0" u="none" strike="noStrike" kern="1200" baseline="0">
                          <a:solidFill>
                            <a:sysClr val="windowText" lastClr="000000"/>
                          </a:solidFill>
                          <a:latin typeface="+mn-lt"/>
                          <a:ea typeface="+mn-ea"/>
                          <a:cs typeface="+mn-cs"/>
                        </a:defRPr>
                      </a:pPr>
                      <a:t>[WAARDE]</a:t>
                    </a:fld>
                    <a:endParaRPr lang="nl-NL"/>
                  </a:p>
                </c:rich>
              </c:tx>
              <c:spPr>
                <a:noFill/>
                <a:ln>
                  <a:noFill/>
                </a:ln>
                <a:effectLst/>
              </c:spP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D6E1-465C-B24F-AD87DF1D6BA5}"/>
                </c:ext>
              </c:extLst>
            </c:dLbl>
            <c:dLbl>
              <c:idx val="1"/>
              <c:tx>
                <c:rich>
                  <a:bodyPr wrap="square" lIns="38100" tIns="19050" rIns="38100" bIns="19050" anchor="ctr" anchorCtr="0">
                    <a:spAutoFit/>
                  </a:bodyPr>
                  <a:lstStyle/>
                  <a:p>
                    <a:pPr marL="0" marR="0" lvl="0" indent="0" algn="ctr" defTabSz="914400" rtl="0" eaLnBrk="1" fontAlgn="auto" latinLnBrk="0" hangingPunct="1">
                      <a:lnSpc>
                        <a:spcPct val="100000"/>
                      </a:lnSpc>
                      <a:spcBef>
                        <a:spcPts val="0"/>
                      </a:spcBef>
                      <a:spcAft>
                        <a:spcPts val="0"/>
                      </a:spcAft>
                      <a:buClrTx/>
                      <a:buSzTx/>
                      <a:buFontTx/>
                      <a:buNone/>
                      <a:tabLst/>
                      <a:defRPr sz="800" b="1" i="0" u="none" strike="noStrike" kern="1200" baseline="0">
                        <a:solidFill>
                          <a:sysClr val="windowText" lastClr="000000"/>
                        </a:solidFill>
                        <a:latin typeface="+mn-lt"/>
                        <a:ea typeface="+mn-ea"/>
                        <a:cs typeface="+mn-cs"/>
                      </a:defRPr>
                    </a:pPr>
                    <a:fld id="{1C944039-0652-4C9D-B2A4-884507B07111}" type="VALUE">
                      <a:rPr lang="en-US" sz="800" b="1" i="0" u="none" strike="noStrike" kern="1200" baseline="0">
                        <a:solidFill>
                          <a:srgbClr val="4EAFAA"/>
                        </a:solidFill>
                      </a:rPr>
                      <a:pPr marL="0" marR="0" lvl="0" indent="0" algn="ctr" defTabSz="914400" rtl="0" eaLnBrk="1" fontAlgn="auto" latinLnBrk="0" hangingPunct="1">
                        <a:lnSpc>
                          <a:spcPct val="100000"/>
                        </a:lnSpc>
                        <a:spcBef>
                          <a:spcPts val="0"/>
                        </a:spcBef>
                        <a:spcAft>
                          <a:spcPts val="0"/>
                        </a:spcAft>
                        <a:buClrTx/>
                        <a:buSzTx/>
                        <a:buFontTx/>
                        <a:buNone/>
                        <a:tabLst/>
                        <a:defRPr sz="800" b="1" i="0" u="none" strike="noStrike" kern="1200" baseline="0">
                          <a:solidFill>
                            <a:sysClr val="windowText" lastClr="000000"/>
                          </a:solidFill>
                          <a:latin typeface="+mn-lt"/>
                          <a:ea typeface="+mn-ea"/>
                          <a:cs typeface="+mn-cs"/>
                        </a:defRPr>
                      </a:pPr>
                      <a:t>[WAARDE]</a:t>
                    </a:fld>
                    <a:endParaRPr lang="nl-NL"/>
                  </a:p>
                </c:rich>
              </c:tx>
              <c:spPr>
                <a:noFill/>
                <a:ln>
                  <a:noFill/>
                </a:ln>
                <a:effectLst/>
              </c:spP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D6E1-465C-B24F-AD87DF1D6BA5}"/>
                </c:ext>
              </c:extLst>
            </c:dLbl>
            <c:dLbl>
              <c:idx val="2"/>
              <c:tx>
                <c:rich>
                  <a:bodyPr wrap="square" lIns="38100" tIns="19050" rIns="38100" bIns="19050" anchor="ctr" anchorCtr="0">
                    <a:spAutoFit/>
                  </a:bodyPr>
                  <a:lstStyle/>
                  <a:p>
                    <a:pPr marL="0" marR="0" lvl="0" indent="0" algn="ctr" defTabSz="914400" rtl="0" eaLnBrk="1" fontAlgn="auto" latinLnBrk="0" hangingPunct="1">
                      <a:lnSpc>
                        <a:spcPct val="100000"/>
                      </a:lnSpc>
                      <a:spcBef>
                        <a:spcPts val="0"/>
                      </a:spcBef>
                      <a:spcAft>
                        <a:spcPts val="0"/>
                      </a:spcAft>
                      <a:buClrTx/>
                      <a:buSzTx/>
                      <a:buFontTx/>
                      <a:buNone/>
                      <a:tabLst/>
                      <a:defRPr sz="800" b="1" i="0" u="none" strike="noStrike" kern="1200" baseline="0">
                        <a:solidFill>
                          <a:sysClr val="windowText" lastClr="000000"/>
                        </a:solidFill>
                        <a:latin typeface="+mn-lt"/>
                        <a:ea typeface="+mn-ea"/>
                        <a:cs typeface="+mn-cs"/>
                      </a:defRPr>
                    </a:pPr>
                    <a:fld id="{1C944039-0652-4C9D-B2A4-884507B07111}" type="VALUE">
                      <a:rPr lang="en-US" sz="800" b="1" i="0" u="none" strike="noStrike" kern="1200" baseline="0">
                        <a:solidFill>
                          <a:srgbClr val="4EAFAA"/>
                        </a:solidFill>
                      </a:rPr>
                      <a:pPr marL="0" marR="0" lvl="0" indent="0" algn="ctr" defTabSz="914400" rtl="0" eaLnBrk="1" fontAlgn="auto" latinLnBrk="0" hangingPunct="1">
                        <a:lnSpc>
                          <a:spcPct val="100000"/>
                        </a:lnSpc>
                        <a:spcBef>
                          <a:spcPts val="0"/>
                        </a:spcBef>
                        <a:spcAft>
                          <a:spcPts val="0"/>
                        </a:spcAft>
                        <a:buClrTx/>
                        <a:buSzTx/>
                        <a:buFontTx/>
                        <a:buNone/>
                        <a:tabLst/>
                        <a:defRPr sz="800" b="1" i="0" u="none" strike="noStrike" kern="1200" baseline="0">
                          <a:solidFill>
                            <a:sysClr val="windowText" lastClr="000000"/>
                          </a:solidFill>
                          <a:latin typeface="+mn-lt"/>
                          <a:ea typeface="+mn-ea"/>
                          <a:cs typeface="+mn-cs"/>
                        </a:defRPr>
                      </a:pPr>
                      <a:t>[WAARDE]</a:t>
                    </a:fld>
                    <a:endParaRPr lang="nl-NL"/>
                  </a:p>
                </c:rich>
              </c:tx>
              <c:spPr>
                <a:noFill/>
                <a:ln>
                  <a:noFill/>
                </a:ln>
                <a:effectLst/>
              </c:spP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6-D6E1-465C-B24F-AD87DF1D6BA5}"/>
                </c:ext>
              </c:extLst>
            </c:dLbl>
            <c:dLbl>
              <c:idx val="3"/>
              <c:tx>
                <c:rich>
                  <a:bodyPr wrap="square" lIns="38100" tIns="19050" rIns="38100" bIns="19050" anchor="ctr" anchorCtr="0">
                    <a:spAutoFit/>
                  </a:bodyPr>
                  <a:lstStyle/>
                  <a:p>
                    <a:pPr marL="0" marR="0" lvl="0" indent="0" algn="ctr" defTabSz="914400" rtl="0" eaLnBrk="1" fontAlgn="auto" latinLnBrk="0" hangingPunct="1">
                      <a:lnSpc>
                        <a:spcPct val="100000"/>
                      </a:lnSpc>
                      <a:spcBef>
                        <a:spcPts val="0"/>
                      </a:spcBef>
                      <a:spcAft>
                        <a:spcPts val="0"/>
                      </a:spcAft>
                      <a:buClrTx/>
                      <a:buSzTx/>
                      <a:buFontTx/>
                      <a:buNone/>
                      <a:tabLst/>
                      <a:defRPr sz="800" b="1" i="0" u="none" strike="noStrike" kern="1200" baseline="0">
                        <a:solidFill>
                          <a:sysClr val="windowText" lastClr="000000"/>
                        </a:solidFill>
                        <a:latin typeface="+mn-lt"/>
                        <a:ea typeface="+mn-ea"/>
                        <a:cs typeface="+mn-cs"/>
                      </a:defRPr>
                    </a:pPr>
                    <a:fld id="{1C944039-0652-4C9D-B2A4-884507B07111}" type="VALUE">
                      <a:rPr lang="en-US" sz="800" b="1" i="0" u="none" strike="noStrike" kern="1200" baseline="0">
                        <a:solidFill>
                          <a:srgbClr val="4EAFAA"/>
                        </a:solidFill>
                      </a:rPr>
                      <a:pPr marL="0" marR="0" lvl="0" indent="0" algn="ctr" defTabSz="914400" rtl="0" eaLnBrk="1" fontAlgn="auto" latinLnBrk="0" hangingPunct="1">
                        <a:lnSpc>
                          <a:spcPct val="100000"/>
                        </a:lnSpc>
                        <a:spcBef>
                          <a:spcPts val="0"/>
                        </a:spcBef>
                        <a:spcAft>
                          <a:spcPts val="0"/>
                        </a:spcAft>
                        <a:buClrTx/>
                        <a:buSzTx/>
                        <a:buFontTx/>
                        <a:buNone/>
                        <a:tabLst/>
                        <a:defRPr sz="800" b="1" i="0" u="none" strike="noStrike" kern="1200" baseline="0">
                          <a:solidFill>
                            <a:sysClr val="windowText" lastClr="000000"/>
                          </a:solidFill>
                          <a:latin typeface="+mn-lt"/>
                          <a:ea typeface="+mn-ea"/>
                          <a:cs typeface="+mn-cs"/>
                        </a:defRPr>
                      </a:pPr>
                      <a:t>[WAARDE]</a:t>
                    </a:fld>
                    <a:endParaRPr lang="nl-NL"/>
                  </a:p>
                </c:rich>
              </c:tx>
              <c:spPr>
                <a:noFill/>
                <a:ln>
                  <a:noFill/>
                </a:ln>
                <a:effectLst/>
              </c:spP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D6E1-465C-B24F-AD87DF1D6BA5}"/>
                </c:ext>
              </c:extLst>
            </c:dLbl>
            <c:spPr>
              <a:noFill/>
              <a:ln>
                <a:noFill/>
              </a:ln>
              <a:effectLst/>
            </c:spPr>
            <c:txPr>
              <a:bodyPr wrap="square" lIns="38100" tIns="19050" rIns="38100" bIns="19050" anchor="ctr">
                <a:spAutoFit/>
              </a:bodyPr>
              <a:lstStyle/>
              <a:p>
                <a:pPr>
                  <a:defRPr sz="800" b="1"/>
                </a:pPr>
                <a:endParaRPr lang="nl-NL"/>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'3.2 de elektrische auto'!$A$205:$A$208</c:f>
              <c:strCache>
                <c:ptCount val="4"/>
                <c:pt idx="0">
                  <c:v>Ja, en ik laad mijn auto zoveel mogelijk op tijden waarop zonne-energie beschikbaar is.  </c:v>
                </c:pt>
                <c:pt idx="1">
                  <c:v>Ja, en ik laad mijn auto ook op tijden dat er geen zonne-energie direct beschikbaar is. </c:v>
                </c:pt>
                <c:pt idx="2">
                  <c:v>Nee, maar ik wil wel graag zonnepanelen.   </c:v>
                </c:pt>
                <c:pt idx="3">
                  <c:v>Nee, en dit wil ik niet of het kan niet.  </c:v>
                </c:pt>
              </c:strCache>
            </c:strRef>
          </c:cat>
          <c:val>
            <c:numRef>
              <c:f>'3.2 de elektrische auto'!$F$205:$F$208</c:f>
              <c:numCache>
                <c:formatCode>0%</c:formatCode>
                <c:ptCount val="4"/>
                <c:pt idx="0">
                  <c:v>0.54694771420750066</c:v>
                </c:pt>
                <c:pt idx="1">
                  <c:v>0.24555160142348753</c:v>
                </c:pt>
                <c:pt idx="2">
                  <c:v>6.1866958664111689E-2</c:v>
                </c:pt>
                <c:pt idx="3">
                  <c:v>0.14563372570490007</c:v>
                </c:pt>
              </c:numCache>
            </c:numRef>
          </c:val>
          <c:extLst>
            <c:ext xmlns:c16="http://schemas.microsoft.com/office/drawing/2014/chart" uri="{C3380CC4-5D6E-409C-BE32-E72D297353CC}">
              <c16:uniqueId val="{00000000-A225-4A92-B539-86ED2574F2DE}"/>
            </c:ext>
          </c:extLst>
        </c:ser>
        <c:ser>
          <c:idx val="1"/>
          <c:order val="1"/>
          <c:tx>
            <c:strRef>
              <c:f>'3.2 de elektrische auto'!$G$204</c:f>
              <c:strCache>
                <c:ptCount val="1"/>
                <c:pt idx="0">
                  <c:v>Wel thuislader</c:v>
                </c:pt>
              </c:strCache>
            </c:strRef>
          </c:tx>
          <c:spPr>
            <a:solidFill>
              <a:srgbClr val="08B466"/>
            </a:solidFill>
          </c:spPr>
          <c:invertIfNegative val="0"/>
          <c:dLbls>
            <c:dLbl>
              <c:idx val="0"/>
              <c:tx>
                <c:rich>
                  <a:bodyPr/>
                  <a:lstStyle/>
                  <a:p>
                    <a:fld id="{1C944039-0652-4C9D-B2A4-884507B07111}" type="VALUE">
                      <a:rPr lang="en-US" sz="900" b="1" i="0" u="none" strike="noStrike" kern="1200" baseline="0">
                        <a:solidFill>
                          <a:srgbClr val="4EAFAA"/>
                        </a:solidFill>
                      </a:rPr>
                      <a:pPr/>
                      <a:t>[WAARDE]</a:t>
                    </a:fld>
                    <a:endParaRPr lang="nl-NL"/>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D6E1-465C-B24F-AD87DF1D6BA5}"/>
                </c:ext>
              </c:extLst>
            </c:dLbl>
            <c:dLbl>
              <c:idx val="1"/>
              <c:tx>
                <c:rich>
                  <a:bodyPr wrap="square" lIns="38100" tIns="19050" rIns="38100" bIns="19050" anchor="ctr" anchorCtr="0">
                    <a:spAutoFit/>
                  </a:bodyPr>
                  <a:lstStyle/>
                  <a:p>
                    <a:pPr marL="0" marR="0" lvl="0" indent="0" algn="ctr" defTabSz="914400" rtl="0" eaLnBrk="1" fontAlgn="auto" latinLnBrk="0" hangingPunct="1">
                      <a:lnSpc>
                        <a:spcPct val="100000"/>
                      </a:lnSpc>
                      <a:spcBef>
                        <a:spcPts val="0"/>
                      </a:spcBef>
                      <a:spcAft>
                        <a:spcPts val="0"/>
                      </a:spcAft>
                      <a:buClrTx/>
                      <a:buSzTx/>
                      <a:buFontTx/>
                      <a:buNone/>
                      <a:tabLst/>
                      <a:defRPr sz="800" b="1" i="0" u="none" strike="noStrike" kern="1200" baseline="0">
                        <a:solidFill>
                          <a:sysClr val="windowText" lastClr="000000"/>
                        </a:solidFill>
                        <a:latin typeface="+mn-lt"/>
                        <a:ea typeface="+mn-ea"/>
                        <a:cs typeface="+mn-cs"/>
                      </a:defRPr>
                    </a:pPr>
                    <a:fld id="{1C944039-0652-4C9D-B2A4-884507B07111}" type="VALUE">
                      <a:rPr lang="en-US" sz="800" b="1" i="0" u="none" strike="noStrike" kern="1200" baseline="0">
                        <a:solidFill>
                          <a:srgbClr val="4EAFAA"/>
                        </a:solidFill>
                      </a:rPr>
                      <a:pPr marL="0" marR="0" lvl="0" indent="0" algn="ctr" defTabSz="914400" rtl="0" eaLnBrk="1" fontAlgn="auto" latinLnBrk="0" hangingPunct="1">
                        <a:lnSpc>
                          <a:spcPct val="100000"/>
                        </a:lnSpc>
                        <a:spcBef>
                          <a:spcPts val="0"/>
                        </a:spcBef>
                        <a:spcAft>
                          <a:spcPts val="0"/>
                        </a:spcAft>
                        <a:buClrTx/>
                        <a:buSzTx/>
                        <a:buFontTx/>
                        <a:buNone/>
                        <a:tabLst/>
                        <a:defRPr sz="800" b="1" i="0" u="none" strike="noStrike" kern="1200" baseline="0">
                          <a:solidFill>
                            <a:sysClr val="windowText" lastClr="000000"/>
                          </a:solidFill>
                          <a:latin typeface="+mn-lt"/>
                          <a:ea typeface="+mn-ea"/>
                          <a:cs typeface="+mn-cs"/>
                        </a:defRPr>
                      </a:pPr>
                      <a:t>[WAARDE]</a:t>
                    </a:fld>
                    <a:endParaRPr lang="nl-NL"/>
                  </a:p>
                </c:rich>
              </c:tx>
              <c:spPr>
                <a:noFill/>
                <a:ln>
                  <a:noFill/>
                </a:ln>
                <a:effectLst/>
              </c:spP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D6E1-465C-B24F-AD87DF1D6BA5}"/>
                </c:ext>
              </c:extLst>
            </c:dLbl>
            <c:dLbl>
              <c:idx val="2"/>
              <c:tx>
                <c:rich>
                  <a:bodyPr wrap="square" lIns="38100" tIns="19050" rIns="38100" bIns="19050" anchor="ctr" anchorCtr="0">
                    <a:spAutoFit/>
                  </a:bodyPr>
                  <a:lstStyle/>
                  <a:p>
                    <a:pPr marL="0" marR="0" lvl="0" indent="0" algn="ctr" defTabSz="914400" rtl="0" eaLnBrk="1" fontAlgn="auto" latinLnBrk="0" hangingPunct="1">
                      <a:lnSpc>
                        <a:spcPct val="100000"/>
                      </a:lnSpc>
                      <a:spcBef>
                        <a:spcPts val="0"/>
                      </a:spcBef>
                      <a:spcAft>
                        <a:spcPts val="0"/>
                      </a:spcAft>
                      <a:buClrTx/>
                      <a:buSzTx/>
                      <a:buFontTx/>
                      <a:buNone/>
                      <a:tabLst/>
                      <a:defRPr sz="800" b="1" i="0" u="none" strike="noStrike" kern="1200" baseline="0">
                        <a:solidFill>
                          <a:sysClr val="windowText" lastClr="000000"/>
                        </a:solidFill>
                        <a:latin typeface="+mn-lt"/>
                        <a:ea typeface="+mn-ea"/>
                        <a:cs typeface="+mn-cs"/>
                      </a:defRPr>
                    </a:pPr>
                    <a:fld id="{1C944039-0652-4C9D-B2A4-884507B07111}" type="VALUE">
                      <a:rPr lang="en-US" sz="800" b="1" i="0" u="none" strike="noStrike" kern="1200" baseline="0">
                        <a:solidFill>
                          <a:srgbClr val="4EAFAA"/>
                        </a:solidFill>
                      </a:rPr>
                      <a:pPr marL="0" marR="0" lvl="0" indent="0" algn="ctr" defTabSz="914400" rtl="0" eaLnBrk="1" fontAlgn="auto" latinLnBrk="0" hangingPunct="1">
                        <a:lnSpc>
                          <a:spcPct val="100000"/>
                        </a:lnSpc>
                        <a:spcBef>
                          <a:spcPts val="0"/>
                        </a:spcBef>
                        <a:spcAft>
                          <a:spcPts val="0"/>
                        </a:spcAft>
                        <a:buClrTx/>
                        <a:buSzTx/>
                        <a:buFontTx/>
                        <a:buNone/>
                        <a:tabLst/>
                        <a:defRPr sz="800" b="1" i="0" u="none" strike="noStrike" kern="1200" baseline="0">
                          <a:solidFill>
                            <a:sysClr val="windowText" lastClr="000000"/>
                          </a:solidFill>
                          <a:latin typeface="+mn-lt"/>
                          <a:ea typeface="+mn-ea"/>
                          <a:cs typeface="+mn-cs"/>
                        </a:defRPr>
                      </a:pPr>
                      <a:t>[WAARDE]</a:t>
                    </a:fld>
                    <a:endParaRPr lang="nl-NL"/>
                  </a:p>
                </c:rich>
              </c:tx>
              <c:spPr>
                <a:noFill/>
                <a:ln>
                  <a:noFill/>
                </a:ln>
                <a:effectLst/>
              </c:spP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D6E1-465C-B24F-AD87DF1D6BA5}"/>
                </c:ext>
              </c:extLst>
            </c:dLbl>
            <c:dLbl>
              <c:idx val="3"/>
              <c:tx>
                <c:rich>
                  <a:bodyPr wrap="square" lIns="38100" tIns="19050" rIns="38100" bIns="19050" anchor="ctr" anchorCtr="0">
                    <a:spAutoFit/>
                  </a:bodyPr>
                  <a:lstStyle/>
                  <a:p>
                    <a:pPr marL="0" marR="0" lvl="0" indent="0" algn="ctr" defTabSz="914400" rtl="0" eaLnBrk="1" fontAlgn="auto" latinLnBrk="0" hangingPunct="1">
                      <a:lnSpc>
                        <a:spcPct val="100000"/>
                      </a:lnSpc>
                      <a:spcBef>
                        <a:spcPts val="0"/>
                      </a:spcBef>
                      <a:spcAft>
                        <a:spcPts val="0"/>
                      </a:spcAft>
                      <a:buClrTx/>
                      <a:buSzTx/>
                      <a:buFontTx/>
                      <a:buNone/>
                      <a:tabLst/>
                      <a:defRPr sz="800" b="1" i="0" u="none" strike="noStrike" kern="1200" baseline="0">
                        <a:solidFill>
                          <a:sysClr val="windowText" lastClr="000000"/>
                        </a:solidFill>
                        <a:latin typeface="+mn-lt"/>
                        <a:ea typeface="+mn-ea"/>
                        <a:cs typeface="+mn-cs"/>
                      </a:defRPr>
                    </a:pPr>
                    <a:fld id="{1C944039-0652-4C9D-B2A4-884507B07111}" type="VALUE">
                      <a:rPr lang="en-US" sz="800" b="1" i="0" u="none" strike="noStrike" kern="1200" baseline="0">
                        <a:solidFill>
                          <a:srgbClr val="4EAFAA"/>
                        </a:solidFill>
                      </a:rPr>
                      <a:pPr marL="0" marR="0" lvl="0" indent="0" algn="ctr" defTabSz="914400" rtl="0" eaLnBrk="1" fontAlgn="auto" latinLnBrk="0" hangingPunct="1">
                        <a:lnSpc>
                          <a:spcPct val="100000"/>
                        </a:lnSpc>
                        <a:spcBef>
                          <a:spcPts val="0"/>
                        </a:spcBef>
                        <a:spcAft>
                          <a:spcPts val="0"/>
                        </a:spcAft>
                        <a:buClrTx/>
                        <a:buSzTx/>
                        <a:buFontTx/>
                        <a:buNone/>
                        <a:tabLst/>
                        <a:defRPr sz="800" b="1" i="0" u="none" strike="noStrike" kern="1200" baseline="0">
                          <a:solidFill>
                            <a:sysClr val="windowText" lastClr="000000"/>
                          </a:solidFill>
                          <a:latin typeface="+mn-lt"/>
                          <a:ea typeface="+mn-ea"/>
                          <a:cs typeface="+mn-cs"/>
                        </a:defRPr>
                      </a:pPr>
                      <a:t>[WAARDE]</a:t>
                    </a:fld>
                    <a:endParaRPr lang="nl-NL"/>
                  </a:p>
                </c:rich>
              </c:tx>
              <c:spPr>
                <a:noFill/>
                <a:ln>
                  <a:noFill/>
                </a:ln>
                <a:effectLst/>
              </c:spP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A-D6E1-465C-B24F-AD87DF1D6BA5}"/>
                </c:ext>
              </c:extLst>
            </c:dLbl>
            <c:spPr>
              <a:noFill/>
              <a:ln>
                <a:noFill/>
              </a:ln>
              <a:effectLst/>
            </c:spPr>
            <c:txPr>
              <a:bodyPr wrap="square" lIns="38100" tIns="19050" rIns="38100" bIns="19050" anchor="ctr">
                <a:spAutoFit/>
              </a:bodyPr>
              <a:lstStyle/>
              <a:p>
                <a:pPr>
                  <a:defRPr sz="800" b="1"/>
                </a:pPr>
                <a:endParaRPr lang="nl-NL"/>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'3.2 de elektrische auto'!$A$205:$A$208</c:f>
              <c:strCache>
                <c:ptCount val="4"/>
                <c:pt idx="0">
                  <c:v>Ja, en ik laad mijn auto zoveel mogelijk op tijden waarop zonne-energie beschikbaar is.  </c:v>
                </c:pt>
                <c:pt idx="1">
                  <c:v>Ja, en ik laad mijn auto ook op tijden dat er geen zonne-energie direct beschikbaar is. </c:v>
                </c:pt>
                <c:pt idx="2">
                  <c:v>Nee, maar ik wil wel graag zonnepanelen.   </c:v>
                </c:pt>
                <c:pt idx="3">
                  <c:v>Nee, en dit wil ik niet of het kan niet.  </c:v>
                </c:pt>
              </c:strCache>
            </c:strRef>
          </c:cat>
          <c:val>
            <c:numRef>
              <c:f>'3.2 de elektrische auto'!$G$205:$G$208</c:f>
              <c:numCache>
                <c:formatCode>0%</c:formatCode>
                <c:ptCount val="4"/>
                <c:pt idx="0">
                  <c:v>0.70358187134502925</c:v>
                </c:pt>
                <c:pt idx="1">
                  <c:v>0.20029239766081872</c:v>
                </c:pt>
                <c:pt idx="2">
                  <c:v>3.5453216374269007E-2</c:v>
                </c:pt>
                <c:pt idx="3">
                  <c:v>6.0672514619883038E-2</c:v>
                </c:pt>
              </c:numCache>
            </c:numRef>
          </c:val>
          <c:extLst>
            <c:ext xmlns:c16="http://schemas.microsoft.com/office/drawing/2014/chart" uri="{C3380CC4-5D6E-409C-BE32-E72D297353CC}">
              <c16:uniqueId val="{00000001-A225-4A92-B539-86ED2574F2DE}"/>
            </c:ext>
          </c:extLst>
        </c:ser>
        <c:ser>
          <c:idx val="2"/>
          <c:order val="2"/>
          <c:tx>
            <c:strRef>
              <c:f>'3.2 de elektrische auto'!$H$204</c:f>
              <c:strCache>
                <c:ptCount val="1"/>
                <c:pt idx="0">
                  <c:v>Niet thuislader</c:v>
                </c:pt>
              </c:strCache>
            </c:strRef>
          </c:tx>
          <c:spPr>
            <a:solidFill>
              <a:srgbClr val="C9C743"/>
            </a:solidFill>
          </c:spPr>
          <c:invertIfNegative val="0"/>
          <c:dLbls>
            <c:dLbl>
              <c:idx val="0"/>
              <c:tx>
                <c:rich>
                  <a:bodyPr wrap="square" lIns="38100" tIns="19050" rIns="38100" bIns="19050" anchor="ctr" anchorCtr="0">
                    <a:spAutoFit/>
                  </a:bodyPr>
                  <a:lstStyle/>
                  <a:p>
                    <a:pPr marL="0" marR="0" lvl="0" indent="0" algn="ctr" defTabSz="914400" rtl="0" eaLnBrk="1" fontAlgn="auto" latinLnBrk="0" hangingPunct="1">
                      <a:lnSpc>
                        <a:spcPct val="100000"/>
                      </a:lnSpc>
                      <a:spcBef>
                        <a:spcPts val="0"/>
                      </a:spcBef>
                      <a:spcAft>
                        <a:spcPts val="0"/>
                      </a:spcAft>
                      <a:buClrTx/>
                      <a:buSzTx/>
                      <a:buFontTx/>
                      <a:buNone/>
                      <a:tabLst/>
                      <a:defRPr sz="800" b="1" i="0" u="none" strike="noStrike" kern="1200" baseline="0">
                        <a:solidFill>
                          <a:sysClr val="windowText" lastClr="000000"/>
                        </a:solidFill>
                        <a:latin typeface="+mn-lt"/>
                        <a:ea typeface="+mn-ea"/>
                        <a:cs typeface="+mn-cs"/>
                      </a:defRPr>
                    </a:pPr>
                    <a:fld id="{1C944039-0652-4C9D-B2A4-884507B07111}" type="VALUE">
                      <a:rPr lang="en-US" sz="800" b="1" i="0" u="none" strike="noStrike" kern="1200" baseline="0">
                        <a:solidFill>
                          <a:srgbClr val="4EAFAA"/>
                        </a:solidFill>
                      </a:rPr>
                      <a:pPr marL="0" marR="0" lvl="0" indent="0" algn="ctr" defTabSz="914400" rtl="0" eaLnBrk="1" fontAlgn="auto" latinLnBrk="0" hangingPunct="1">
                        <a:lnSpc>
                          <a:spcPct val="100000"/>
                        </a:lnSpc>
                        <a:spcBef>
                          <a:spcPts val="0"/>
                        </a:spcBef>
                        <a:spcAft>
                          <a:spcPts val="0"/>
                        </a:spcAft>
                        <a:buClrTx/>
                        <a:buSzTx/>
                        <a:buFontTx/>
                        <a:buNone/>
                        <a:tabLst/>
                        <a:defRPr sz="800" b="1" i="0" u="none" strike="noStrike" kern="1200" baseline="0">
                          <a:solidFill>
                            <a:sysClr val="windowText" lastClr="000000"/>
                          </a:solidFill>
                          <a:latin typeface="+mn-lt"/>
                          <a:ea typeface="+mn-ea"/>
                          <a:cs typeface="+mn-cs"/>
                        </a:defRPr>
                      </a:pPr>
                      <a:t>[WAARDE]</a:t>
                    </a:fld>
                    <a:endParaRPr lang="nl-NL"/>
                  </a:p>
                </c:rich>
              </c:tx>
              <c:spPr>
                <a:noFill/>
                <a:ln>
                  <a:noFill/>
                </a:ln>
                <a:effectLst/>
              </c:spP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D6E1-465C-B24F-AD87DF1D6BA5}"/>
                </c:ext>
              </c:extLst>
            </c:dLbl>
            <c:dLbl>
              <c:idx val="1"/>
              <c:tx>
                <c:rich>
                  <a:bodyPr wrap="square" lIns="38100" tIns="19050" rIns="38100" bIns="19050" anchor="ctr" anchorCtr="0">
                    <a:spAutoFit/>
                  </a:bodyPr>
                  <a:lstStyle/>
                  <a:p>
                    <a:pPr marL="0" marR="0" lvl="0" indent="0" algn="ctr" defTabSz="914400" rtl="0" eaLnBrk="1" fontAlgn="auto" latinLnBrk="0" hangingPunct="1">
                      <a:lnSpc>
                        <a:spcPct val="100000"/>
                      </a:lnSpc>
                      <a:spcBef>
                        <a:spcPts val="0"/>
                      </a:spcBef>
                      <a:spcAft>
                        <a:spcPts val="0"/>
                      </a:spcAft>
                      <a:buClrTx/>
                      <a:buSzTx/>
                      <a:buFontTx/>
                      <a:buNone/>
                      <a:tabLst/>
                      <a:defRPr sz="800" b="1" i="0" u="none" strike="noStrike" kern="1200" baseline="0">
                        <a:solidFill>
                          <a:sysClr val="windowText" lastClr="000000"/>
                        </a:solidFill>
                        <a:latin typeface="+mn-lt"/>
                        <a:ea typeface="+mn-ea"/>
                        <a:cs typeface="+mn-cs"/>
                      </a:defRPr>
                    </a:pPr>
                    <a:fld id="{1C944039-0652-4C9D-B2A4-884507B07111}" type="VALUE">
                      <a:rPr lang="en-US" sz="800" b="1" i="0" u="none" strike="noStrike" kern="1200" baseline="0">
                        <a:solidFill>
                          <a:srgbClr val="4EAFAA"/>
                        </a:solidFill>
                      </a:rPr>
                      <a:pPr marL="0" marR="0" lvl="0" indent="0" algn="ctr" defTabSz="914400" rtl="0" eaLnBrk="1" fontAlgn="auto" latinLnBrk="0" hangingPunct="1">
                        <a:lnSpc>
                          <a:spcPct val="100000"/>
                        </a:lnSpc>
                        <a:spcBef>
                          <a:spcPts val="0"/>
                        </a:spcBef>
                        <a:spcAft>
                          <a:spcPts val="0"/>
                        </a:spcAft>
                        <a:buClrTx/>
                        <a:buSzTx/>
                        <a:buFontTx/>
                        <a:buNone/>
                        <a:tabLst/>
                        <a:defRPr sz="800" b="1" i="0" u="none" strike="noStrike" kern="1200" baseline="0">
                          <a:solidFill>
                            <a:sysClr val="windowText" lastClr="000000"/>
                          </a:solidFill>
                          <a:latin typeface="+mn-lt"/>
                          <a:ea typeface="+mn-ea"/>
                          <a:cs typeface="+mn-cs"/>
                        </a:defRPr>
                      </a:pPr>
                      <a:t>[WAARDE]</a:t>
                    </a:fld>
                    <a:endParaRPr lang="nl-NL"/>
                  </a:p>
                </c:rich>
              </c:tx>
              <c:spPr>
                <a:noFill/>
                <a:ln>
                  <a:noFill/>
                </a:ln>
                <a:effectLst/>
              </c:spP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D6E1-465C-B24F-AD87DF1D6BA5}"/>
                </c:ext>
              </c:extLst>
            </c:dLbl>
            <c:dLbl>
              <c:idx val="2"/>
              <c:tx>
                <c:rich>
                  <a:bodyPr wrap="square" lIns="38100" tIns="19050" rIns="38100" bIns="19050" anchor="ctr" anchorCtr="0">
                    <a:spAutoFit/>
                  </a:bodyPr>
                  <a:lstStyle/>
                  <a:p>
                    <a:pPr marL="0" marR="0" lvl="0" indent="0" algn="ctr" defTabSz="914400" rtl="0" eaLnBrk="1" fontAlgn="auto" latinLnBrk="0" hangingPunct="1">
                      <a:lnSpc>
                        <a:spcPct val="100000"/>
                      </a:lnSpc>
                      <a:spcBef>
                        <a:spcPts val="0"/>
                      </a:spcBef>
                      <a:spcAft>
                        <a:spcPts val="0"/>
                      </a:spcAft>
                      <a:buClrTx/>
                      <a:buSzTx/>
                      <a:buFontTx/>
                      <a:buNone/>
                      <a:tabLst/>
                      <a:defRPr sz="800" b="1" i="0" u="none" strike="noStrike" kern="1200" baseline="0">
                        <a:solidFill>
                          <a:sysClr val="windowText" lastClr="000000"/>
                        </a:solidFill>
                        <a:latin typeface="+mn-lt"/>
                        <a:ea typeface="+mn-ea"/>
                        <a:cs typeface="+mn-cs"/>
                      </a:defRPr>
                    </a:pPr>
                    <a:fld id="{1C944039-0652-4C9D-B2A4-884507B07111}" type="VALUE">
                      <a:rPr lang="en-US" sz="800" b="1" i="0" u="none" strike="noStrike" kern="1200" baseline="0">
                        <a:solidFill>
                          <a:srgbClr val="4EAFAA"/>
                        </a:solidFill>
                      </a:rPr>
                      <a:pPr marL="0" marR="0" lvl="0" indent="0" algn="ctr" defTabSz="914400" rtl="0" eaLnBrk="1" fontAlgn="auto" latinLnBrk="0" hangingPunct="1">
                        <a:lnSpc>
                          <a:spcPct val="100000"/>
                        </a:lnSpc>
                        <a:spcBef>
                          <a:spcPts val="0"/>
                        </a:spcBef>
                        <a:spcAft>
                          <a:spcPts val="0"/>
                        </a:spcAft>
                        <a:buClrTx/>
                        <a:buSzTx/>
                        <a:buFontTx/>
                        <a:buNone/>
                        <a:tabLst/>
                        <a:defRPr sz="800" b="1" i="0" u="none" strike="noStrike" kern="1200" baseline="0">
                          <a:solidFill>
                            <a:sysClr val="windowText" lastClr="000000"/>
                          </a:solidFill>
                          <a:latin typeface="+mn-lt"/>
                          <a:ea typeface="+mn-ea"/>
                          <a:cs typeface="+mn-cs"/>
                        </a:defRPr>
                      </a:pPr>
                      <a:t>[WAARDE]</a:t>
                    </a:fld>
                    <a:endParaRPr lang="nl-NL"/>
                  </a:p>
                </c:rich>
              </c:tx>
              <c:spPr>
                <a:noFill/>
                <a:ln>
                  <a:noFill/>
                </a:ln>
                <a:effectLst/>
              </c:spP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8-D6E1-465C-B24F-AD87DF1D6BA5}"/>
                </c:ext>
              </c:extLst>
            </c:dLbl>
            <c:dLbl>
              <c:idx val="3"/>
              <c:tx>
                <c:rich>
                  <a:bodyPr wrap="square" lIns="38100" tIns="19050" rIns="38100" bIns="19050" anchor="ctr" anchorCtr="0">
                    <a:spAutoFit/>
                  </a:bodyPr>
                  <a:lstStyle/>
                  <a:p>
                    <a:pPr marL="0" marR="0" lvl="0" indent="0" algn="ctr" defTabSz="914400" rtl="0" eaLnBrk="1" fontAlgn="auto" latinLnBrk="0" hangingPunct="1">
                      <a:lnSpc>
                        <a:spcPct val="100000"/>
                      </a:lnSpc>
                      <a:spcBef>
                        <a:spcPts val="0"/>
                      </a:spcBef>
                      <a:spcAft>
                        <a:spcPts val="0"/>
                      </a:spcAft>
                      <a:buClrTx/>
                      <a:buSzTx/>
                      <a:buFontTx/>
                      <a:buNone/>
                      <a:tabLst/>
                      <a:defRPr sz="800" b="1" i="0" u="none" strike="noStrike" kern="1200" baseline="0">
                        <a:solidFill>
                          <a:sysClr val="windowText" lastClr="000000"/>
                        </a:solidFill>
                        <a:latin typeface="+mn-lt"/>
                        <a:ea typeface="+mn-ea"/>
                        <a:cs typeface="+mn-cs"/>
                      </a:defRPr>
                    </a:pPr>
                    <a:fld id="{1C944039-0652-4C9D-B2A4-884507B07111}" type="VALUE">
                      <a:rPr lang="en-US" sz="800" b="1" i="0" u="none" strike="noStrike" kern="1200" baseline="0">
                        <a:solidFill>
                          <a:srgbClr val="4EAFAA"/>
                        </a:solidFill>
                      </a:rPr>
                      <a:pPr marL="0" marR="0" lvl="0" indent="0" algn="ctr" defTabSz="914400" rtl="0" eaLnBrk="1" fontAlgn="auto" latinLnBrk="0" hangingPunct="1">
                        <a:lnSpc>
                          <a:spcPct val="100000"/>
                        </a:lnSpc>
                        <a:spcBef>
                          <a:spcPts val="0"/>
                        </a:spcBef>
                        <a:spcAft>
                          <a:spcPts val="0"/>
                        </a:spcAft>
                        <a:buClrTx/>
                        <a:buSzTx/>
                        <a:buFontTx/>
                        <a:buNone/>
                        <a:tabLst/>
                        <a:defRPr sz="800" b="1" i="0" u="none" strike="noStrike" kern="1200" baseline="0">
                          <a:solidFill>
                            <a:sysClr val="windowText" lastClr="000000"/>
                          </a:solidFill>
                          <a:latin typeface="+mn-lt"/>
                          <a:ea typeface="+mn-ea"/>
                          <a:cs typeface="+mn-cs"/>
                        </a:defRPr>
                      </a:pPr>
                      <a:t>[WAARDE]</a:t>
                    </a:fld>
                    <a:endParaRPr lang="nl-NL"/>
                  </a:p>
                </c:rich>
              </c:tx>
              <c:spPr>
                <a:noFill/>
                <a:ln>
                  <a:noFill/>
                </a:ln>
                <a:effectLst/>
              </c:spP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B-D6E1-465C-B24F-AD87DF1D6BA5}"/>
                </c:ext>
              </c:extLst>
            </c:dLbl>
            <c:spPr>
              <a:noFill/>
              <a:ln>
                <a:noFill/>
              </a:ln>
              <a:effectLst/>
            </c:spPr>
            <c:txPr>
              <a:bodyPr wrap="square" lIns="38100" tIns="19050" rIns="38100" bIns="19050" anchor="ctr">
                <a:spAutoFit/>
              </a:bodyPr>
              <a:lstStyle/>
              <a:p>
                <a:pPr>
                  <a:defRPr sz="800" b="1"/>
                </a:pPr>
                <a:endParaRPr lang="nl-NL"/>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'3.2 de elektrische auto'!$A$205:$A$208</c:f>
              <c:strCache>
                <c:ptCount val="4"/>
                <c:pt idx="0">
                  <c:v>Ja, en ik laad mijn auto zoveel mogelijk op tijden waarop zonne-energie beschikbaar is.  </c:v>
                </c:pt>
                <c:pt idx="1">
                  <c:v>Ja, en ik laad mijn auto ook op tijden dat er geen zonne-energie direct beschikbaar is. </c:v>
                </c:pt>
                <c:pt idx="2">
                  <c:v>Nee, maar ik wil wel graag zonnepanelen.   </c:v>
                </c:pt>
                <c:pt idx="3">
                  <c:v>Nee, en dit wil ik niet of het kan niet.  </c:v>
                </c:pt>
              </c:strCache>
            </c:strRef>
          </c:cat>
          <c:val>
            <c:numRef>
              <c:f>'3.2 de elektrische auto'!$H$205:$H$208</c:f>
              <c:numCache>
                <c:formatCode>0%</c:formatCode>
                <c:ptCount val="4"/>
                <c:pt idx="0">
                  <c:v>7.9607415485278082E-2</c:v>
                </c:pt>
                <c:pt idx="1">
                  <c:v>0.38058887677208286</c:v>
                </c:pt>
                <c:pt idx="2">
                  <c:v>0.14067611777535441</c:v>
                </c:pt>
                <c:pt idx="3">
                  <c:v>0.39912758996728465</c:v>
                </c:pt>
              </c:numCache>
            </c:numRef>
          </c:val>
          <c:extLst>
            <c:ext xmlns:c16="http://schemas.microsoft.com/office/drawing/2014/chart" uri="{C3380CC4-5D6E-409C-BE32-E72D297353CC}">
              <c16:uniqueId val="{00000002-A225-4A92-B539-86ED2574F2DE}"/>
            </c:ext>
          </c:extLst>
        </c:ser>
        <c:dLbls>
          <c:showLegendKey val="0"/>
          <c:showVal val="0"/>
          <c:showCatName val="0"/>
          <c:showSerName val="0"/>
          <c:showPercent val="0"/>
          <c:showBubbleSize val="0"/>
        </c:dLbls>
        <c:gapWidth val="219"/>
        <c:overlap val="-27"/>
        <c:axId val="488549280"/>
        <c:axId val="488558136"/>
      </c:barChart>
      <c:catAx>
        <c:axId val="4885492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vert="horz" wrap="square" anchor="ctr" anchorCtr="0"/>
          <a:lstStyle/>
          <a:p>
            <a:pPr>
              <a:defRPr sz="900" b="0" i="0" u="none" strike="noStrike" kern="1200" baseline="0">
                <a:solidFill>
                  <a:srgbClr val="2C307E"/>
                </a:solidFill>
                <a:latin typeface="+mn-lt"/>
                <a:ea typeface="+mn-ea"/>
                <a:cs typeface="+mn-cs"/>
              </a:defRPr>
            </a:pPr>
            <a:endParaRPr lang="nl-NL"/>
          </a:p>
        </c:txPr>
        <c:crossAx val="488558136"/>
        <c:crosses val="autoZero"/>
        <c:auto val="1"/>
        <c:lblAlgn val="ctr"/>
        <c:lblOffset val="100"/>
        <c:noMultiLvlLbl val="0"/>
      </c:catAx>
      <c:valAx>
        <c:axId val="488558136"/>
        <c:scaling>
          <c:orientation val="minMax"/>
        </c:scaling>
        <c:delete val="0"/>
        <c:axPos val="l"/>
        <c:majorGridlines>
          <c:spPr>
            <a:ln>
              <a:solidFill>
                <a:srgbClr val="D9D9D9"/>
              </a:solidFill>
            </a:ln>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2C307E"/>
                </a:solidFill>
                <a:latin typeface="+mn-lt"/>
                <a:ea typeface="+mn-ea"/>
                <a:cs typeface="+mn-cs"/>
              </a:defRPr>
            </a:pPr>
            <a:endParaRPr lang="nl-NL"/>
          </a:p>
        </c:txPr>
        <c:crossAx val="488549280"/>
        <c:crosses val="autoZero"/>
        <c:crossBetween val="between"/>
        <c:majorUnit val="0.2"/>
      </c:valAx>
      <c:spPr>
        <a:noFill/>
        <a:ln>
          <a:noFill/>
        </a:ln>
      </c:spPr>
    </c:plotArea>
    <c:legend>
      <c:legendPos val="b"/>
      <c:layout>
        <c:manualLayout>
          <c:xMode val="edge"/>
          <c:yMode val="edge"/>
          <c:x val="0.29480455411301015"/>
          <c:y val="0.9171366653069668"/>
          <c:w val="0.42822795143918047"/>
          <c:h val="8.2863334693033239E-2"/>
        </c:manualLayout>
      </c:layout>
      <c:overlay val="0"/>
      <c:txPr>
        <a:bodyPr/>
        <a:lstStyle/>
        <a:p>
          <a:pPr>
            <a:defRPr lang="en-US" sz="900" b="0" i="0" u="none" strike="noStrike" kern="1200" baseline="0">
              <a:solidFill>
                <a:srgbClr val="2C307E"/>
              </a:solidFill>
              <a:latin typeface="+mn-lt"/>
              <a:ea typeface="+mn-ea"/>
              <a:cs typeface="+mn-cs"/>
            </a:defRPr>
          </a:pPr>
          <a:endParaRPr lang="nl-NL"/>
        </a:p>
      </c:txPr>
    </c:legend>
    <c:plotVisOnly val="1"/>
    <c:dispBlanksAs val="gap"/>
    <c:showDLblsOverMax val="0"/>
    <c:extLst/>
  </c:chart>
  <c:spPr>
    <a:noFill/>
    <a:ln w="9525" cap="flat" cmpd="sng" algn="ctr">
      <a:noFill/>
      <a:round/>
    </a:ln>
    <a:effectLst/>
  </c:spPr>
  <c:txPr>
    <a:bodyPr/>
    <a:lstStyle/>
    <a:p>
      <a:pPr>
        <a:defRPr/>
      </a:pPr>
      <a:endParaRPr lang="nl-NL"/>
    </a:p>
  </c:txPr>
  <c:externalData r:id="rId1">
    <c:autoUpdate val="0"/>
  </c:externalData>
</c:chartSpace>
</file>

<file path=word/charts/chart1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rgbClr val="2C307E"/>
                </a:solidFill>
                <a:latin typeface="+mn-lt"/>
                <a:ea typeface="+mn-ea"/>
                <a:cs typeface="+mn-cs"/>
              </a:defRPr>
            </a:pPr>
            <a:r>
              <a:rPr lang="nl-NL" sz="1100"/>
              <a:t>Als er kosten zijn verbonden aan het afmelden voor de slimlaadsessie, bijvoorbeeld 5 of 10 cent per kWh, hoe vaak verwacht je dan gebruik te maken van deze optie aan de openbare laadpaal?</a:t>
            </a:r>
          </a:p>
        </c:rich>
      </c:tx>
      <c:overlay val="0"/>
      <c:spPr>
        <a:noFill/>
        <a:ln>
          <a:noFill/>
        </a:ln>
        <a:effectLst/>
      </c:spPr>
      <c:txPr>
        <a:bodyPr rot="0" spcFirstLastPara="1" vertOverflow="ellipsis" vert="horz" wrap="square" anchor="ctr" anchorCtr="1"/>
        <a:lstStyle/>
        <a:p>
          <a:pPr>
            <a:defRPr sz="1100" b="0" i="0" u="none" strike="noStrike" kern="1200" spc="0" baseline="0">
              <a:solidFill>
                <a:srgbClr val="2C307E"/>
              </a:solidFill>
              <a:latin typeface="+mn-lt"/>
              <a:ea typeface="+mn-ea"/>
              <a:cs typeface="+mn-cs"/>
            </a:defRPr>
          </a:pPr>
          <a:endParaRPr lang="en-NL"/>
        </a:p>
      </c:txPr>
    </c:title>
    <c:autoTitleDeleted val="0"/>
    <c:plotArea>
      <c:layout/>
      <c:barChart>
        <c:barDir val="bar"/>
        <c:grouping val="percentStacked"/>
        <c:varyColors val="0"/>
        <c:ser>
          <c:idx val="0"/>
          <c:order val="0"/>
          <c:tx>
            <c:strRef>
              <c:f>Analyse!$K$945</c:f>
              <c:strCache>
                <c:ptCount val="1"/>
                <c:pt idx="0">
                  <c:v>Heel vaak</c:v>
                </c:pt>
              </c:strCache>
            </c:strRef>
          </c:tx>
          <c:spPr>
            <a:solidFill>
              <a:srgbClr val="2C307E"/>
            </a:solidFill>
            <a:ln>
              <a:noFill/>
            </a:ln>
            <a:effectLst/>
          </c:spPr>
          <c:invertIfNegative val="0"/>
          <c:dLbls>
            <c:dLbl>
              <c:idx val="0"/>
              <c:layout>
                <c:manualLayout>
                  <c:x val="-3.8259206121472981E-2"/>
                  <c:y val="-2.1439509954058193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0C3-4C45-B2C7-6D25B54699C2}"/>
                </c:ext>
              </c:extLst>
            </c:dLbl>
            <c:dLbl>
              <c:idx val="1"/>
              <c:layout>
                <c:manualLayout>
                  <c:x val="-3.8259206121472933E-2"/>
                  <c:y val="-1.9908116385911178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0C3-4C45-B2C7-6D25B54699C2}"/>
                </c:ext>
              </c:extLst>
            </c:dLbl>
            <c:dLbl>
              <c:idx val="2"/>
              <c:layout>
                <c:manualLayout>
                  <c:x val="-3.8259206121472981E-2"/>
                  <c:y val="-2.1439509954058304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0C3-4C45-B2C7-6D25B54699C2}"/>
                </c:ext>
              </c:extLst>
            </c:dLbl>
            <c:dLbl>
              <c:idx val="3"/>
              <c:layout>
                <c:manualLayout>
                  <c:x val="-4.3041606886657147E-2"/>
                  <c:y val="-2.1439509954058193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0C3-4C45-B2C7-6D25B54699C2}"/>
                </c:ext>
              </c:extLst>
            </c:dLbl>
            <c:dLbl>
              <c:idx val="4"/>
              <c:layout>
                <c:manualLayout>
                  <c:x val="-4.3041606886657105E-2"/>
                  <c:y val="-2.1439509954058304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0C3-4C45-B2C7-6D25B54699C2}"/>
                </c:ext>
              </c:extLst>
            </c:dLbl>
            <c:dLbl>
              <c:idx val="5"/>
              <c:layout>
                <c:manualLayout>
                  <c:x val="-3.8259206121472981E-2"/>
                  <c:y val="-2.1439509954058193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0C3-4C45-B2C7-6D25B54699C2}"/>
                </c:ext>
              </c:extLst>
            </c:dLbl>
            <c:dLbl>
              <c:idx val="6"/>
              <c:layout>
                <c:manualLayout>
                  <c:x val="-3.34768053562889E-2"/>
                  <c:y val="-2.1439509954058248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B0C3-4C45-B2C7-6D25B54699C2}"/>
                </c:ext>
              </c:extLst>
            </c:dLbl>
            <c:dLbl>
              <c:idx val="7"/>
              <c:layout>
                <c:manualLayout>
                  <c:x val="-3.3476805356288858E-2"/>
                  <c:y val="-1.9908116385911123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B0C3-4C45-B2C7-6D25B54699C2}"/>
                </c:ext>
              </c:extLst>
            </c:dLbl>
            <c:dLbl>
              <c:idx val="8"/>
              <c:layout>
                <c:manualLayout>
                  <c:x val="-2.3912003825920569E-2"/>
                  <c:y val="-1.9908116385911178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B0C3-4C45-B2C7-6D25B54699C2}"/>
                </c:ext>
              </c:extLst>
            </c:dLbl>
            <c:dLbl>
              <c:idx val="9"/>
              <c:layout>
                <c:manualLayout>
                  <c:x val="-3.3476805356288858E-2"/>
                  <c:y val="-2.1439509954058193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B0C3-4C45-B2C7-6D25B54699C2}"/>
                </c:ext>
              </c:extLst>
            </c:dLbl>
            <c:dLbl>
              <c:idx val="10"/>
              <c:layout>
                <c:manualLayout>
                  <c:x val="-4.3041606886657105E-2"/>
                  <c:y val="-2.1439509954058193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B0C3-4C45-B2C7-6D25B54699C2}"/>
                </c:ext>
              </c:extLst>
            </c:dLbl>
            <c:dLbl>
              <c:idx val="11"/>
              <c:layout>
                <c:manualLayout>
                  <c:x val="-3.8259206121472981E-2"/>
                  <c:y val="-2.143950995405822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B0C3-4C45-B2C7-6D25B54699C2}"/>
                </c:ext>
              </c:extLst>
            </c:dLbl>
            <c:spPr>
              <a:noFill/>
              <a:ln>
                <a:noFill/>
              </a:ln>
              <a:effectLst/>
            </c:spPr>
            <c:txPr>
              <a:bodyPr rot="0" spcFirstLastPara="1" vertOverflow="ellipsis" vert="horz" wrap="square" anchor="ctr" anchorCtr="1"/>
              <a:lstStyle/>
              <a:p>
                <a:pPr>
                  <a:defRPr sz="800" b="1" i="0" u="none" strike="noStrike" kern="1200" baseline="0">
                    <a:solidFill>
                      <a:srgbClr val="2C307E"/>
                    </a:solidFill>
                    <a:latin typeface="+mn-lt"/>
                    <a:ea typeface="+mn-ea"/>
                    <a:cs typeface="+mn-cs"/>
                  </a:defRPr>
                </a:pPr>
                <a:endParaRPr lang="en-N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Analyse!$J$946:$J$957</c:f>
              <c:strCache>
                <c:ptCount val="12"/>
                <c:pt idx="0">
                  <c:v>G4 5cent</c:v>
                </c:pt>
                <c:pt idx="1">
                  <c:v>G4 10 cent</c:v>
                </c:pt>
                <c:pt idx="2">
                  <c:v>Noord 5cent</c:v>
                </c:pt>
                <c:pt idx="3">
                  <c:v>Noord 10 cent</c:v>
                </c:pt>
                <c:pt idx="4">
                  <c:v>Noordwest 5 cent</c:v>
                </c:pt>
                <c:pt idx="5">
                  <c:v>Noordwest 10 cent</c:v>
                </c:pt>
                <c:pt idx="6">
                  <c:v>Oost 5cent</c:v>
                </c:pt>
                <c:pt idx="7">
                  <c:v>Oost 10 cent</c:v>
                </c:pt>
                <c:pt idx="8">
                  <c:v>Zuid 5cent</c:v>
                </c:pt>
                <c:pt idx="9">
                  <c:v>Zuid 10 cent</c:v>
                </c:pt>
                <c:pt idx="10">
                  <c:v>Zuidwest 5cent</c:v>
                </c:pt>
                <c:pt idx="11">
                  <c:v>Zuidwest 10 cent</c:v>
                </c:pt>
              </c:strCache>
            </c:strRef>
          </c:cat>
          <c:val>
            <c:numRef>
              <c:f>Analyse!$K$946:$K$957</c:f>
              <c:numCache>
                <c:formatCode>0%</c:formatCode>
                <c:ptCount val="12"/>
                <c:pt idx="0">
                  <c:v>5.1020408163265307E-2</c:v>
                </c:pt>
                <c:pt idx="1">
                  <c:v>4.3010752688172046E-2</c:v>
                </c:pt>
                <c:pt idx="2">
                  <c:v>3.7499999999999999E-2</c:v>
                </c:pt>
                <c:pt idx="3">
                  <c:v>3.8461538461538464E-2</c:v>
                </c:pt>
                <c:pt idx="4">
                  <c:v>4.7872340425531915E-2</c:v>
                </c:pt>
                <c:pt idx="5">
                  <c:v>3.5353535353535352E-2</c:v>
                </c:pt>
                <c:pt idx="6">
                  <c:v>2.564102564102564E-2</c:v>
                </c:pt>
                <c:pt idx="7">
                  <c:v>6.8493150684931503E-3</c:v>
                </c:pt>
                <c:pt idx="8">
                  <c:v>2.6881720430107527E-2</c:v>
                </c:pt>
                <c:pt idx="9">
                  <c:v>2.072538860103627E-2</c:v>
                </c:pt>
                <c:pt idx="10">
                  <c:v>3.783783783783784E-2</c:v>
                </c:pt>
                <c:pt idx="11">
                  <c:v>2.2598870056497175E-2</c:v>
                </c:pt>
              </c:numCache>
            </c:numRef>
          </c:val>
          <c:extLst>
            <c:ext xmlns:c16="http://schemas.microsoft.com/office/drawing/2014/chart" uri="{C3380CC4-5D6E-409C-BE32-E72D297353CC}">
              <c16:uniqueId val="{0000000C-B0C3-4C45-B2C7-6D25B54699C2}"/>
            </c:ext>
          </c:extLst>
        </c:ser>
        <c:ser>
          <c:idx val="1"/>
          <c:order val="1"/>
          <c:tx>
            <c:strRef>
              <c:f>Analyse!$L$945</c:f>
              <c:strCache>
                <c:ptCount val="1"/>
                <c:pt idx="0">
                  <c:v>vaak</c:v>
                </c:pt>
              </c:strCache>
            </c:strRef>
          </c:tx>
          <c:spPr>
            <a:solidFill>
              <a:srgbClr val="08B466"/>
            </a:solidFill>
            <a:ln>
              <a:noFill/>
            </a:ln>
            <a:effectLst/>
          </c:spPr>
          <c:invertIfNegative val="0"/>
          <c:dLbls>
            <c:spPr>
              <a:noFill/>
              <a:ln>
                <a:noFill/>
              </a:ln>
              <a:effectLst/>
            </c:spPr>
            <c:txPr>
              <a:bodyPr rot="0" spcFirstLastPara="1" vertOverflow="ellipsis" vert="horz" wrap="square" anchor="ctr" anchorCtr="1"/>
              <a:lstStyle/>
              <a:p>
                <a:pPr>
                  <a:defRPr sz="800" b="1" i="0" u="none" strike="noStrike" kern="1200" baseline="0">
                    <a:solidFill>
                      <a:schemeClr val="bg1"/>
                    </a:solidFill>
                    <a:latin typeface="+mn-lt"/>
                    <a:ea typeface="+mn-ea"/>
                    <a:cs typeface="+mn-cs"/>
                  </a:defRPr>
                </a:pPr>
                <a:endParaRPr lang="en-N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Analyse!$J$946:$J$957</c:f>
              <c:strCache>
                <c:ptCount val="12"/>
                <c:pt idx="0">
                  <c:v>G4 5cent</c:v>
                </c:pt>
                <c:pt idx="1">
                  <c:v>G4 10 cent</c:v>
                </c:pt>
                <c:pt idx="2">
                  <c:v>Noord 5cent</c:v>
                </c:pt>
                <c:pt idx="3">
                  <c:v>Noord 10 cent</c:v>
                </c:pt>
                <c:pt idx="4">
                  <c:v>Noordwest 5 cent</c:v>
                </c:pt>
                <c:pt idx="5">
                  <c:v>Noordwest 10 cent</c:v>
                </c:pt>
                <c:pt idx="6">
                  <c:v>Oost 5cent</c:v>
                </c:pt>
                <c:pt idx="7">
                  <c:v>Oost 10 cent</c:v>
                </c:pt>
                <c:pt idx="8">
                  <c:v>Zuid 5cent</c:v>
                </c:pt>
                <c:pt idx="9">
                  <c:v>Zuid 10 cent</c:v>
                </c:pt>
                <c:pt idx="10">
                  <c:v>Zuidwest 5cent</c:v>
                </c:pt>
                <c:pt idx="11">
                  <c:v>Zuidwest 10 cent</c:v>
                </c:pt>
              </c:strCache>
            </c:strRef>
          </c:cat>
          <c:val>
            <c:numRef>
              <c:f>Analyse!$L$946:$L$957</c:f>
              <c:numCache>
                <c:formatCode>0%</c:formatCode>
                <c:ptCount val="12"/>
                <c:pt idx="0">
                  <c:v>8.1632653061224483E-2</c:v>
                </c:pt>
                <c:pt idx="1">
                  <c:v>9.6774193548387094E-2</c:v>
                </c:pt>
                <c:pt idx="2">
                  <c:v>8.7499999999999994E-2</c:v>
                </c:pt>
                <c:pt idx="3">
                  <c:v>8.9743589743589744E-2</c:v>
                </c:pt>
                <c:pt idx="4">
                  <c:v>5.8510638297872342E-2</c:v>
                </c:pt>
                <c:pt idx="5">
                  <c:v>6.5656565656565663E-2</c:v>
                </c:pt>
                <c:pt idx="6">
                  <c:v>5.7692307692307696E-2</c:v>
                </c:pt>
                <c:pt idx="7">
                  <c:v>8.2191780821917804E-2</c:v>
                </c:pt>
                <c:pt idx="8">
                  <c:v>8.6021505376344093E-2</c:v>
                </c:pt>
                <c:pt idx="9">
                  <c:v>8.8082901554404139E-2</c:v>
                </c:pt>
                <c:pt idx="10">
                  <c:v>8.1081081081081086E-2</c:v>
                </c:pt>
                <c:pt idx="11">
                  <c:v>4.519774011299435E-2</c:v>
                </c:pt>
              </c:numCache>
            </c:numRef>
          </c:val>
          <c:extLst>
            <c:ext xmlns:c16="http://schemas.microsoft.com/office/drawing/2014/chart" uri="{C3380CC4-5D6E-409C-BE32-E72D297353CC}">
              <c16:uniqueId val="{0000000D-B0C3-4C45-B2C7-6D25B54699C2}"/>
            </c:ext>
          </c:extLst>
        </c:ser>
        <c:ser>
          <c:idx val="2"/>
          <c:order val="2"/>
          <c:tx>
            <c:strRef>
              <c:f>Analyse!$M$945</c:f>
              <c:strCache>
                <c:ptCount val="1"/>
                <c:pt idx="0">
                  <c:v>soms</c:v>
                </c:pt>
              </c:strCache>
            </c:strRef>
          </c:tx>
          <c:spPr>
            <a:solidFill>
              <a:srgbClr val="C9C743"/>
            </a:solidFill>
            <a:ln>
              <a:noFill/>
            </a:ln>
            <a:effectLst/>
          </c:spPr>
          <c:invertIfNegative val="0"/>
          <c:dLbls>
            <c:spPr>
              <a:noFill/>
              <a:ln>
                <a:noFill/>
              </a:ln>
              <a:effectLst/>
            </c:spPr>
            <c:txPr>
              <a:bodyPr rot="0" spcFirstLastPara="1" vertOverflow="ellipsis" vert="horz" wrap="square" anchor="ctr" anchorCtr="1"/>
              <a:lstStyle/>
              <a:p>
                <a:pPr>
                  <a:defRPr sz="800" b="1" i="0" u="none" strike="noStrike" kern="1200" baseline="0">
                    <a:solidFill>
                      <a:schemeClr val="bg1"/>
                    </a:solidFill>
                    <a:latin typeface="+mn-lt"/>
                    <a:ea typeface="+mn-ea"/>
                    <a:cs typeface="+mn-cs"/>
                  </a:defRPr>
                </a:pPr>
                <a:endParaRPr lang="en-N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Analyse!$J$946:$J$957</c:f>
              <c:strCache>
                <c:ptCount val="12"/>
                <c:pt idx="0">
                  <c:v>G4 5cent</c:v>
                </c:pt>
                <c:pt idx="1">
                  <c:v>G4 10 cent</c:v>
                </c:pt>
                <c:pt idx="2">
                  <c:v>Noord 5cent</c:v>
                </c:pt>
                <c:pt idx="3">
                  <c:v>Noord 10 cent</c:v>
                </c:pt>
                <c:pt idx="4">
                  <c:v>Noordwest 5 cent</c:v>
                </c:pt>
                <c:pt idx="5">
                  <c:v>Noordwest 10 cent</c:v>
                </c:pt>
                <c:pt idx="6">
                  <c:v>Oost 5cent</c:v>
                </c:pt>
                <c:pt idx="7">
                  <c:v>Oost 10 cent</c:v>
                </c:pt>
                <c:pt idx="8">
                  <c:v>Zuid 5cent</c:v>
                </c:pt>
                <c:pt idx="9">
                  <c:v>Zuid 10 cent</c:v>
                </c:pt>
                <c:pt idx="10">
                  <c:v>Zuidwest 5cent</c:v>
                </c:pt>
                <c:pt idx="11">
                  <c:v>Zuidwest 10 cent</c:v>
                </c:pt>
              </c:strCache>
            </c:strRef>
          </c:cat>
          <c:val>
            <c:numRef>
              <c:f>Analyse!$M$946:$M$957</c:f>
              <c:numCache>
                <c:formatCode>0%</c:formatCode>
                <c:ptCount val="12"/>
                <c:pt idx="0">
                  <c:v>0.23469387755102042</c:v>
                </c:pt>
                <c:pt idx="1">
                  <c:v>0.22580645161290322</c:v>
                </c:pt>
                <c:pt idx="2">
                  <c:v>0.28749999999999998</c:v>
                </c:pt>
                <c:pt idx="3">
                  <c:v>0.26923076923076922</c:v>
                </c:pt>
                <c:pt idx="4">
                  <c:v>0.26063829787234044</c:v>
                </c:pt>
                <c:pt idx="5">
                  <c:v>0.27272727272727271</c:v>
                </c:pt>
                <c:pt idx="6">
                  <c:v>0.29487179487179488</c:v>
                </c:pt>
                <c:pt idx="7">
                  <c:v>0.33561643835616439</c:v>
                </c:pt>
                <c:pt idx="8">
                  <c:v>0.26881720430107525</c:v>
                </c:pt>
                <c:pt idx="9">
                  <c:v>0.28497409326424872</c:v>
                </c:pt>
                <c:pt idx="10">
                  <c:v>0.25945945945945947</c:v>
                </c:pt>
                <c:pt idx="11">
                  <c:v>0.33333333333333331</c:v>
                </c:pt>
              </c:numCache>
            </c:numRef>
          </c:val>
          <c:extLst>
            <c:ext xmlns:c16="http://schemas.microsoft.com/office/drawing/2014/chart" uri="{C3380CC4-5D6E-409C-BE32-E72D297353CC}">
              <c16:uniqueId val="{0000000E-B0C3-4C45-B2C7-6D25B54699C2}"/>
            </c:ext>
          </c:extLst>
        </c:ser>
        <c:ser>
          <c:idx val="3"/>
          <c:order val="3"/>
          <c:tx>
            <c:strRef>
              <c:f>Analyse!$N$945</c:f>
              <c:strCache>
                <c:ptCount val="1"/>
                <c:pt idx="0">
                  <c:v>zelden </c:v>
                </c:pt>
              </c:strCache>
            </c:strRef>
          </c:tx>
          <c:spPr>
            <a:solidFill>
              <a:srgbClr val="BAD6ED"/>
            </a:solidFill>
            <a:ln>
              <a:noFill/>
            </a:ln>
            <a:effectLst/>
          </c:spPr>
          <c:invertIfNegative val="0"/>
          <c:dLbls>
            <c:spPr>
              <a:noFill/>
              <a:ln>
                <a:noFill/>
              </a:ln>
              <a:effectLst/>
            </c:spPr>
            <c:txPr>
              <a:bodyPr rot="0" spcFirstLastPara="1" vertOverflow="ellipsis" vert="horz" wrap="square" anchor="ctr" anchorCtr="1"/>
              <a:lstStyle/>
              <a:p>
                <a:pPr>
                  <a:defRPr sz="800" b="1" i="0" u="none" strike="noStrike" kern="1200" baseline="0">
                    <a:solidFill>
                      <a:srgbClr val="2C307E"/>
                    </a:solidFill>
                    <a:latin typeface="+mn-lt"/>
                    <a:ea typeface="+mn-ea"/>
                    <a:cs typeface="+mn-cs"/>
                  </a:defRPr>
                </a:pPr>
                <a:endParaRPr lang="en-N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Analyse!$J$946:$J$957</c:f>
              <c:strCache>
                <c:ptCount val="12"/>
                <c:pt idx="0">
                  <c:v>G4 5cent</c:v>
                </c:pt>
                <c:pt idx="1">
                  <c:v>G4 10 cent</c:v>
                </c:pt>
                <c:pt idx="2">
                  <c:v>Noord 5cent</c:v>
                </c:pt>
                <c:pt idx="3">
                  <c:v>Noord 10 cent</c:v>
                </c:pt>
                <c:pt idx="4">
                  <c:v>Noordwest 5 cent</c:v>
                </c:pt>
                <c:pt idx="5">
                  <c:v>Noordwest 10 cent</c:v>
                </c:pt>
                <c:pt idx="6">
                  <c:v>Oost 5cent</c:v>
                </c:pt>
                <c:pt idx="7">
                  <c:v>Oost 10 cent</c:v>
                </c:pt>
                <c:pt idx="8">
                  <c:v>Zuid 5cent</c:v>
                </c:pt>
                <c:pt idx="9">
                  <c:v>Zuid 10 cent</c:v>
                </c:pt>
                <c:pt idx="10">
                  <c:v>Zuidwest 5cent</c:v>
                </c:pt>
                <c:pt idx="11">
                  <c:v>Zuidwest 10 cent</c:v>
                </c:pt>
              </c:strCache>
            </c:strRef>
          </c:cat>
          <c:val>
            <c:numRef>
              <c:f>Analyse!$N$946:$N$957</c:f>
              <c:numCache>
                <c:formatCode>0%</c:formatCode>
                <c:ptCount val="12"/>
                <c:pt idx="0">
                  <c:v>0.36734693877551022</c:v>
                </c:pt>
                <c:pt idx="1">
                  <c:v>0.45161290322580644</c:v>
                </c:pt>
                <c:pt idx="2">
                  <c:v>0.36249999999999999</c:v>
                </c:pt>
                <c:pt idx="3">
                  <c:v>0.34615384615384615</c:v>
                </c:pt>
                <c:pt idx="4">
                  <c:v>0.37234042553191488</c:v>
                </c:pt>
                <c:pt idx="5">
                  <c:v>0.39898989898989901</c:v>
                </c:pt>
                <c:pt idx="6">
                  <c:v>0.33974358974358976</c:v>
                </c:pt>
                <c:pt idx="7">
                  <c:v>0.36301369863013699</c:v>
                </c:pt>
                <c:pt idx="8">
                  <c:v>0.37634408602150538</c:v>
                </c:pt>
                <c:pt idx="9">
                  <c:v>0.42487046632124353</c:v>
                </c:pt>
                <c:pt idx="10">
                  <c:v>0.4</c:v>
                </c:pt>
                <c:pt idx="11">
                  <c:v>0.3728813559322034</c:v>
                </c:pt>
              </c:numCache>
            </c:numRef>
          </c:val>
          <c:extLst>
            <c:ext xmlns:c16="http://schemas.microsoft.com/office/drawing/2014/chart" uri="{C3380CC4-5D6E-409C-BE32-E72D297353CC}">
              <c16:uniqueId val="{0000000F-B0C3-4C45-B2C7-6D25B54699C2}"/>
            </c:ext>
          </c:extLst>
        </c:ser>
        <c:ser>
          <c:idx val="4"/>
          <c:order val="4"/>
          <c:tx>
            <c:strRef>
              <c:f>Analyse!$O$945</c:f>
              <c:strCache>
                <c:ptCount val="1"/>
                <c:pt idx="0">
                  <c:v>nooit</c:v>
                </c:pt>
              </c:strCache>
            </c:strRef>
          </c:tx>
          <c:spPr>
            <a:solidFill>
              <a:srgbClr val="4EAFAA"/>
            </a:solidFill>
            <a:ln>
              <a:noFill/>
            </a:ln>
            <a:effectLst/>
          </c:spPr>
          <c:invertIfNegative val="0"/>
          <c:dLbls>
            <c:spPr>
              <a:noFill/>
              <a:ln>
                <a:noFill/>
              </a:ln>
              <a:effectLst/>
            </c:spPr>
            <c:txPr>
              <a:bodyPr rot="0" spcFirstLastPara="1" vertOverflow="ellipsis" vert="horz" wrap="square" anchor="ctr" anchorCtr="1"/>
              <a:lstStyle/>
              <a:p>
                <a:pPr>
                  <a:defRPr sz="800" b="1" i="0" u="none" strike="noStrike" kern="1200" baseline="0">
                    <a:solidFill>
                      <a:schemeClr val="bg1"/>
                    </a:solidFill>
                    <a:latin typeface="+mn-lt"/>
                    <a:ea typeface="+mn-ea"/>
                    <a:cs typeface="+mn-cs"/>
                  </a:defRPr>
                </a:pPr>
                <a:endParaRPr lang="en-N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Analyse!$J$946:$J$957</c:f>
              <c:strCache>
                <c:ptCount val="12"/>
                <c:pt idx="0">
                  <c:v>G4 5cent</c:v>
                </c:pt>
                <c:pt idx="1">
                  <c:v>G4 10 cent</c:v>
                </c:pt>
                <c:pt idx="2">
                  <c:v>Noord 5cent</c:v>
                </c:pt>
                <c:pt idx="3">
                  <c:v>Noord 10 cent</c:v>
                </c:pt>
                <c:pt idx="4">
                  <c:v>Noordwest 5 cent</c:v>
                </c:pt>
                <c:pt idx="5">
                  <c:v>Noordwest 10 cent</c:v>
                </c:pt>
                <c:pt idx="6">
                  <c:v>Oost 5cent</c:v>
                </c:pt>
                <c:pt idx="7">
                  <c:v>Oost 10 cent</c:v>
                </c:pt>
                <c:pt idx="8">
                  <c:v>Zuid 5cent</c:v>
                </c:pt>
                <c:pt idx="9">
                  <c:v>Zuid 10 cent</c:v>
                </c:pt>
                <c:pt idx="10">
                  <c:v>Zuidwest 5cent</c:v>
                </c:pt>
                <c:pt idx="11">
                  <c:v>Zuidwest 10 cent</c:v>
                </c:pt>
              </c:strCache>
            </c:strRef>
          </c:cat>
          <c:val>
            <c:numRef>
              <c:f>Analyse!$O$946:$O$957</c:f>
              <c:numCache>
                <c:formatCode>0%</c:formatCode>
                <c:ptCount val="12"/>
                <c:pt idx="0">
                  <c:v>0.26530612244897961</c:v>
                </c:pt>
                <c:pt idx="1">
                  <c:v>0.18279569892473119</c:v>
                </c:pt>
                <c:pt idx="2">
                  <c:v>0.22500000000000001</c:v>
                </c:pt>
                <c:pt idx="3">
                  <c:v>0.25641025641025639</c:v>
                </c:pt>
                <c:pt idx="4">
                  <c:v>0.26063829787234044</c:v>
                </c:pt>
                <c:pt idx="5">
                  <c:v>0.22727272727272727</c:v>
                </c:pt>
                <c:pt idx="6">
                  <c:v>0.28205128205128205</c:v>
                </c:pt>
                <c:pt idx="7">
                  <c:v>0.21232876712328766</c:v>
                </c:pt>
                <c:pt idx="8">
                  <c:v>0.24193548387096775</c:v>
                </c:pt>
                <c:pt idx="9">
                  <c:v>0.18134715025906736</c:v>
                </c:pt>
                <c:pt idx="10">
                  <c:v>0.22162162162162163</c:v>
                </c:pt>
                <c:pt idx="11">
                  <c:v>0.22598870056497175</c:v>
                </c:pt>
              </c:numCache>
            </c:numRef>
          </c:val>
          <c:extLst>
            <c:ext xmlns:c16="http://schemas.microsoft.com/office/drawing/2014/chart" uri="{C3380CC4-5D6E-409C-BE32-E72D297353CC}">
              <c16:uniqueId val="{00000010-B0C3-4C45-B2C7-6D25B54699C2}"/>
            </c:ext>
          </c:extLst>
        </c:ser>
        <c:dLbls>
          <c:dLblPos val="ctr"/>
          <c:showLegendKey val="0"/>
          <c:showVal val="1"/>
          <c:showCatName val="0"/>
          <c:showSerName val="0"/>
          <c:showPercent val="0"/>
          <c:showBubbleSize val="0"/>
        </c:dLbls>
        <c:gapWidth val="150"/>
        <c:overlap val="100"/>
        <c:axId val="1297673872"/>
        <c:axId val="1297674352"/>
      </c:barChart>
      <c:catAx>
        <c:axId val="129767387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2C307E"/>
                </a:solidFill>
                <a:latin typeface="+mn-lt"/>
                <a:ea typeface="+mn-ea"/>
                <a:cs typeface="+mn-cs"/>
              </a:defRPr>
            </a:pPr>
            <a:endParaRPr lang="en-NL"/>
          </a:p>
        </c:txPr>
        <c:crossAx val="1297674352"/>
        <c:crosses val="autoZero"/>
        <c:auto val="1"/>
        <c:lblAlgn val="ctr"/>
        <c:lblOffset val="100"/>
        <c:noMultiLvlLbl val="0"/>
      </c:catAx>
      <c:valAx>
        <c:axId val="1297674352"/>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2C307E"/>
                </a:solidFill>
                <a:latin typeface="+mn-lt"/>
                <a:ea typeface="+mn-ea"/>
                <a:cs typeface="+mn-cs"/>
              </a:defRPr>
            </a:pPr>
            <a:endParaRPr lang="en-NL"/>
          </a:p>
        </c:txPr>
        <c:crossAx val="12976738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rgbClr val="2C307E"/>
              </a:solidFill>
              <a:latin typeface="+mn-lt"/>
              <a:ea typeface="+mn-ea"/>
              <a:cs typeface="+mn-cs"/>
            </a:defRPr>
          </a:pPr>
          <a:endParaRPr lang="en-NL"/>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a:solidFill>
            <a:srgbClr val="2C307E"/>
          </a:solidFill>
        </a:defRPr>
      </a:pPr>
      <a:endParaRPr lang="en-NL"/>
    </a:p>
  </c:txPr>
  <c:externalData r:id="rId3">
    <c:autoUpdate val="0"/>
  </c:externalData>
</c:chartSpace>
</file>

<file path=word/charts/chart1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rgbClr val="2C307E"/>
                </a:solidFill>
                <a:latin typeface="+mn-lt"/>
                <a:ea typeface="+mn-ea"/>
                <a:cs typeface="+mn-cs"/>
              </a:defRPr>
            </a:pPr>
            <a:r>
              <a:rPr lang="nl-NL" sz="1100"/>
              <a:t>Hoe vaak ben je bereid om je vertrektijden door te geven zodat je auto slim geladen kan worden bij de openbare laadpaal?</a:t>
            </a:r>
          </a:p>
        </c:rich>
      </c:tx>
      <c:overlay val="0"/>
      <c:spPr>
        <a:noFill/>
        <a:ln>
          <a:noFill/>
        </a:ln>
        <a:effectLst/>
      </c:spPr>
      <c:txPr>
        <a:bodyPr rot="0" spcFirstLastPara="1" vertOverflow="ellipsis" vert="horz" wrap="square" anchor="ctr" anchorCtr="1"/>
        <a:lstStyle/>
        <a:p>
          <a:pPr>
            <a:defRPr sz="1100" b="0" i="0" u="none" strike="noStrike" kern="1200" spc="0" baseline="0">
              <a:solidFill>
                <a:srgbClr val="2C307E"/>
              </a:solidFill>
              <a:latin typeface="+mn-lt"/>
              <a:ea typeface="+mn-ea"/>
              <a:cs typeface="+mn-cs"/>
            </a:defRPr>
          </a:pPr>
          <a:endParaRPr lang="en-NL"/>
        </a:p>
      </c:txPr>
    </c:title>
    <c:autoTitleDeleted val="0"/>
    <c:plotArea>
      <c:layout/>
      <c:barChart>
        <c:barDir val="bar"/>
        <c:grouping val="percentStacked"/>
        <c:varyColors val="0"/>
        <c:ser>
          <c:idx val="0"/>
          <c:order val="0"/>
          <c:tx>
            <c:strRef>
              <c:f>Analyse!$K$1028</c:f>
              <c:strCache>
                <c:ptCount val="1"/>
                <c:pt idx="0">
                  <c:v>Heel vaak</c:v>
                </c:pt>
              </c:strCache>
            </c:strRef>
          </c:tx>
          <c:spPr>
            <a:solidFill>
              <a:srgbClr val="2C307E"/>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bg1"/>
                    </a:solidFill>
                    <a:latin typeface="+mn-lt"/>
                    <a:ea typeface="+mn-ea"/>
                    <a:cs typeface="+mn-cs"/>
                  </a:defRPr>
                </a:pPr>
                <a:endParaRPr lang="en-N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Analyse!$J$1029:$J$1034</c:f>
              <c:strCache>
                <c:ptCount val="6"/>
                <c:pt idx="0">
                  <c:v>G4</c:v>
                </c:pt>
                <c:pt idx="1">
                  <c:v>Noord</c:v>
                </c:pt>
                <c:pt idx="2">
                  <c:v>Noordwest</c:v>
                </c:pt>
                <c:pt idx="3">
                  <c:v>Oost</c:v>
                </c:pt>
                <c:pt idx="4">
                  <c:v>Zuid</c:v>
                </c:pt>
                <c:pt idx="5">
                  <c:v>Zuidwest</c:v>
                </c:pt>
              </c:strCache>
            </c:strRef>
          </c:cat>
          <c:val>
            <c:numRef>
              <c:f>Analyse!$K$1029:$K$1034</c:f>
              <c:numCache>
                <c:formatCode>0%</c:formatCode>
                <c:ptCount val="6"/>
                <c:pt idx="0">
                  <c:v>0.27109807754969045</c:v>
                </c:pt>
                <c:pt idx="1">
                  <c:v>0.21368670886075949</c:v>
                </c:pt>
                <c:pt idx="2">
                  <c:v>0.16156790358044465</c:v>
                </c:pt>
                <c:pt idx="3">
                  <c:v>0.15955391640323147</c:v>
                </c:pt>
                <c:pt idx="4">
                  <c:v>0.16085854365145691</c:v>
                </c:pt>
                <c:pt idx="5">
                  <c:v>0.17679927118129365</c:v>
                </c:pt>
              </c:numCache>
            </c:numRef>
          </c:val>
          <c:extLst>
            <c:ext xmlns:c16="http://schemas.microsoft.com/office/drawing/2014/chart" uri="{C3380CC4-5D6E-409C-BE32-E72D297353CC}">
              <c16:uniqueId val="{00000000-E770-441E-89D3-8932DB4D5530}"/>
            </c:ext>
          </c:extLst>
        </c:ser>
        <c:ser>
          <c:idx val="1"/>
          <c:order val="1"/>
          <c:tx>
            <c:strRef>
              <c:f>Analyse!$L$1028</c:f>
              <c:strCache>
                <c:ptCount val="1"/>
                <c:pt idx="0">
                  <c:v>vaak</c:v>
                </c:pt>
              </c:strCache>
            </c:strRef>
          </c:tx>
          <c:spPr>
            <a:solidFill>
              <a:srgbClr val="08B46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bg1"/>
                    </a:solidFill>
                    <a:latin typeface="+mn-lt"/>
                    <a:ea typeface="+mn-ea"/>
                    <a:cs typeface="+mn-cs"/>
                  </a:defRPr>
                </a:pPr>
                <a:endParaRPr lang="en-N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Analyse!$J$1029:$J$1034</c:f>
              <c:strCache>
                <c:ptCount val="6"/>
                <c:pt idx="0">
                  <c:v>G4</c:v>
                </c:pt>
                <c:pt idx="1">
                  <c:v>Noord</c:v>
                </c:pt>
                <c:pt idx="2">
                  <c:v>Noordwest</c:v>
                </c:pt>
                <c:pt idx="3">
                  <c:v>Oost</c:v>
                </c:pt>
                <c:pt idx="4">
                  <c:v>Zuid</c:v>
                </c:pt>
                <c:pt idx="5">
                  <c:v>Zuidwest</c:v>
                </c:pt>
              </c:strCache>
            </c:strRef>
          </c:cat>
          <c:val>
            <c:numRef>
              <c:f>Analyse!$L$1029:$L$1034</c:f>
              <c:numCache>
                <c:formatCode>0%</c:formatCode>
                <c:ptCount val="6"/>
                <c:pt idx="0">
                  <c:v>0.31981101335940043</c:v>
                </c:pt>
                <c:pt idx="1">
                  <c:v>0.38386075949367088</c:v>
                </c:pt>
                <c:pt idx="2">
                  <c:v>0.38246152175683379</c:v>
                </c:pt>
                <c:pt idx="3">
                  <c:v>0.38707411310151035</c:v>
                </c:pt>
                <c:pt idx="4">
                  <c:v>0.40647111259680202</c:v>
                </c:pt>
                <c:pt idx="5">
                  <c:v>0.37156088672942605</c:v>
                </c:pt>
              </c:numCache>
            </c:numRef>
          </c:val>
          <c:extLst>
            <c:ext xmlns:c16="http://schemas.microsoft.com/office/drawing/2014/chart" uri="{C3380CC4-5D6E-409C-BE32-E72D297353CC}">
              <c16:uniqueId val="{00000001-E770-441E-89D3-8932DB4D5530}"/>
            </c:ext>
          </c:extLst>
        </c:ser>
        <c:ser>
          <c:idx val="2"/>
          <c:order val="2"/>
          <c:tx>
            <c:strRef>
              <c:f>Analyse!$M$1028</c:f>
              <c:strCache>
                <c:ptCount val="1"/>
                <c:pt idx="0">
                  <c:v>soms</c:v>
                </c:pt>
              </c:strCache>
            </c:strRef>
          </c:tx>
          <c:spPr>
            <a:solidFill>
              <a:srgbClr val="C9C74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bg1"/>
                    </a:solidFill>
                    <a:latin typeface="+mn-lt"/>
                    <a:ea typeface="+mn-ea"/>
                    <a:cs typeface="+mn-cs"/>
                  </a:defRPr>
                </a:pPr>
                <a:endParaRPr lang="en-N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Analyse!$J$1029:$J$1034</c:f>
              <c:strCache>
                <c:ptCount val="6"/>
                <c:pt idx="0">
                  <c:v>G4</c:v>
                </c:pt>
                <c:pt idx="1">
                  <c:v>Noord</c:v>
                </c:pt>
                <c:pt idx="2">
                  <c:v>Noordwest</c:v>
                </c:pt>
                <c:pt idx="3">
                  <c:v>Oost</c:v>
                </c:pt>
                <c:pt idx="4">
                  <c:v>Zuid</c:v>
                </c:pt>
                <c:pt idx="5">
                  <c:v>Zuidwest</c:v>
                </c:pt>
              </c:strCache>
            </c:strRef>
          </c:cat>
          <c:val>
            <c:numRef>
              <c:f>Analyse!$M$1029:$M$1034</c:f>
              <c:numCache>
                <c:formatCode>0%</c:formatCode>
                <c:ptCount val="6"/>
                <c:pt idx="0">
                  <c:v>0.19110459433040078</c:v>
                </c:pt>
                <c:pt idx="1">
                  <c:v>0.18860759493670887</c:v>
                </c:pt>
                <c:pt idx="2">
                  <c:v>0.20806753712098591</c:v>
                </c:pt>
                <c:pt idx="3">
                  <c:v>0.2208904109589041</c:v>
                </c:pt>
                <c:pt idx="4">
                  <c:v>0.19204412502089252</c:v>
                </c:pt>
                <c:pt idx="5">
                  <c:v>0.21506225326450046</c:v>
                </c:pt>
              </c:numCache>
            </c:numRef>
          </c:val>
          <c:extLst>
            <c:ext xmlns:c16="http://schemas.microsoft.com/office/drawing/2014/chart" uri="{C3380CC4-5D6E-409C-BE32-E72D297353CC}">
              <c16:uniqueId val="{00000002-E770-441E-89D3-8932DB4D5530}"/>
            </c:ext>
          </c:extLst>
        </c:ser>
        <c:ser>
          <c:idx val="3"/>
          <c:order val="3"/>
          <c:tx>
            <c:strRef>
              <c:f>Analyse!$N$1028</c:f>
              <c:strCache>
                <c:ptCount val="1"/>
                <c:pt idx="0">
                  <c:v>zelden </c:v>
                </c:pt>
              </c:strCache>
            </c:strRef>
          </c:tx>
          <c:spPr>
            <a:solidFill>
              <a:srgbClr val="BAD6ED"/>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rgbClr val="2C307E"/>
                    </a:solidFill>
                    <a:latin typeface="+mn-lt"/>
                    <a:ea typeface="+mn-ea"/>
                    <a:cs typeface="+mn-cs"/>
                  </a:defRPr>
                </a:pPr>
                <a:endParaRPr lang="en-N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Analyse!$J$1029:$J$1034</c:f>
              <c:strCache>
                <c:ptCount val="6"/>
                <c:pt idx="0">
                  <c:v>G4</c:v>
                </c:pt>
                <c:pt idx="1">
                  <c:v>Noord</c:v>
                </c:pt>
                <c:pt idx="2">
                  <c:v>Noordwest</c:v>
                </c:pt>
                <c:pt idx="3">
                  <c:v>Oost</c:v>
                </c:pt>
                <c:pt idx="4">
                  <c:v>Zuid</c:v>
                </c:pt>
                <c:pt idx="5">
                  <c:v>Zuidwest</c:v>
                </c:pt>
              </c:strCache>
            </c:strRef>
          </c:cat>
          <c:val>
            <c:numRef>
              <c:f>Analyse!$N$1029:$N$1034</c:f>
              <c:numCache>
                <c:formatCode>0%</c:formatCode>
                <c:ptCount val="6"/>
                <c:pt idx="0">
                  <c:v>8.3088954056696002E-2</c:v>
                </c:pt>
                <c:pt idx="1">
                  <c:v>8.1882911392405056E-2</c:v>
                </c:pt>
                <c:pt idx="2">
                  <c:v>0.10169928608268411</c:v>
                </c:pt>
                <c:pt idx="3">
                  <c:v>0.10076396206533192</c:v>
                </c:pt>
                <c:pt idx="4">
                  <c:v>0.10557691236280572</c:v>
                </c:pt>
                <c:pt idx="5">
                  <c:v>0.10535985423625874</c:v>
                </c:pt>
              </c:numCache>
            </c:numRef>
          </c:val>
          <c:extLst>
            <c:ext xmlns:c16="http://schemas.microsoft.com/office/drawing/2014/chart" uri="{C3380CC4-5D6E-409C-BE32-E72D297353CC}">
              <c16:uniqueId val="{00000003-E770-441E-89D3-8932DB4D5530}"/>
            </c:ext>
          </c:extLst>
        </c:ser>
        <c:ser>
          <c:idx val="4"/>
          <c:order val="4"/>
          <c:tx>
            <c:strRef>
              <c:f>Analyse!$O$1028</c:f>
              <c:strCache>
                <c:ptCount val="1"/>
                <c:pt idx="0">
                  <c:v>nooit</c:v>
                </c:pt>
              </c:strCache>
            </c:strRef>
          </c:tx>
          <c:spPr>
            <a:solidFill>
              <a:srgbClr val="4EAFAA"/>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bg1"/>
                    </a:solidFill>
                    <a:latin typeface="+mn-lt"/>
                    <a:ea typeface="+mn-ea"/>
                    <a:cs typeface="+mn-cs"/>
                  </a:defRPr>
                </a:pPr>
                <a:endParaRPr lang="en-N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Analyse!$J$1029:$J$1034</c:f>
              <c:strCache>
                <c:ptCount val="6"/>
                <c:pt idx="0">
                  <c:v>G4</c:v>
                </c:pt>
                <c:pt idx="1">
                  <c:v>Noord</c:v>
                </c:pt>
                <c:pt idx="2">
                  <c:v>Noordwest</c:v>
                </c:pt>
                <c:pt idx="3">
                  <c:v>Oost</c:v>
                </c:pt>
                <c:pt idx="4">
                  <c:v>Zuid</c:v>
                </c:pt>
                <c:pt idx="5">
                  <c:v>Zuidwest</c:v>
                </c:pt>
              </c:strCache>
            </c:strRef>
          </c:cat>
          <c:val>
            <c:numRef>
              <c:f>Analyse!$O$1029:$O$1034</c:f>
              <c:numCache>
                <c:formatCode>0%</c:formatCode>
                <c:ptCount val="6"/>
                <c:pt idx="0">
                  <c:v>0.13489736070381231</c:v>
                </c:pt>
                <c:pt idx="1">
                  <c:v>0.13196202531645568</c:v>
                </c:pt>
                <c:pt idx="2">
                  <c:v>0.14620375145905157</c:v>
                </c:pt>
                <c:pt idx="3">
                  <c:v>0.13171759747102213</c:v>
                </c:pt>
                <c:pt idx="4">
                  <c:v>0.1350493063680428</c:v>
                </c:pt>
                <c:pt idx="5">
                  <c:v>0.1312177345885211</c:v>
                </c:pt>
              </c:numCache>
            </c:numRef>
          </c:val>
          <c:extLst>
            <c:ext xmlns:c16="http://schemas.microsoft.com/office/drawing/2014/chart" uri="{C3380CC4-5D6E-409C-BE32-E72D297353CC}">
              <c16:uniqueId val="{00000004-E770-441E-89D3-8932DB4D5530}"/>
            </c:ext>
          </c:extLst>
        </c:ser>
        <c:dLbls>
          <c:dLblPos val="ctr"/>
          <c:showLegendKey val="0"/>
          <c:showVal val="1"/>
          <c:showCatName val="0"/>
          <c:showSerName val="0"/>
          <c:showPercent val="0"/>
          <c:showBubbleSize val="0"/>
        </c:dLbls>
        <c:gapWidth val="150"/>
        <c:overlap val="100"/>
        <c:axId val="1271469104"/>
        <c:axId val="1271467664"/>
      </c:barChart>
      <c:catAx>
        <c:axId val="127146910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2C307E"/>
                </a:solidFill>
                <a:latin typeface="+mn-lt"/>
                <a:ea typeface="+mn-ea"/>
                <a:cs typeface="+mn-cs"/>
              </a:defRPr>
            </a:pPr>
            <a:endParaRPr lang="en-NL"/>
          </a:p>
        </c:txPr>
        <c:crossAx val="1271467664"/>
        <c:crosses val="autoZero"/>
        <c:auto val="1"/>
        <c:lblAlgn val="ctr"/>
        <c:lblOffset val="100"/>
        <c:noMultiLvlLbl val="0"/>
      </c:catAx>
      <c:valAx>
        <c:axId val="127146766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2C307E"/>
                </a:solidFill>
                <a:latin typeface="+mn-lt"/>
                <a:ea typeface="+mn-ea"/>
                <a:cs typeface="+mn-cs"/>
              </a:defRPr>
            </a:pPr>
            <a:endParaRPr lang="en-NL"/>
          </a:p>
        </c:txPr>
        <c:crossAx val="1271469104"/>
        <c:crosses val="autoZero"/>
        <c:crossBetween val="between"/>
      </c:valAx>
      <c:spPr>
        <a:noFill/>
        <a:ln>
          <a:noFill/>
        </a:ln>
        <a:effectLst/>
      </c:spPr>
    </c:plotArea>
    <c:legend>
      <c:legendPos val="b"/>
      <c:legendEntry>
        <c:idx val="0"/>
        <c:txPr>
          <a:bodyPr rot="0" spcFirstLastPara="1" vertOverflow="ellipsis" vert="horz" wrap="square" anchor="ctr" anchorCtr="1"/>
          <a:lstStyle/>
          <a:p>
            <a:pPr>
              <a:defRPr sz="900" b="0" i="0" u="none" strike="noStrike" kern="1200" baseline="0">
                <a:solidFill>
                  <a:srgbClr val="2C307E"/>
                </a:solidFill>
                <a:latin typeface="+mn-lt"/>
                <a:ea typeface="+mn-ea"/>
                <a:cs typeface="+mn-cs"/>
              </a:defRPr>
            </a:pPr>
            <a:endParaRPr lang="en-NL"/>
          </a:p>
        </c:txPr>
      </c:legendEntry>
      <c:overlay val="0"/>
      <c:spPr>
        <a:noFill/>
        <a:ln>
          <a:noFill/>
        </a:ln>
        <a:effectLst/>
      </c:spPr>
      <c:txPr>
        <a:bodyPr rot="0" spcFirstLastPara="1" vertOverflow="ellipsis" vert="horz" wrap="square" anchor="ctr" anchorCtr="1"/>
        <a:lstStyle/>
        <a:p>
          <a:pPr>
            <a:defRPr sz="900" b="0" i="0" u="none" strike="noStrike" kern="1200" baseline="0">
              <a:solidFill>
                <a:srgbClr val="2C307E"/>
              </a:solidFill>
              <a:latin typeface="+mn-lt"/>
              <a:ea typeface="+mn-ea"/>
              <a:cs typeface="+mn-cs"/>
            </a:defRPr>
          </a:pPr>
          <a:endParaRPr lang="en-NL"/>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a:solidFill>
            <a:srgbClr val="2C307E"/>
          </a:solidFill>
        </a:defRPr>
      </a:pPr>
      <a:endParaRPr lang="en-NL"/>
    </a:p>
  </c:txPr>
  <c:externalData r:id="rId3">
    <c:autoUpdate val="0"/>
  </c:externalData>
</c:chartSpace>
</file>

<file path=word/charts/chart1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rgbClr val="2C307E"/>
                </a:solidFill>
                <a:latin typeface="+mn-lt"/>
                <a:ea typeface="+mn-ea"/>
                <a:cs typeface="+mn-cs"/>
              </a:defRPr>
            </a:pPr>
            <a:r>
              <a:rPr lang="nl-NL" sz="1100"/>
              <a:t>Als er korting wordt gegeven, bijvoorbeeld 5 cent per kWh, zou je dan je vertrektijden doorgeven zodat je auto slim geladen kan worden aan de openbare laadpaal?</a:t>
            </a:r>
          </a:p>
        </c:rich>
      </c:tx>
      <c:overlay val="0"/>
      <c:spPr>
        <a:noFill/>
        <a:ln>
          <a:noFill/>
        </a:ln>
        <a:effectLst/>
      </c:spPr>
      <c:txPr>
        <a:bodyPr rot="0" spcFirstLastPara="1" vertOverflow="ellipsis" vert="horz" wrap="square" anchor="ctr" anchorCtr="1"/>
        <a:lstStyle/>
        <a:p>
          <a:pPr>
            <a:defRPr sz="1100" b="0" i="0" u="none" strike="noStrike" kern="1200" spc="0" baseline="0">
              <a:solidFill>
                <a:srgbClr val="2C307E"/>
              </a:solidFill>
              <a:latin typeface="+mn-lt"/>
              <a:ea typeface="+mn-ea"/>
              <a:cs typeface="+mn-cs"/>
            </a:defRPr>
          </a:pPr>
          <a:endParaRPr lang="en-NL"/>
        </a:p>
      </c:txPr>
    </c:title>
    <c:autoTitleDeleted val="0"/>
    <c:plotArea>
      <c:layout/>
      <c:barChart>
        <c:barDir val="bar"/>
        <c:grouping val="percentStacked"/>
        <c:varyColors val="0"/>
        <c:ser>
          <c:idx val="0"/>
          <c:order val="0"/>
          <c:tx>
            <c:strRef>
              <c:f>Analyse!$K$974</c:f>
              <c:strCache>
                <c:ptCount val="1"/>
                <c:pt idx="0">
                  <c:v>Heel vaak</c:v>
                </c:pt>
              </c:strCache>
            </c:strRef>
          </c:tx>
          <c:spPr>
            <a:solidFill>
              <a:srgbClr val="2C307E"/>
            </a:solidFill>
            <a:ln>
              <a:noFill/>
            </a:ln>
            <a:effectLst/>
          </c:spPr>
          <c:invertIfNegative val="0"/>
          <c:dLbls>
            <c:spPr>
              <a:noFill/>
              <a:ln>
                <a:noFill/>
              </a:ln>
              <a:effectLst/>
            </c:spPr>
            <c:txPr>
              <a:bodyPr rot="0" spcFirstLastPara="1" vertOverflow="ellipsis" vert="horz" wrap="square" anchor="ctr" anchorCtr="1"/>
              <a:lstStyle/>
              <a:p>
                <a:pPr>
                  <a:defRPr sz="800" b="1" i="0" u="none" strike="noStrike" kern="1200" baseline="0">
                    <a:solidFill>
                      <a:schemeClr val="bg1"/>
                    </a:solidFill>
                    <a:latin typeface="+mn-lt"/>
                    <a:ea typeface="+mn-ea"/>
                    <a:cs typeface="+mn-cs"/>
                  </a:defRPr>
                </a:pPr>
                <a:endParaRPr lang="en-N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Analyse!$J$975:$J$986</c:f>
              <c:strCache>
                <c:ptCount val="12"/>
                <c:pt idx="0">
                  <c:v>G4 5cent</c:v>
                </c:pt>
                <c:pt idx="1">
                  <c:v>G4 10 cent</c:v>
                </c:pt>
                <c:pt idx="2">
                  <c:v>Noord 5 cent</c:v>
                </c:pt>
                <c:pt idx="3">
                  <c:v>Noord 10 cent</c:v>
                </c:pt>
                <c:pt idx="4">
                  <c:v>Noordwest 5cent</c:v>
                </c:pt>
                <c:pt idx="5">
                  <c:v>Noordwest 10 cent</c:v>
                </c:pt>
                <c:pt idx="6">
                  <c:v>Oost 5cent</c:v>
                </c:pt>
                <c:pt idx="7">
                  <c:v>Oost 10 cent</c:v>
                </c:pt>
                <c:pt idx="8">
                  <c:v>Zuid 5cent</c:v>
                </c:pt>
                <c:pt idx="9">
                  <c:v>Zuid 10 cent</c:v>
                </c:pt>
                <c:pt idx="10">
                  <c:v>Zuidwest 5cent</c:v>
                </c:pt>
                <c:pt idx="11">
                  <c:v>Zuidwest 10 cent</c:v>
                </c:pt>
              </c:strCache>
            </c:strRef>
          </c:cat>
          <c:val>
            <c:numRef>
              <c:f>Analyse!$K$975:$K$986</c:f>
              <c:numCache>
                <c:formatCode>0%</c:formatCode>
                <c:ptCount val="12"/>
                <c:pt idx="0">
                  <c:v>0.37373737373737376</c:v>
                </c:pt>
                <c:pt idx="1">
                  <c:v>0.41489361702127658</c:v>
                </c:pt>
                <c:pt idx="2">
                  <c:v>0.32500000000000001</c:v>
                </c:pt>
                <c:pt idx="3">
                  <c:v>0.32098765432098764</c:v>
                </c:pt>
                <c:pt idx="4">
                  <c:v>0.28342245989304815</c:v>
                </c:pt>
                <c:pt idx="5">
                  <c:v>0.26732673267326734</c:v>
                </c:pt>
                <c:pt idx="6">
                  <c:v>0.24358974358974358</c:v>
                </c:pt>
                <c:pt idx="7">
                  <c:v>0.35570469798657717</c:v>
                </c:pt>
                <c:pt idx="8">
                  <c:v>0.31182795698924731</c:v>
                </c:pt>
                <c:pt idx="9">
                  <c:v>0.28205128205128205</c:v>
                </c:pt>
                <c:pt idx="10">
                  <c:v>0.27567567567567569</c:v>
                </c:pt>
                <c:pt idx="11">
                  <c:v>0.36263736263736263</c:v>
                </c:pt>
              </c:numCache>
            </c:numRef>
          </c:val>
          <c:extLst>
            <c:ext xmlns:c16="http://schemas.microsoft.com/office/drawing/2014/chart" uri="{C3380CC4-5D6E-409C-BE32-E72D297353CC}">
              <c16:uniqueId val="{00000000-1D5F-4BD5-99F0-3342C6040430}"/>
            </c:ext>
          </c:extLst>
        </c:ser>
        <c:ser>
          <c:idx val="1"/>
          <c:order val="1"/>
          <c:tx>
            <c:strRef>
              <c:f>Analyse!$L$974</c:f>
              <c:strCache>
                <c:ptCount val="1"/>
                <c:pt idx="0">
                  <c:v>vaak</c:v>
                </c:pt>
              </c:strCache>
            </c:strRef>
          </c:tx>
          <c:spPr>
            <a:solidFill>
              <a:srgbClr val="08B466"/>
            </a:solidFill>
            <a:ln>
              <a:noFill/>
            </a:ln>
            <a:effectLst/>
          </c:spPr>
          <c:invertIfNegative val="0"/>
          <c:dLbls>
            <c:spPr>
              <a:noFill/>
              <a:ln>
                <a:noFill/>
              </a:ln>
              <a:effectLst/>
            </c:spPr>
            <c:txPr>
              <a:bodyPr rot="0" spcFirstLastPara="1" vertOverflow="ellipsis" vert="horz" wrap="square" anchor="ctr" anchorCtr="1"/>
              <a:lstStyle/>
              <a:p>
                <a:pPr>
                  <a:defRPr sz="800" b="1" i="0" u="none" strike="noStrike" kern="1200" baseline="0">
                    <a:solidFill>
                      <a:schemeClr val="bg1"/>
                    </a:solidFill>
                    <a:latin typeface="+mn-lt"/>
                    <a:ea typeface="+mn-ea"/>
                    <a:cs typeface="+mn-cs"/>
                  </a:defRPr>
                </a:pPr>
                <a:endParaRPr lang="en-N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Analyse!$J$975:$J$986</c:f>
              <c:strCache>
                <c:ptCount val="12"/>
                <c:pt idx="0">
                  <c:v>G4 5cent</c:v>
                </c:pt>
                <c:pt idx="1">
                  <c:v>G4 10 cent</c:v>
                </c:pt>
                <c:pt idx="2">
                  <c:v>Noord 5 cent</c:v>
                </c:pt>
                <c:pt idx="3">
                  <c:v>Noord 10 cent</c:v>
                </c:pt>
                <c:pt idx="4">
                  <c:v>Noordwest 5cent</c:v>
                </c:pt>
                <c:pt idx="5">
                  <c:v>Noordwest 10 cent</c:v>
                </c:pt>
                <c:pt idx="6">
                  <c:v>Oost 5cent</c:v>
                </c:pt>
                <c:pt idx="7">
                  <c:v>Oost 10 cent</c:v>
                </c:pt>
                <c:pt idx="8">
                  <c:v>Zuid 5cent</c:v>
                </c:pt>
                <c:pt idx="9">
                  <c:v>Zuid 10 cent</c:v>
                </c:pt>
                <c:pt idx="10">
                  <c:v>Zuidwest 5cent</c:v>
                </c:pt>
                <c:pt idx="11">
                  <c:v>Zuidwest 10 cent</c:v>
                </c:pt>
              </c:strCache>
            </c:strRef>
          </c:cat>
          <c:val>
            <c:numRef>
              <c:f>Analyse!$L$975:$L$986</c:f>
              <c:numCache>
                <c:formatCode>0%</c:formatCode>
                <c:ptCount val="12"/>
                <c:pt idx="0">
                  <c:v>0.23232323232323232</c:v>
                </c:pt>
                <c:pt idx="1">
                  <c:v>0.26595744680851063</c:v>
                </c:pt>
                <c:pt idx="2">
                  <c:v>0.35</c:v>
                </c:pt>
                <c:pt idx="3">
                  <c:v>0.37037037037037035</c:v>
                </c:pt>
                <c:pt idx="4">
                  <c:v>0.32620320855614976</c:v>
                </c:pt>
                <c:pt idx="5">
                  <c:v>0.37623762376237624</c:v>
                </c:pt>
                <c:pt idx="6">
                  <c:v>0.39743589743589741</c:v>
                </c:pt>
                <c:pt idx="7">
                  <c:v>0.27516778523489932</c:v>
                </c:pt>
                <c:pt idx="8">
                  <c:v>0.33870967741935482</c:v>
                </c:pt>
                <c:pt idx="9">
                  <c:v>0.37948717948717947</c:v>
                </c:pt>
                <c:pt idx="10">
                  <c:v>0.35675675675675678</c:v>
                </c:pt>
                <c:pt idx="11">
                  <c:v>0.34065934065934067</c:v>
                </c:pt>
              </c:numCache>
            </c:numRef>
          </c:val>
          <c:extLst>
            <c:ext xmlns:c16="http://schemas.microsoft.com/office/drawing/2014/chart" uri="{C3380CC4-5D6E-409C-BE32-E72D297353CC}">
              <c16:uniqueId val="{00000001-1D5F-4BD5-99F0-3342C6040430}"/>
            </c:ext>
          </c:extLst>
        </c:ser>
        <c:ser>
          <c:idx val="2"/>
          <c:order val="2"/>
          <c:tx>
            <c:strRef>
              <c:f>Analyse!$M$974</c:f>
              <c:strCache>
                <c:ptCount val="1"/>
                <c:pt idx="0">
                  <c:v>soms</c:v>
                </c:pt>
              </c:strCache>
            </c:strRef>
          </c:tx>
          <c:spPr>
            <a:solidFill>
              <a:srgbClr val="C9C743"/>
            </a:solidFill>
            <a:ln>
              <a:noFill/>
            </a:ln>
            <a:effectLst/>
          </c:spPr>
          <c:invertIfNegative val="0"/>
          <c:dLbls>
            <c:dLbl>
              <c:idx val="0"/>
              <c:layout>
                <c:manualLayout>
                  <c:x val="-1.9129603060736577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D5F-4BD5-99F0-3342C6040430}"/>
                </c:ext>
              </c:extLst>
            </c:dLbl>
            <c:dLbl>
              <c:idx val="1"/>
              <c:layout>
                <c:manualLayout>
                  <c:x val="-1.9129603060736577E-2"/>
                  <c:y val="-1.2100071972641723E-16"/>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D5F-4BD5-99F0-3342C6040430}"/>
                </c:ext>
              </c:extLst>
            </c:dLbl>
            <c:dLbl>
              <c:idx val="2"/>
              <c:layout>
                <c:manualLayout>
                  <c:x val="-2.3912003825920611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D5F-4BD5-99F0-3342C6040430}"/>
                </c:ext>
              </c:extLst>
            </c:dLbl>
            <c:dLbl>
              <c:idx val="3"/>
              <c:layout>
                <c:manualLayout>
                  <c:x val="-2.3912003825920611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1D5F-4BD5-99F0-3342C6040430}"/>
                </c:ext>
              </c:extLst>
            </c:dLbl>
            <c:dLbl>
              <c:idx val="4"/>
              <c:layout>
                <c:manualLayout>
                  <c:x val="-1.9129603060736491E-2"/>
                  <c:y val="-1.2100071972641723E-16"/>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1D5F-4BD5-99F0-3342C6040430}"/>
                </c:ext>
              </c:extLst>
            </c:dLbl>
            <c:dLbl>
              <c:idx val="5"/>
              <c:layout>
                <c:manualLayout>
                  <c:x val="-1.434720229555228E-2"/>
                  <c:y val="-1.2100071972641723E-16"/>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1D5F-4BD5-99F0-3342C6040430}"/>
                </c:ext>
              </c:extLst>
            </c:dLbl>
            <c:dLbl>
              <c:idx val="6"/>
              <c:layout>
                <c:manualLayout>
                  <c:x val="-1.9129603060736491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1D5F-4BD5-99F0-3342C6040430}"/>
                </c:ext>
              </c:extLst>
            </c:dLbl>
            <c:dLbl>
              <c:idx val="7"/>
              <c:layout>
                <c:manualLayout>
                  <c:x val="-9.5648015303684206E-3"/>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1D5F-4BD5-99F0-3342C6040430}"/>
                </c:ext>
              </c:extLst>
            </c:dLbl>
            <c:dLbl>
              <c:idx val="8"/>
              <c:layout>
                <c:manualLayout>
                  <c:x val="-2.3912003825920701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1D5F-4BD5-99F0-3342C6040430}"/>
                </c:ext>
              </c:extLst>
            </c:dLbl>
            <c:dLbl>
              <c:idx val="9"/>
              <c:layout>
                <c:manualLayout>
                  <c:x val="-3.8259206121472981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1D5F-4BD5-99F0-3342C6040430}"/>
                </c:ext>
              </c:extLst>
            </c:dLbl>
            <c:dLbl>
              <c:idx val="10"/>
              <c:layout>
                <c:manualLayout>
                  <c:x val="-2.8694404591104734E-2"/>
                  <c:y val="-3.0250179931604308E-1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1D5F-4BD5-99F0-3342C6040430}"/>
                </c:ext>
              </c:extLst>
            </c:dLbl>
            <c:dLbl>
              <c:idx val="11"/>
              <c:layout>
                <c:manualLayout>
                  <c:x val="-2.8694404591104821E-2"/>
                  <c:y val="-3.0250179931604308E-1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1D5F-4BD5-99F0-3342C6040430}"/>
                </c:ext>
              </c:extLst>
            </c:dLbl>
            <c:spPr>
              <a:noFill/>
              <a:ln>
                <a:noFill/>
              </a:ln>
              <a:effectLst/>
            </c:spPr>
            <c:txPr>
              <a:bodyPr rot="0" spcFirstLastPara="1" vertOverflow="ellipsis" vert="horz" wrap="square" anchor="ctr" anchorCtr="1"/>
              <a:lstStyle/>
              <a:p>
                <a:pPr>
                  <a:defRPr sz="800" b="1" i="0" u="none" strike="noStrike" kern="1200" baseline="0">
                    <a:solidFill>
                      <a:schemeClr val="bg1"/>
                    </a:solidFill>
                    <a:latin typeface="+mn-lt"/>
                    <a:ea typeface="+mn-ea"/>
                    <a:cs typeface="+mn-cs"/>
                  </a:defRPr>
                </a:pPr>
                <a:endParaRPr lang="en-N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Analyse!$J$975:$J$986</c:f>
              <c:strCache>
                <c:ptCount val="12"/>
                <c:pt idx="0">
                  <c:v>G4 5cent</c:v>
                </c:pt>
                <c:pt idx="1">
                  <c:v>G4 10 cent</c:v>
                </c:pt>
                <c:pt idx="2">
                  <c:v>Noord 5 cent</c:v>
                </c:pt>
                <c:pt idx="3">
                  <c:v>Noord 10 cent</c:v>
                </c:pt>
                <c:pt idx="4">
                  <c:v>Noordwest 5cent</c:v>
                </c:pt>
                <c:pt idx="5">
                  <c:v>Noordwest 10 cent</c:v>
                </c:pt>
                <c:pt idx="6">
                  <c:v>Oost 5cent</c:v>
                </c:pt>
                <c:pt idx="7">
                  <c:v>Oost 10 cent</c:v>
                </c:pt>
                <c:pt idx="8">
                  <c:v>Zuid 5cent</c:v>
                </c:pt>
                <c:pt idx="9">
                  <c:v>Zuid 10 cent</c:v>
                </c:pt>
                <c:pt idx="10">
                  <c:v>Zuidwest 5cent</c:v>
                </c:pt>
                <c:pt idx="11">
                  <c:v>Zuidwest 10 cent</c:v>
                </c:pt>
              </c:strCache>
            </c:strRef>
          </c:cat>
          <c:val>
            <c:numRef>
              <c:f>Analyse!$M$975:$M$986</c:f>
              <c:numCache>
                <c:formatCode>0%</c:formatCode>
                <c:ptCount val="12"/>
                <c:pt idx="0">
                  <c:v>0.21212121212121213</c:v>
                </c:pt>
                <c:pt idx="1">
                  <c:v>0.18085106382978725</c:v>
                </c:pt>
                <c:pt idx="2">
                  <c:v>0.16250000000000001</c:v>
                </c:pt>
                <c:pt idx="3">
                  <c:v>0.19753086419753085</c:v>
                </c:pt>
                <c:pt idx="4">
                  <c:v>0.21925133689839571</c:v>
                </c:pt>
                <c:pt idx="5">
                  <c:v>0.19306930693069307</c:v>
                </c:pt>
                <c:pt idx="6">
                  <c:v>0.23076923076923078</c:v>
                </c:pt>
                <c:pt idx="7">
                  <c:v>0.22147651006711411</c:v>
                </c:pt>
                <c:pt idx="8">
                  <c:v>0.18279569892473119</c:v>
                </c:pt>
                <c:pt idx="9">
                  <c:v>0.20512820512820512</c:v>
                </c:pt>
                <c:pt idx="10">
                  <c:v>0.19459459459459461</c:v>
                </c:pt>
                <c:pt idx="11">
                  <c:v>0.17032967032967034</c:v>
                </c:pt>
              </c:numCache>
            </c:numRef>
          </c:val>
          <c:extLst>
            <c:ext xmlns:c16="http://schemas.microsoft.com/office/drawing/2014/chart" uri="{C3380CC4-5D6E-409C-BE32-E72D297353CC}">
              <c16:uniqueId val="{0000000E-1D5F-4BD5-99F0-3342C6040430}"/>
            </c:ext>
          </c:extLst>
        </c:ser>
        <c:ser>
          <c:idx val="3"/>
          <c:order val="3"/>
          <c:tx>
            <c:strRef>
              <c:f>Analyse!$N$974</c:f>
              <c:strCache>
                <c:ptCount val="1"/>
                <c:pt idx="0">
                  <c:v>zelden </c:v>
                </c:pt>
              </c:strCache>
            </c:strRef>
          </c:tx>
          <c:spPr>
            <a:solidFill>
              <a:srgbClr val="BAD6ED"/>
            </a:solidFill>
            <a:ln>
              <a:noFill/>
            </a:ln>
            <a:effectLst/>
          </c:spPr>
          <c:invertIfNegative val="0"/>
          <c:dLbls>
            <c:dLbl>
              <c:idx val="0"/>
              <c:layout>
                <c:manualLayout>
                  <c:x val="-9.5648015303683321E-3"/>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1D5F-4BD5-99F0-3342C6040430}"/>
                </c:ext>
              </c:extLst>
            </c:dLbl>
            <c:dLbl>
              <c:idx val="1"/>
              <c:layout>
                <c:manualLayout>
                  <c:x val="-9.5648015303682454E-3"/>
                  <c:y val="-1.2100071972641723E-16"/>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1D5F-4BD5-99F0-3342C6040430}"/>
                </c:ext>
              </c:extLst>
            </c:dLbl>
            <c:dLbl>
              <c:idx val="2"/>
              <c:layout>
                <c:manualLayout>
                  <c:x val="-1.9129603060736577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1D5F-4BD5-99F0-3342C6040430}"/>
                </c:ext>
              </c:extLst>
            </c:dLbl>
            <c:dLbl>
              <c:idx val="3"/>
              <c:layout>
                <c:manualLayout>
                  <c:x val="-1.9129603060736664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1D5F-4BD5-99F0-3342C6040430}"/>
                </c:ext>
              </c:extLst>
            </c:dLbl>
            <c:dLbl>
              <c:idx val="4"/>
              <c:layout>
                <c:manualLayout>
                  <c:x val="-1.9129603060736491E-2"/>
                  <c:y val="-1.2100071972641723E-16"/>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1D5F-4BD5-99F0-3342C6040430}"/>
                </c:ext>
              </c:extLst>
            </c:dLbl>
            <c:dLbl>
              <c:idx val="5"/>
              <c:layout>
                <c:manualLayout>
                  <c:x val="-9.5648015303682454E-3"/>
                  <c:y val="-1.2100071972641723E-16"/>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1D5F-4BD5-99F0-3342C6040430}"/>
                </c:ext>
              </c:extLst>
            </c:dLbl>
            <c:dLbl>
              <c:idx val="6"/>
              <c:layout>
                <c:manualLayout>
                  <c:x val="-1.4347202295552367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1D5F-4BD5-99F0-3342C6040430}"/>
                </c:ext>
              </c:extLst>
            </c:dLbl>
            <c:dLbl>
              <c:idx val="7"/>
              <c:layout>
                <c:manualLayout>
                  <c:x val="-9.5648015303684206E-3"/>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1D5F-4BD5-99F0-3342C6040430}"/>
                </c:ext>
              </c:extLst>
            </c:dLbl>
            <c:dLbl>
              <c:idx val="8"/>
              <c:layout>
                <c:manualLayout>
                  <c:x val="-1.4347202295552456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1D5F-4BD5-99F0-3342C6040430}"/>
                </c:ext>
              </c:extLst>
            </c:dLbl>
            <c:dLbl>
              <c:idx val="9"/>
              <c:layout>
                <c:manualLayout>
                  <c:x val="-2.3912003825920788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1D5F-4BD5-99F0-3342C6040430}"/>
                </c:ext>
              </c:extLst>
            </c:dLbl>
            <c:dLbl>
              <c:idx val="10"/>
              <c:layout>
                <c:manualLayout>
                  <c:x val="-2.3912003825920611E-2"/>
                  <c:y val="-3.0250179931604308E-1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1D5F-4BD5-99F0-3342C6040430}"/>
                </c:ext>
              </c:extLst>
            </c:dLbl>
            <c:dLbl>
              <c:idx val="11"/>
              <c:layout>
                <c:manualLayout>
                  <c:x val="-2.3912003825920701E-2"/>
                  <c:y val="-3.0250179931604308E-1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A-1D5F-4BD5-99F0-3342C6040430}"/>
                </c:ext>
              </c:extLst>
            </c:dLbl>
            <c:spPr>
              <a:noFill/>
              <a:ln>
                <a:noFill/>
              </a:ln>
              <a:effectLst/>
            </c:spPr>
            <c:txPr>
              <a:bodyPr rot="0" spcFirstLastPara="1" vertOverflow="ellipsis" vert="horz" wrap="square" anchor="ctr" anchorCtr="1"/>
              <a:lstStyle/>
              <a:p>
                <a:pPr>
                  <a:defRPr sz="800" b="1" i="0" u="none" strike="noStrike" kern="1200" baseline="0">
                    <a:solidFill>
                      <a:srgbClr val="2C307E"/>
                    </a:solidFill>
                    <a:latin typeface="+mn-lt"/>
                    <a:ea typeface="+mn-ea"/>
                    <a:cs typeface="+mn-cs"/>
                  </a:defRPr>
                </a:pPr>
                <a:endParaRPr lang="en-N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Analyse!$J$975:$J$986</c:f>
              <c:strCache>
                <c:ptCount val="12"/>
                <c:pt idx="0">
                  <c:v>G4 5cent</c:v>
                </c:pt>
                <c:pt idx="1">
                  <c:v>G4 10 cent</c:v>
                </c:pt>
                <c:pt idx="2">
                  <c:v>Noord 5 cent</c:v>
                </c:pt>
                <c:pt idx="3">
                  <c:v>Noord 10 cent</c:v>
                </c:pt>
                <c:pt idx="4">
                  <c:v>Noordwest 5cent</c:v>
                </c:pt>
                <c:pt idx="5">
                  <c:v>Noordwest 10 cent</c:v>
                </c:pt>
                <c:pt idx="6">
                  <c:v>Oost 5cent</c:v>
                </c:pt>
                <c:pt idx="7">
                  <c:v>Oost 10 cent</c:v>
                </c:pt>
                <c:pt idx="8">
                  <c:v>Zuid 5cent</c:v>
                </c:pt>
                <c:pt idx="9">
                  <c:v>Zuid 10 cent</c:v>
                </c:pt>
                <c:pt idx="10">
                  <c:v>Zuidwest 5cent</c:v>
                </c:pt>
                <c:pt idx="11">
                  <c:v>Zuidwest 10 cent</c:v>
                </c:pt>
              </c:strCache>
            </c:strRef>
          </c:cat>
          <c:val>
            <c:numRef>
              <c:f>Analyse!$N$975:$N$986</c:f>
              <c:numCache>
                <c:formatCode>0%</c:formatCode>
                <c:ptCount val="12"/>
                <c:pt idx="0">
                  <c:v>0.10101010101010101</c:v>
                </c:pt>
                <c:pt idx="1">
                  <c:v>6.3829787234042548E-2</c:v>
                </c:pt>
                <c:pt idx="2">
                  <c:v>8.7499999999999994E-2</c:v>
                </c:pt>
                <c:pt idx="3">
                  <c:v>4.9382716049382713E-2</c:v>
                </c:pt>
                <c:pt idx="4">
                  <c:v>5.8823529411764705E-2</c:v>
                </c:pt>
                <c:pt idx="5">
                  <c:v>7.4257425742574254E-2</c:v>
                </c:pt>
                <c:pt idx="6">
                  <c:v>4.4871794871794872E-2</c:v>
                </c:pt>
                <c:pt idx="7">
                  <c:v>7.3825503355704702E-2</c:v>
                </c:pt>
                <c:pt idx="8">
                  <c:v>7.5268817204301078E-2</c:v>
                </c:pt>
                <c:pt idx="9">
                  <c:v>4.1025641025641026E-2</c:v>
                </c:pt>
                <c:pt idx="10">
                  <c:v>7.0270270270270274E-2</c:v>
                </c:pt>
                <c:pt idx="11">
                  <c:v>6.5934065934065936E-2</c:v>
                </c:pt>
              </c:numCache>
            </c:numRef>
          </c:val>
          <c:extLst>
            <c:ext xmlns:c16="http://schemas.microsoft.com/office/drawing/2014/chart" uri="{C3380CC4-5D6E-409C-BE32-E72D297353CC}">
              <c16:uniqueId val="{0000001B-1D5F-4BD5-99F0-3342C6040430}"/>
            </c:ext>
          </c:extLst>
        </c:ser>
        <c:ser>
          <c:idx val="4"/>
          <c:order val="4"/>
          <c:tx>
            <c:strRef>
              <c:f>Analyse!$O$974</c:f>
              <c:strCache>
                <c:ptCount val="1"/>
                <c:pt idx="0">
                  <c:v>nooit</c:v>
                </c:pt>
              </c:strCache>
            </c:strRef>
          </c:tx>
          <c:spPr>
            <a:solidFill>
              <a:srgbClr val="4EAFAA"/>
            </a:solidFill>
            <a:ln>
              <a:noFill/>
            </a:ln>
            <a:effectLst/>
          </c:spPr>
          <c:invertIfNegative val="0"/>
          <c:dLbls>
            <c:spPr>
              <a:noFill/>
              <a:ln>
                <a:noFill/>
              </a:ln>
              <a:effectLst/>
            </c:spPr>
            <c:txPr>
              <a:bodyPr rot="0" spcFirstLastPara="1" vertOverflow="ellipsis" vert="horz" wrap="square" anchor="ctr" anchorCtr="1"/>
              <a:lstStyle/>
              <a:p>
                <a:pPr>
                  <a:defRPr sz="800" b="1" i="0" u="none" strike="noStrike" kern="1200" baseline="0">
                    <a:solidFill>
                      <a:schemeClr val="bg1"/>
                    </a:solidFill>
                    <a:latin typeface="+mn-lt"/>
                    <a:ea typeface="+mn-ea"/>
                    <a:cs typeface="+mn-cs"/>
                  </a:defRPr>
                </a:pPr>
                <a:endParaRPr lang="en-N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Analyse!$J$975:$J$986</c:f>
              <c:strCache>
                <c:ptCount val="12"/>
                <c:pt idx="0">
                  <c:v>G4 5cent</c:v>
                </c:pt>
                <c:pt idx="1">
                  <c:v>G4 10 cent</c:v>
                </c:pt>
                <c:pt idx="2">
                  <c:v>Noord 5 cent</c:v>
                </c:pt>
                <c:pt idx="3">
                  <c:v>Noord 10 cent</c:v>
                </c:pt>
                <c:pt idx="4">
                  <c:v>Noordwest 5cent</c:v>
                </c:pt>
                <c:pt idx="5">
                  <c:v>Noordwest 10 cent</c:v>
                </c:pt>
                <c:pt idx="6">
                  <c:v>Oost 5cent</c:v>
                </c:pt>
                <c:pt idx="7">
                  <c:v>Oost 10 cent</c:v>
                </c:pt>
                <c:pt idx="8">
                  <c:v>Zuid 5cent</c:v>
                </c:pt>
                <c:pt idx="9">
                  <c:v>Zuid 10 cent</c:v>
                </c:pt>
                <c:pt idx="10">
                  <c:v>Zuidwest 5cent</c:v>
                </c:pt>
                <c:pt idx="11">
                  <c:v>Zuidwest 10 cent</c:v>
                </c:pt>
              </c:strCache>
            </c:strRef>
          </c:cat>
          <c:val>
            <c:numRef>
              <c:f>Analyse!$O$975:$O$986</c:f>
              <c:numCache>
                <c:formatCode>0%</c:formatCode>
                <c:ptCount val="12"/>
                <c:pt idx="0">
                  <c:v>8.0808080808080815E-2</c:v>
                </c:pt>
                <c:pt idx="1">
                  <c:v>7.4468085106382975E-2</c:v>
                </c:pt>
                <c:pt idx="2">
                  <c:v>7.4999999999999997E-2</c:v>
                </c:pt>
                <c:pt idx="3">
                  <c:v>6.1728395061728392E-2</c:v>
                </c:pt>
                <c:pt idx="4">
                  <c:v>0.11229946524064172</c:v>
                </c:pt>
                <c:pt idx="5">
                  <c:v>8.9108910891089105E-2</c:v>
                </c:pt>
                <c:pt idx="6">
                  <c:v>8.3333333333333329E-2</c:v>
                </c:pt>
                <c:pt idx="7">
                  <c:v>7.3825503355704702E-2</c:v>
                </c:pt>
                <c:pt idx="8">
                  <c:v>9.1397849462365593E-2</c:v>
                </c:pt>
                <c:pt idx="9">
                  <c:v>9.2307692307692313E-2</c:v>
                </c:pt>
                <c:pt idx="10">
                  <c:v>0.10270270270270271</c:v>
                </c:pt>
                <c:pt idx="11">
                  <c:v>6.043956043956044E-2</c:v>
                </c:pt>
              </c:numCache>
            </c:numRef>
          </c:val>
          <c:extLst>
            <c:ext xmlns:c16="http://schemas.microsoft.com/office/drawing/2014/chart" uri="{C3380CC4-5D6E-409C-BE32-E72D297353CC}">
              <c16:uniqueId val="{0000001C-1D5F-4BD5-99F0-3342C6040430}"/>
            </c:ext>
          </c:extLst>
        </c:ser>
        <c:dLbls>
          <c:dLblPos val="ctr"/>
          <c:showLegendKey val="0"/>
          <c:showVal val="1"/>
          <c:showCatName val="0"/>
          <c:showSerName val="0"/>
          <c:showPercent val="0"/>
          <c:showBubbleSize val="0"/>
        </c:dLbls>
        <c:gapWidth val="150"/>
        <c:overlap val="100"/>
        <c:axId val="1040218544"/>
        <c:axId val="1040219024"/>
      </c:barChart>
      <c:catAx>
        <c:axId val="104021854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2C307E"/>
                </a:solidFill>
                <a:latin typeface="+mn-lt"/>
                <a:ea typeface="+mn-ea"/>
                <a:cs typeface="+mn-cs"/>
              </a:defRPr>
            </a:pPr>
            <a:endParaRPr lang="en-NL"/>
          </a:p>
        </c:txPr>
        <c:crossAx val="1040219024"/>
        <c:crosses val="autoZero"/>
        <c:auto val="1"/>
        <c:lblAlgn val="ctr"/>
        <c:lblOffset val="100"/>
        <c:noMultiLvlLbl val="0"/>
      </c:catAx>
      <c:valAx>
        <c:axId val="104021902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2C307E"/>
                </a:solidFill>
                <a:latin typeface="+mn-lt"/>
                <a:ea typeface="+mn-ea"/>
                <a:cs typeface="+mn-cs"/>
              </a:defRPr>
            </a:pPr>
            <a:endParaRPr lang="en-NL"/>
          </a:p>
        </c:txPr>
        <c:crossAx val="10402185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rgbClr val="2C307E"/>
              </a:solidFill>
              <a:latin typeface="+mn-lt"/>
              <a:ea typeface="+mn-ea"/>
              <a:cs typeface="+mn-cs"/>
            </a:defRPr>
          </a:pPr>
          <a:endParaRPr lang="en-NL"/>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a:solidFill>
            <a:srgbClr val="2C307E"/>
          </a:solidFill>
        </a:defRPr>
      </a:pPr>
      <a:endParaRPr lang="en-NL"/>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rgbClr val="2C307E"/>
                </a:solidFill>
                <a:latin typeface="+mn-lt"/>
                <a:ea typeface="+mn-ea"/>
                <a:cs typeface="+mn-cs"/>
              </a:defRPr>
            </a:pPr>
            <a:r>
              <a:rPr lang="nl-NL" sz="1100">
                <a:solidFill>
                  <a:srgbClr val="2C307E"/>
                </a:solidFill>
              </a:rPr>
              <a:t>Hoe is de parkeersituatie bij jouw woning? </a:t>
            </a:r>
          </a:p>
        </c:rich>
      </c:tx>
      <c:overlay val="0"/>
      <c:spPr>
        <a:noFill/>
        <a:ln>
          <a:noFill/>
        </a:ln>
        <a:effectLst/>
      </c:spPr>
    </c:title>
    <c:autoTitleDeleted val="0"/>
    <c:plotArea>
      <c:layout>
        <c:manualLayout>
          <c:layoutTarget val="inner"/>
          <c:xMode val="edge"/>
          <c:yMode val="edge"/>
          <c:x val="0.30150890392646401"/>
          <c:y val="0.19473447767295463"/>
          <c:w val="0.34785450957798136"/>
          <c:h val="0.29388435536467034"/>
        </c:manualLayout>
      </c:layout>
      <c:pieChart>
        <c:varyColors val="1"/>
        <c:ser>
          <c:idx val="0"/>
          <c:order val="0"/>
          <c:dPt>
            <c:idx val="0"/>
            <c:bubble3D val="0"/>
            <c:spPr>
              <a:solidFill>
                <a:srgbClr val="2C307E"/>
              </a:solidFill>
              <a:ln w="19050">
                <a:noFill/>
              </a:ln>
              <a:effectLst/>
            </c:spPr>
            <c:extLst>
              <c:ext xmlns:c16="http://schemas.microsoft.com/office/drawing/2014/chart" uri="{C3380CC4-5D6E-409C-BE32-E72D297353CC}">
                <c16:uniqueId val="{00000001-A9E6-4A86-83B1-BBFD0DDED88D}"/>
              </c:ext>
            </c:extLst>
          </c:dPt>
          <c:dPt>
            <c:idx val="1"/>
            <c:bubble3D val="0"/>
            <c:spPr>
              <a:solidFill>
                <a:srgbClr val="08B466"/>
              </a:solidFill>
              <a:ln w="19050">
                <a:noFill/>
              </a:ln>
              <a:effectLst/>
            </c:spPr>
            <c:extLst>
              <c:ext xmlns:c16="http://schemas.microsoft.com/office/drawing/2014/chart" uri="{C3380CC4-5D6E-409C-BE32-E72D297353CC}">
                <c16:uniqueId val="{00000003-A9E6-4A86-83B1-BBFD0DDED88D}"/>
              </c:ext>
            </c:extLst>
          </c:dPt>
          <c:dPt>
            <c:idx val="2"/>
            <c:bubble3D val="0"/>
            <c:spPr>
              <a:solidFill>
                <a:srgbClr val="C9C743"/>
              </a:solidFill>
              <a:ln w="19050">
                <a:noFill/>
              </a:ln>
              <a:effectLst/>
            </c:spPr>
            <c:extLst>
              <c:ext xmlns:c16="http://schemas.microsoft.com/office/drawing/2014/chart" uri="{C3380CC4-5D6E-409C-BE32-E72D297353CC}">
                <c16:uniqueId val="{00000005-A9E6-4A86-83B1-BBFD0DDED88D}"/>
              </c:ext>
            </c:extLst>
          </c:dPt>
          <c:dPt>
            <c:idx val="3"/>
            <c:bubble3D val="0"/>
            <c:spPr>
              <a:solidFill>
                <a:srgbClr val="BAD6ED"/>
              </a:solidFill>
              <a:ln w="19050">
                <a:noFill/>
              </a:ln>
              <a:effectLst/>
            </c:spPr>
            <c:extLst>
              <c:ext xmlns:c16="http://schemas.microsoft.com/office/drawing/2014/chart" uri="{C3380CC4-5D6E-409C-BE32-E72D297353CC}">
                <c16:uniqueId val="{00000007-A9E6-4A86-83B1-BBFD0DDED88D}"/>
              </c:ext>
            </c:extLst>
          </c:dPt>
          <c:dPt>
            <c:idx val="4"/>
            <c:bubble3D val="0"/>
            <c:spPr>
              <a:solidFill>
                <a:srgbClr val="4EAFAA"/>
              </a:solidFill>
              <a:ln w="19050">
                <a:solidFill>
                  <a:schemeClr val="lt1"/>
                </a:solidFill>
              </a:ln>
              <a:effectLst/>
            </c:spPr>
            <c:extLst>
              <c:ext xmlns:c16="http://schemas.microsoft.com/office/drawing/2014/chart" uri="{C3380CC4-5D6E-409C-BE32-E72D297353CC}">
                <c16:uniqueId val="{00000009-A9E6-4A86-83B1-BBFD0DDED88D}"/>
              </c:ext>
            </c:extLst>
          </c:dPt>
          <c:dPt>
            <c:idx val="5"/>
            <c:bubble3D val="0"/>
            <c:spPr>
              <a:solidFill>
                <a:srgbClr val="696969"/>
              </a:solidFill>
              <a:ln w="19050">
                <a:solidFill>
                  <a:schemeClr val="lt1"/>
                </a:solidFill>
              </a:ln>
              <a:effectLst/>
            </c:spPr>
            <c:extLst>
              <c:ext xmlns:c16="http://schemas.microsoft.com/office/drawing/2014/chart" uri="{C3380CC4-5D6E-409C-BE32-E72D297353CC}">
                <c16:uniqueId val="{0000000B-A9E6-4A86-83B1-BBFD0DDED88D}"/>
              </c:ext>
            </c:extLst>
          </c:dPt>
          <c:dPt>
            <c:idx val="6"/>
            <c:bubble3D val="0"/>
            <c:spPr>
              <a:solidFill>
                <a:srgbClr val="307BC2"/>
              </a:solidFill>
              <a:ln w="19050">
                <a:solidFill>
                  <a:schemeClr val="lt1"/>
                </a:solidFill>
              </a:ln>
              <a:effectLst/>
            </c:spPr>
            <c:extLst>
              <c:ext xmlns:c16="http://schemas.microsoft.com/office/drawing/2014/chart" uri="{C3380CC4-5D6E-409C-BE32-E72D297353CC}">
                <c16:uniqueId val="{0000000D-A9E6-4A86-83B1-BBFD0DDED88D}"/>
              </c:ext>
            </c:extLst>
          </c:dPt>
          <c:dLbls>
            <c:dLbl>
              <c:idx val="0"/>
              <c:spPr>
                <a:noFill/>
                <a:ln>
                  <a:noFill/>
                </a:ln>
                <a:effectLst/>
              </c:spPr>
              <c:txPr>
                <a:bodyPr wrap="square" lIns="38100" tIns="19050" rIns="38100" bIns="19050" anchor="ctr">
                  <a:spAutoFit/>
                </a:bodyPr>
                <a:lstStyle/>
                <a:p>
                  <a:pPr>
                    <a:defRPr sz="800" b="1">
                      <a:solidFill>
                        <a:schemeClr val="bg1"/>
                      </a:solidFill>
                    </a:defRPr>
                  </a:pPr>
                  <a:endParaRPr lang="nl-NL"/>
                </a:p>
              </c:txPr>
              <c:showLegendKey val="0"/>
              <c:showVal val="1"/>
              <c:showCatName val="0"/>
              <c:showSerName val="0"/>
              <c:showPercent val="0"/>
              <c:showBubbleSize val="0"/>
              <c:extLst>
                <c:ext xmlns:c16="http://schemas.microsoft.com/office/drawing/2014/chart" uri="{C3380CC4-5D6E-409C-BE32-E72D297353CC}">
                  <c16:uniqueId val="{00000001-A9E6-4A86-83B1-BBFD0DDED88D}"/>
                </c:ext>
              </c:extLst>
            </c:dLbl>
            <c:dLbl>
              <c:idx val="1"/>
              <c:layout>
                <c:manualLayout>
                  <c:x val="0.11829776658118596"/>
                  <c:y val="1.7908438385212857E-2"/>
                </c:manualLayout>
              </c:layout>
              <c:spPr>
                <a:noFill/>
                <a:ln>
                  <a:noFill/>
                </a:ln>
                <a:effectLst/>
              </c:spPr>
              <c:txPr>
                <a:bodyPr wrap="square" lIns="38100" tIns="19050" rIns="38100" bIns="19050" anchor="ctr">
                  <a:spAutoFit/>
                </a:bodyPr>
                <a:lstStyle/>
                <a:p>
                  <a:pPr>
                    <a:defRPr sz="800" b="1">
                      <a:solidFill>
                        <a:schemeClr val="bg1"/>
                      </a:solidFill>
                    </a:defRPr>
                  </a:pPr>
                  <a:endParaRPr lang="nl-NL"/>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9E6-4A86-83B1-BBFD0DDED88D}"/>
                </c:ext>
              </c:extLst>
            </c:dLbl>
            <c:dLbl>
              <c:idx val="2"/>
              <c:layout>
                <c:manualLayout>
                  <c:x val="3.2552145113855027E-2"/>
                  <c:y val="1.33458138866378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9E6-4A86-83B1-BBFD0DDED88D}"/>
                </c:ext>
              </c:extLst>
            </c:dLbl>
            <c:dLbl>
              <c:idx val="3"/>
              <c:layout>
                <c:manualLayout>
                  <c:x val="2.1206370007192429E-2"/>
                  <c:y val="3.023356257682979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A9E6-4A86-83B1-BBFD0DDED88D}"/>
                </c:ext>
              </c:extLst>
            </c:dLbl>
            <c:spPr>
              <a:noFill/>
              <a:ln>
                <a:noFill/>
              </a:ln>
              <a:effectLst/>
            </c:spPr>
            <c:txPr>
              <a:bodyPr wrap="square" lIns="38100" tIns="19050" rIns="38100" bIns="19050" anchor="ctr">
                <a:spAutoFit/>
              </a:bodyPr>
              <a:lstStyle/>
              <a:p>
                <a:pPr>
                  <a:defRPr sz="800" b="1">
                    <a:solidFill>
                      <a:srgbClr val="2C307E"/>
                    </a:solidFill>
                  </a:defRPr>
                </a:pPr>
                <a:endParaRPr lang="nl-NL"/>
              </a:p>
            </c:txPr>
            <c:showLegendKey val="0"/>
            <c:showVal val="1"/>
            <c:showCatName val="0"/>
            <c:showSerName val="0"/>
            <c:showPercent val="0"/>
            <c:showBubbleSize val="0"/>
            <c:showLeaderLines val="1"/>
            <c:extLst>
              <c:ext xmlns:c15="http://schemas.microsoft.com/office/drawing/2012/chart" uri="{CE6537A1-D6FC-4f65-9D91-7224C49458BB}"/>
            </c:extLst>
          </c:dLbls>
          <c:cat>
            <c:strRef>
              <c:f>'3.2 de elektrische auto'!$B$187:$B$190</c:f>
              <c:strCache>
                <c:ptCount val="4"/>
                <c:pt idx="0">
                  <c:v>Woning met voldoende eigen grond om op eigen terrein te parkeren</c:v>
                </c:pt>
                <c:pt idx="1">
                  <c:v>Woning met onvoldoende eigen grond, parkeren in openbare ruimte</c:v>
                </c:pt>
                <c:pt idx="2">
                  <c:v>Woning met gezamenlijke parkeergelegenheid/parkeergarage (bijv. via VVE of soortgelijke constructie)</c:v>
                </c:pt>
                <c:pt idx="3">
                  <c:v>Anders namelijk</c:v>
                </c:pt>
              </c:strCache>
            </c:strRef>
          </c:cat>
          <c:val>
            <c:numRef>
              <c:f>'3.2 de elektrische auto'!$E$187:$E$190</c:f>
              <c:numCache>
                <c:formatCode>0%</c:formatCode>
                <c:ptCount val="4"/>
                <c:pt idx="0">
                  <c:v>0.66775866775866777</c:v>
                </c:pt>
                <c:pt idx="1">
                  <c:v>0.23587223587223588</c:v>
                </c:pt>
                <c:pt idx="2">
                  <c:v>7.2072072072072071E-2</c:v>
                </c:pt>
                <c:pt idx="3">
                  <c:v>2.4297024297024298E-2</c:v>
                </c:pt>
              </c:numCache>
            </c:numRef>
          </c:val>
          <c:extLst>
            <c:ext xmlns:c16="http://schemas.microsoft.com/office/drawing/2014/chart" uri="{C3380CC4-5D6E-409C-BE32-E72D297353CC}">
              <c16:uniqueId val="{0000000E-A9E6-4A86-83B1-BBFD0DDED88D}"/>
            </c:ext>
          </c:extLst>
        </c:ser>
        <c:dLbls>
          <c:showLegendKey val="0"/>
          <c:showVal val="0"/>
          <c:showCatName val="0"/>
          <c:showSerName val="0"/>
          <c:showPercent val="0"/>
          <c:showBubbleSize val="0"/>
          <c:showLeaderLines val="1"/>
        </c:dLbls>
        <c:firstSliceAng val="0"/>
      </c:pieChart>
      <c:spPr>
        <a:noFill/>
      </c:spPr>
    </c:plotArea>
    <c:legend>
      <c:legendPos val="b"/>
      <c:layout>
        <c:manualLayout>
          <c:xMode val="edge"/>
          <c:yMode val="edge"/>
          <c:x val="7.3001276562093976E-3"/>
          <c:y val="0.52614873140857388"/>
          <c:w val="0.98539974468758118"/>
          <c:h val="0.47385126859142607"/>
        </c:manualLayout>
      </c:layout>
      <c:overlay val="0"/>
      <c:spPr>
        <a:noFill/>
        <a:ln>
          <a:noFill/>
        </a:ln>
        <a:effectLst/>
      </c:spPr>
      <c:txPr>
        <a:bodyPr rot="0" spcFirstLastPara="1" vertOverflow="ellipsis" vert="horz" wrap="square" anchor="ctr" anchorCtr="1"/>
        <a:lstStyle/>
        <a:p>
          <a:pPr>
            <a:defRPr sz="900" b="0" i="0" u="none" strike="noStrike" kern="1200" baseline="0">
              <a:solidFill>
                <a:srgbClr val="2C307E"/>
              </a:solidFill>
              <a:latin typeface="+mn-lt"/>
              <a:ea typeface="+mn-ea"/>
              <a:cs typeface="+mn-cs"/>
            </a:defRPr>
          </a:pPr>
          <a:endParaRPr lang="nl-NL"/>
        </a:p>
      </c:txPr>
    </c:legend>
    <c:plotVisOnly val="1"/>
    <c:dispBlanksAs val="gap"/>
    <c:showDLblsOverMax val="0"/>
    <c:extLst/>
  </c:chart>
  <c:spPr>
    <a:noFill/>
    <a:ln>
      <a:noFill/>
    </a:ln>
  </c:spPr>
  <c:txPr>
    <a:bodyPr/>
    <a:lstStyle/>
    <a:p>
      <a:pPr>
        <a:defRPr/>
      </a:pPr>
      <a:endParaRPr lang="nl-NL"/>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marL="0" marR="0" lvl="0" indent="0" algn="ctr" defTabSz="914400" rtl="0" eaLnBrk="1" fontAlgn="auto" latinLnBrk="0" hangingPunct="1">
              <a:lnSpc>
                <a:spcPct val="100000"/>
              </a:lnSpc>
              <a:spcBef>
                <a:spcPts val="0"/>
              </a:spcBef>
              <a:spcAft>
                <a:spcPts val="0"/>
              </a:spcAft>
              <a:buClrTx/>
              <a:buSzTx/>
              <a:buFontTx/>
              <a:buNone/>
              <a:tabLst/>
              <a:defRPr lang="nl-NL" sz="1100" b="0" i="0" u="none" strike="noStrike" kern="1200" spc="0" baseline="0">
                <a:solidFill>
                  <a:srgbClr val="2C307E"/>
                </a:solidFill>
                <a:latin typeface="+mn-lt"/>
                <a:ea typeface="+mn-ea"/>
                <a:cs typeface="+mn-cs"/>
              </a:defRPr>
            </a:pPr>
            <a:r>
              <a:rPr lang="nl-NL" sz="1100" b="0" i="0" u="none" strike="noStrike" kern="1200" spc="0" baseline="0">
                <a:solidFill>
                  <a:srgbClr val="2C307E"/>
                </a:solidFill>
                <a:latin typeface="+mn-lt"/>
                <a:ea typeface="+mn-ea"/>
                <a:cs typeface="+mn-cs"/>
              </a:rPr>
              <a:t>Hoe vaak per maand komt het voor dat je moet bijladen, omdat je actieradius onvoldoende is voor de totale afstand die je op een dag aflegt?</a:t>
            </a:r>
          </a:p>
          <a:p>
            <a:pPr marL="0" marR="0" lvl="0" indent="0" algn="ctr" defTabSz="914400" rtl="0" eaLnBrk="1" fontAlgn="auto" latinLnBrk="0" hangingPunct="1">
              <a:lnSpc>
                <a:spcPct val="100000"/>
              </a:lnSpc>
              <a:spcBef>
                <a:spcPts val="0"/>
              </a:spcBef>
              <a:spcAft>
                <a:spcPts val="0"/>
              </a:spcAft>
              <a:buClrTx/>
              <a:buSzTx/>
              <a:buFontTx/>
              <a:buNone/>
              <a:tabLst/>
              <a:defRPr lang="nl-NL" sz="1100" b="0" i="0" u="none" strike="noStrike" kern="1200" spc="0" baseline="0">
                <a:solidFill>
                  <a:srgbClr val="2C307E"/>
                </a:solidFill>
                <a:latin typeface="+mn-lt"/>
                <a:ea typeface="+mn-ea"/>
                <a:cs typeface="+mn-cs"/>
              </a:defRPr>
            </a:pPr>
            <a:endParaRPr lang="nl-NL" sz="1100" b="0" i="0" u="none" strike="noStrike" kern="1200" spc="0" baseline="0">
              <a:solidFill>
                <a:srgbClr val="2C307E"/>
              </a:solidFill>
              <a:latin typeface="+mn-lt"/>
              <a:ea typeface="+mn-ea"/>
              <a:cs typeface="+mn-cs"/>
            </a:endParaRPr>
          </a:p>
        </c:rich>
      </c:tx>
      <c:overlay val="0"/>
    </c:title>
    <c:autoTitleDeleted val="0"/>
    <c:plotArea>
      <c:layout>
        <c:manualLayout>
          <c:layoutTarget val="inner"/>
          <c:xMode val="edge"/>
          <c:yMode val="edge"/>
          <c:x val="8.2746159320758475E-2"/>
          <c:y val="5.3252405949256343E-2"/>
          <c:w val="0.89192281016686381"/>
          <c:h val="0.7732537589280557"/>
        </c:manualLayout>
      </c:layout>
      <c:barChart>
        <c:barDir val="col"/>
        <c:grouping val="clustered"/>
        <c:varyColors val="0"/>
        <c:ser>
          <c:idx val="0"/>
          <c:order val="0"/>
          <c:tx>
            <c:strRef>
              <c:f>'3.2 de elektrische auto'!$H$106</c:f>
              <c:strCache>
                <c:ptCount val="1"/>
                <c:pt idx="0">
                  <c:v>2021</c:v>
                </c:pt>
              </c:strCache>
            </c:strRef>
          </c:tx>
          <c:spPr>
            <a:solidFill>
              <a:srgbClr val="2C307E"/>
            </a:solidFill>
            <a:ln>
              <a:noFill/>
            </a:ln>
            <a:effectLst/>
          </c:spPr>
          <c:invertIfNegative val="0"/>
          <c:cat>
            <c:strRef>
              <c:f>'3.2 de elektrische auto'!$G$107:$G$116</c:f>
              <c:strCache>
                <c:ptCount val="10"/>
                <c:pt idx="0">
                  <c:v>0</c:v>
                </c:pt>
                <c:pt idx="1">
                  <c:v>1</c:v>
                </c:pt>
                <c:pt idx="2">
                  <c:v>2</c:v>
                </c:pt>
                <c:pt idx="3">
                  <c:v>3</c:v>
                </c:pt>
                <c:pt idx="4">
                  <c:v>4</c:v>
                </c:pt>
                <c:pt idx="5">
                  <c:v>5</c:v>
                </c:pt>
                <c:pt idx="6">
                  <c:v>6</c:v>
                </c:pt>
                <c:pt idx="7">
                  <c:v>7</c:v>
                </c:pt>
                <c:pt idx="8">
                  <c:v>8</c:v>
                </c:pt>
                <c:pt idx="9">
                  <c:v> 9 of meer </c:v>
                </c:pt>
              </c:strCache>
            </c:strRef>
          </c:cat>
          <c:val>
            <c:numRef>
              <c:f>'3.2 de elektrische auto'!$H$107:$H$116</c:f>
              <c:numCache>
                <c:formatCode>0%</c:formatCode>
                <c:ptCount val="10"/>
                <c:pt idx="0">
                  <c:v>0.4</c:v>
                </c:pt>
                <c:pt idx="1">
                  <c:v>0.32</c:v>
                </c:pt>
                <c:pt idx="2">
                  <c:v>0.13</c:v>
                </c:pt>
                <c:pt idx="3">
                  <c:v>0.03</c:v>
                </c:pt>
                <c:pt idx="4">
                  <c:v>0.05</c:v>
                </c:pt>
                <c:pt idx="5">
                  <c:v>0.03</c:v>
                </c:pt>
                <c:pt idx="6">
                  <c:v>0.01</c:v>
                </c:pt>
                <c:pt idx="7">
                  <c:v>0</c:v>
                </c:pt>
                <c:pt idx="8">
                  <c:v>0.01</c:v>
                </c:pt>
                <c:pt idx="9">
                  <c:v>0.02</c:v>
                </c:pt>
              </c:numCache>
            </c:numRef>
          </c:val>
          <c:extLst>
            <c:ext xmlns:c16="http://schemas.microsoft.com/office/drawing/2014/chart" uri="{C3380CC4-5D6E-409C-BE32-E72D297353CC}">
              <c16:uniqueId val="{00000000-CBB4-4D0C-BEC2-F953BB16F5E4}"/>
            </c:ext>
          </c:extLst>
        </c:ser>
        <c:ser>
          <c:idx val="1"/>
          <c:order val="1"/>
          <c:tx>
            <c:strRef>
              <c:f>'3.2 de elektrische auto'!$I$106</c:f>
              <c:strCache>
                <c:ptCount val="1"/>
                <c:pt idx="0">
                  <c:v>2022</c:v>
                </c:pt>
              </c:strCache>
            </c:strRef>
          </c:tx>
          <c:spPr>
            <a:solidFill>
              <a:srgbClr val="08B466"/>
            </a:solidFill>
          </c:spPr>
          <c:invertIfNegative val="0"/>
          <c:cat>
            <c:strRef>
              <c:f>'3.2 de elektrische auto'!$G$107:$G$116</c:f>
              <c:strCache>
                <c:ptCount val="10"/>
                <c:pt idx="0">
                  <c:v>0</c:v>
                </c:pt>
                <c:pt idx="1">
                  <c:v>1</c:v>
                </c:pt>
                <c:pt idx="2">
                  <c:v>2</c:v>
                </c:pt>
                <c:pt idx="3">
                  <c:v>3</c:v>
                </c:pt>
                <c:pt idx="4">
                  <c:v>4</c:v>
                </c:pt>
                <c:pt idx="5">
                  <c:v>5</c:v>
                </c:pt>
                <c:pt idx="6">
                  <c:v>6</c:v>
                </c:pt>
                <c:pt idx="7">
                  <c:v>7</c:v>
                </c:pt>
                <c:pt idx="8">
                  <c:v>8</c:v>
                </c:pt>
                <c:pt idx="9">
                  <c:v> 9 of meer </c:v>
                </c:pt>
              </c:strCache>
            </c:strRef>
          </c:cat>
          <c:val>
            <c:numRef>
              <c:f>'3.2 de elektrische auto'!$I$107:$I$116</c:f>
              <c:numCache>
                <c:formatCode>0%</c:formatCode>
                <c:ptCount val="10"/>
                <c:pt idx="0">
                  <c:v>0.3</c:v>
                </c:pt>
                <c:pt idx="1">
                  <c:v>0.24</c:v>
                </c:pt>
                <c:pt idx="2">
                  <c:v>0.14000000000000001</c:v>
                </c:pt>
                <c:pt idx="3">
                  <c:v>0.05</c:v>
                </c:pt>
                <c:pt idx="4">
                  <c:v>0.06</c:v>
                </c:pt>
                <c:pt idx="5">
                  <c:v>0.05</c:v>
                </c:pt>
                <c:pt idx="6">
                  <c:v>0.02</c:v>
                </c:pt>
                <c:pt idx="7">
                  <c:v>0.01</c:v>
                </c:pt>
                <c:pt idx="8">
                  <c:v>0.03</c:v>
                </c:pt>
                <c:pt idx="9">
                  <c:v>0.1</c:v>
                </c:pt>
              </c:numCache>
            </c:numRef>
          </c:val>
          <c:extLst>
            <c:ext xmlns:c16="http://schemas.microsoft.com/office/drawing/2014/chart" uri="{C3380CC4-5D6E-409C-BE32-E72D297353CC}">
              <c16:uniqueId val="{00000001-CBB4-4D0C-BEC2-F953BB16F5E4}"/>
            </c:ext>
          </c:extLst>
        </c:ser>
        <c:ser>
          <c:idx val="2"/>
          <c:order val="2"/>
          <c:tx>
            <c:strRef>
              <c:f>'3.2 de elektrische auto'!$J$106</c:f>
              <c:strCache>
                <c:ptCount val="1"/>
                <c:pt idx="0">
                  <c:v>2023</c:v>
                </c:pt>
              </c:strCache>
            </c:strRef>
          </c:tx>
          <c:spPr>
            <a:solidFill>
              <a:srgbClr val="C9C743"/>
            </a:solidFill>
          </c:spPr>
          <c:invertIfNegative val="0"/>
          <c:cat>
            <c:strRef>
              <c:f>'3.2 de elektrische auto'!$G$107:$G$116</c:f>
              <c:strCache>
                <c:ptCount val="10"/>
                <c:pt idx="0">
                  <c:v>0</c:v>
                </c:pt>
                <c:pt idx="1">
                  <c:v>1</c:v>
                </c:pt>
                <c:pt idx="2">
                  <c:v>2</c:v>
                </c:pt>
                <c:pt idx="3">
                  <c:v>3</c:v>
                </c:pt>
                <c:pt idx="4">
                  <c:v>4</c:v>
                </c:pt>
                <c:pt idx="5">
                  <c:v>5</c:v>
                </c:pt>
                <c:pt idx="6">
                  <c:v>6</c:v>
                </c:pt>
                <c:pt idx="7">
                  <c:v>7</c:v>
                </c:pt>
                <c:pt idx="8">
                  <c:v>8</c:v>
                </c:pt>
                <c:pt idx="9">
                  <c:v> 9 of meer </c:v>
                </c:pt>
              </c:strCache>
            </c:strRef>
          </c:cat>
          <c:val>
            <c:numRef>
              <c:f>'3.2 de elektrische auto'!$J$107:$J$116</c:f>
              <c:numCache>
                <c:formatCode>0%</c:formatCode>
                <c:ptCount val="10"/>
                <c:pt idx="0">
                  <c:v>0.37</c:v>
                </c:pt>
                <c:pt idx="1">
                  <c:v>0.26</c:v>
                </c:pt>
                <c:pt idx="2">
                  <c:v>0.14000000000000001</c:v>
                </c:pt>
                <c:pt idx="3">
                  <c:v>0.06</c:v>
                </c:pt>
                <c:pt idx="4">
                  <c:v>0.05</c:v>
                </c:pt>
                <c:pt idx="5">
                  <c:v>0.03</c:v>
                </c:pt>
                <c:pt idx="6">
                  <c:v>0.02</c:v>
                </c:pt>
                <c:pt idx="7">
                  <c:v>0</c:v>
                </c:pt>
                <c:pt idx="8">
                  <c:v>0.02</c:v>
                </c:pt>
                <c:pt idx="9">
                  <c:v>0.05</c:v>
                </c:pt>
              </c:numCache>
            </c:numRef>
          </c:val>
          <c:extLst>
            <c:ext xmlns:c16="http://schemas.microsoft.com/office/drawing/2014/chart" uri="{C3380CC4-5D6E-409C-BE32-E72D297353CC}">
              <c16:uniqueId val="{00000002-CBB4-4D0C-BEC2-F953BB16F5E4}"/>
            </c:ext>
          </c:extLst>
        </c:ser>
        <c:ser>
          <c:idx val="3"/>
          <c:order val="3"/>
          <c:tx>
            <c:strRef>
              <c:f>'3.2 de elektrische auto'!$K$106</c:f>
              <c:strCache>
                <c:ptCount val="1"/>
                <c:pt idx="0">
                  <c:v>2024</c:v>
                </c:pt>
              </c:strCache>
            </c:strRef>
          </c:tx>
          <c:spPr>
            <a:solidFill>
              <a:srgbClr val="BAD6ED"/>
            </a:solidFill>
          </c:spPr>
          <c:invertIfNegative val="0"/>
          <c:cat>
            <c:strRef>
              <c:f>'3.2 de elektrische auto'!$G$107:$G$116</c:f>
              <c:strCache>
                <c:ptCount val="10"/>
                <c:pt idx="0">
                  <c:v>0</c:v>
                </c:pt>
                <c:pt idx="1">
                  <c:v>1</c:v>
                </c:pt>
                <c:pt idx="2">
                  <c:v>2</c:v>
                </c:pt>
                <c:pt idx="3">
                  <c:v>3</c:v>
                </c:pt>
                <c:pt idx="4">
                  <c:v>4</c:v>
                </c:pt>
                <c:pt idx="5">
                  <c:v>5</c:v>
                </c:pt>
                <c:pt idx="6">
                  <c:v>6</c:v>
                </c:pt>
                <c:pt idx="7">
                  <c:v>7</c:v>
                </c:pt>
                <c:pt idx="8">
                  <c:v>8</c:v>
                </c:pt>
                <c:pt idx="9">
                  <c:v> 9 of meer </c:v>
                </c:pt>
              </c:strCache>
            </c:strRef>
          </c:cat>
          <c:val>
            <c:numRef>
              <c:f>'3.2 de elektrische auto'!$K$107:$K$116</c:f>
              <c:numCache>
                <c:formatCode>0%</c:formatCode>
                <c:ptCount val="10"/>
                <c:pt idx="0">
                  <c:v>0.4496413199426112</c:v>
                </c:pt>
                <c:pt idx="1">
                  <c:v>0.25968436154949787</c:v>
                </c:pt>
                <c:pt idx="2">
                  <c:v>0.12137733142037303</c:v>
                </c:pt>
                <c:pt idx="3">
                  <c:v>3.3859397417503587E-2</c:v>
                </c:pt>
                <c:pt idx="4">
                  <c:v>4.5337159253945478E-2</c:v>
                </c:pt>
                <c:pt idx="5">
                  <c:v>2.5251076040172165E-2</c:v>
                </c:pt>
                <c:pt idx="6">
                  <c:v>1.2912482065997131E-2</c:v>
                </c:pt>
                <c:pt idx="7">
                  <c:v>2.5824964131994262E-3</c:v>
                </c:pt>
                <c:pt idx="8">
                  <c:v>9.1822094691535149E-3</c:v>
                </c:pt>
                <c:pt idx="9">
                  <c:v>4.0172166427546625E-2</c:v>
                </c:pt>
              </c:numCache>
            </c:numRef>
          </c:val>
          <c:extLst>
            <c:ext xmlns:c16="http://schemas.microsoft.com/office/drawing/2014/chart" uri="{C3380CC4-5D6E-409C-BE32-E72D297353CC}">
              <c16:uniqueId val="{00000003-CBB4-4D0C-BEC2-F953BB16F5E4}"/>
            </c:ext>
          </c:extLst>
        </c:ser>
        <c:ser>
          <c:idx val="4"/>
          <c:order val="4"/>
          <c:tx>
            <c:strRef>
              <c:f>'3.2 de elektrische auto'!$L$106</c:f>
              <c:strCache>
                <c:ptCount val="1"/>
                <c:pt idx="0">
                  <c:v>2025</c:v>
                </c:pt>
              </c:strCache>
            </c:strRef>
          </c:tx>
          <c:spPr>
            <a:solidFill>
              <a:srgbClr val="4EAFAA"/>
            </a:solidFill>
          </c:spPr>
          <c:invertIfNegative val="0"/>
          <c:dLbls>
            <c:spPr>
              <a:noFill/>
              <a:ln>
                <a:noFill/>
              </a:ln>
              <a:effectLst/>
            </c:spPr>
            <c:txPr>
              <a:bodyPr wrap="square" lIns="38100" tIns="19050" rIns="38100" bIns="19050" anchor="ctr" anchorCtr="0">
                <a:spAutoFit/>
              </a:bodyPr>
              <a:lstStyle/>
              <a:p>
                <a:pPr algn="ctr">
                  <a:defRPr lang="en-US" sz="800" b="1" i="0" u="none" strike="noStrike" kern="1200" baseline="0">
                    <a:solidFill>
                      <a:srgbClr val="4EAFAA"/>
                    </a:solidFill>
                    <a:latin typeface="+mn-lt"/>
                    <a:ea typeface="+mn-ea"/>
                    <a:cs typeface="+mn-cs"/>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'3.2 de elektrische auto'!$G$107:$G$116</c:f>
              <c:strCache>
                <c:ptCount val="10"/>
                <c:pt idx="0">
                  <c:v>0</c:v>
                </c:pt>
                <c:pt idx="1">
                  <c:v>1</c:v>
                </c:pt>
                <c:pt idx="2">
                  <c:v>2</c:v>
                </c:pt>
                <c:pt idx="3">
                  <c:v>3</c:v>
                </c:pt>
                <c:pt idx="4">
                  <c:v>4</c:v>
                </c:pt>
                <c:pt idx="5">
                  <c:v>5</c:v>
                </c:pt>
                <c:pt idx="6">
                  <c:v>6</c:v>
                </c:pt>
                <c:pt idx="7">
                  <c:v>7</c:v>
                </c:pt>
                <c:pt idx="8">
                  <c:v>8</c:v>
                </c:pt>
                <c:pt idx="9">
                  <c:v> 9 of meer </c:v>
                </c:pt>
              </c:strCache>
            </c:strRef>
          </c:cat>
          <c:val>
            <c:numRef>
              <c:f>'3.2 de elektrische auto'!$L$107:$L$116</c:f>
              <c:numCache>
                <c:formatCode>0%</c:formatCode>
                <c:ptCount val="10"/>
                <c:pt idx="0">
                  <c:v>0.47994891443167303</c:v>
                </c:pt>
                <c:pt idx="1">
                  <c:v>0.26462324393358877</c:v>
                </c:pt>
                <c:pt idx="2">
                  <c:v>0.10983397190293742</c:v>
                </c:pt>
                <c:pt idx="3">
                  <c:v>3.2439335887611748E-2</c:v>
                </c:pt>
                <c:pt idx="4">
                  <c:v>3.5759897828863345E-2</c:v>
                </c:pt>
                <c:pt idx="5">
                  <c:v>2.4265644955300127E-2</c:v>
                </c:pt>
                <c:pt idx="6">
                  <c:v>1.0727969348659003E-2</c:v>
                </c:pt>
                <c:pt idx="7">
                  <c:v>1.277139208173691E-3</c:v>
                </c:pt>
                <c:pt idx="8">
                  <c:v>8.9399744572158362E-3</c:v>
                </c:pt>
                <c:pt idx="9">
                  <c:v>3.2183908045977011E-2</c:v>
                </c:pt>
              </c:numCache>
            </c:numRef>
          </c:val>
          <c:extLst>
            <c:ext xmlns:c16="http://schemas.microsoft.com/office/drawing/2014/chart" uri="{C3380CC4-5D6E-409C-BE32-E72D297353CC}">
              <c16:uniqueId val="{00000004-CBB4-4D0C-BEC2-F953BB16F5E4}"/>
            </c:ext>
          </c:extLst>
        </c:ser>
        <c:dLbls>
          <c:showLegendKey val="0"/>
          <c:showVal val="0"/>
          <c:showCatName val="0"/>
          <c:showSerName val="0"/>
          <c:showPercent val="0"/>
          <c:showBubbleSize val="0"/>
        </c:dLbls>
        <c:gapWidth val="219"/>
        <c:overlap val="-27"/>
        <c:axId val="488549280"/>
        <c:axId val="488558136"/>
      </c:barChart>
      <c:catAx>
        <c:axId val="4885492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sz="900" b="0" i="0" u="none" strike="noStrike" kern="1200" baseline="0">
                <a:solidFill>
                  <a:srgbClr val="2C307E"/>
                </a:solidFill>
                <a:latin typeface="+mn-lt"/>
                <a:ea typeface="+mn-ea"/>
                <a:cs typeface="+mn-cs"/>
              </a:defRPr>
            </a:pPr>
            <a:endParaRPr lang="nl-NL"/>
          </a:p>
        </c:txPr>
        <c:crossAx val="488558136"/>
        <c:crosses val="autoZero"/>
        <c:auto val="1"/>
        <c:lblAlgn val="ctr"/>
        <c:lblOffset val="100"/>
        <c:noMultiLvlLbl val="0"/>
      </c:catAx>
      <c:valAx>
        <c:axId val="488558136"/>
        <c:scaling>
          <c:orientation val="minMax"/>
        </c:scaling>
        <c:delete val="0"/>
        <c:axPos val="l"/>
        <c:majorGridlines>
          <c:spPr>
            <a:ln>
              <a:solidFill>
                <a:srgbClr val="D9D9D9"/>
              </a:solidFill>
            </a:ln>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2C307E"/>
                </a:solidFill>
                <a:latin typeface="+mn-lt"/>
                <a:ea typeface="+mn-ea"/>
                <a:cs typeface="+mn-cs"/>
              </a:defRPr>
            </a:pPr>
            <a:endParaRPr lang="nl-NL"/>
          </a:p>
        </c:txPr>
        <c:crossAx val="488549280"/>
        <c:crosses val="autoZero"/>
        <c:crossBetween val="between"/>
      </c:valAx>
      <c:spPr>
        <a:noFill/>
        <a:ln>
          <a:noFill/>
        </a:ln>
      </c:spPr>
    </c:plotArea>
    <c:legend>
      <c:legendPos val="b"/>
      <c:overlay val="0"/>
      <c:txPr>
        <a:bodyPr/>
        <a:lstStyle/>
        <a:p>
          <a:pPr>
            <a:defRPr sz="900">
              <a:solidFill>
                <a:srgbClr val="2C307E"/>
              </a:solidFill>
            </a:defRPr>
          </a:pPr>
          <a:endParaRPr lang="nl-NL"/>
        </a:p>
      </c:txPr>
    </c:legend>
    <c:plotVisOnly val="1"/>
    <c:dispBlanksAs val="gap"/>
    <c:showDLblsOverMax val="0"/>
    <c:extLst/>
  </c:chart>
  <c:spPr>
    <a:noFill/>
    <a:ln w="9525" cap="flat" cmpd="sng" algn="ctr">
      <a:noFill/>
      <a:round/>
    </a:ln>
    <a:effectLst/>
  </c:spPr>
  <c:txPr>
    <a:bodyPr/>
    <a:lstStyle/>
    <a:p>
      <a:pPr>
        <a:defRPr/>
      </a:pPr>
      <a:endParaRPr lang="nl-NL"/>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rgbClr val="2C307E"/>
                </a:solidFill>
                <a:latin typeface="+mn-lt"/>
                <a:ea typeface="+mn-ea"/>
                <a:cs typeface="+mn-cs"/>
              </a:defRPr>
            </a:pPr>
            <a:r>
              <a:rPr lang="nl-NL" sz="1100">
                <a:solidFill>
                  <a:srgbClr val="2C307E"/>
                </a:solidFill>
              </a:rPr>
              <a:t>Als je op de dag moet bijladen, waar laad je dan meestal bij?</a:t>
            </a:r>
          </a:p>
        </c:rich>
      </c:tx>
      <c:overlay val="0"/>
      <c:spPr>
        <a:noFill/>
        <a:ln>
          <a:noFill/>
        </a:ln>
        <a:effectLst/>
      </c:spPr>
      <c:txPr>
        <a:bodyPr rot="0" spcFirstLastPara="1" vertOverflow="ellipsis" vert="horz" wrap="square" anchor="ctr" anchorCtr="1"/>
        <a:lstStyle/>
        <a:p>
          <a:pPr>
            <a:defRPr sz="1100" b="0" i="0" u="none" strike="noStrike" kern="1200" spc="0" baseline="0">
              <a:solidFill>
                <a:srgbClr val="2C307E"/>
              </a:solidFill>
              <a:latin typeface="+mn-lt"/>
              <a:ea typeface="+mn-ea"/>
              <a:cs typeface="+mn-cs"/>
            </a:defRPr>
          </a:pPr>
          <a:endParaRPr lang="nl-NL"/>
        </a:p>
      </c:txPr>
    </c:title>
    <c:autoTitleDeleted val="0"/>
    <c:plotArea>
      <c:layout>
        <c:manualLayout>
          <c:layoutTarget val="inner"/>
          <c:xMode val="edge"/>
          <c:yMode val="edge"/>
          <c:x val="0.21254758865328346"/>
          <c:y val="0.19544261512765448"/>
          <c:w val="0.5796876000256066"/>
          <c:h val="0.43213075638272491"/>
        </c:manualLayout>
      </c:layout>
      <c:pieChart>
        <c:varyColors val="1"/>
        <c:ser>
          <c:idx val="0"/>
          <c:order val="0"/>
          <c:dPt>
            <c:idx val="0"/>
            <c:bubble3D val="0"/>
            <c:spPr>
              <a:solidFill>
                <a:srgbClr val="2C307E"/>
              </a:solidFill>
              <a:ln w="19050">
                <a:noFill/>
              </a:ln>
              <a:effectLst/>
            </c:spPr>
            <c:extLst>
              <c:ext xmlns:c16="http://schemas.microsoft.com/office/drawing/2014/chart" uri="{C3380CC4-5D6E-409C-BE32-E72D297353CC}">
                <c16:uniqueId val="{00000001-FECD-4793-8FEE-04008310EC97}"/>
              </c:ext>
            </c:extLst>
          </c:dPt>
          <c:dPt>
            <c:idx val="1"/>
            <c:bubble3D val="0"/>
            <c:spPr>
              <a:solidFill>
                <a:srgbClr val="08B466"/>
              </a:solidFill>
              <a:ln w="19050">
                <a:noFill/>
              </a:ln>
              <a:effectLst/>
            </c:spPr>
            <c:extLst>
              <c:ext xmlns:c16="http://schemas.microsoft.com/office/drawing/2014/chart" uri="{C3380CC4-5D6E-409C-BE32-E72D297353CC}">
                <c16:uniqueId val="{00000003-FECD-4793-8FEE-04008310EC97}"/>
              </c:ext>
            </c:extLst>
          </c:dPt>
          <c:dPt>
            <c:idx val="2"/>
            <c:bubble3D val="0"/>
            <c:spPr>
              <a:solidFill>
                <a:srgbClr val="C9C743"/>
              </a:solidFill>
              <a:ln w="19050">
                <a:noFill/>
              </a:ln>
              <a:effectLst/>
            </c:spPr>
            <c:extLst>
              <c:ext xmlns:c16="http://schemas.microsoft.com/office/drawing/2014/chart" uri="{C3380CC4-5D6E-409C-BE32-E72D297353CC}">
                <c16:uniqueId val="{00000005-FECD-4793-8FEE-04008310EC97}"/>
              </c:ext>
            </c:extLst>
          </c:dPt>
          <c:dPt>
            <c:idx val="3"/>
            <c:bubble3D val="0"/>
            <c:spPr>
              <a:solidFill>
                <a:srgbClr val="BAD6ED"/>
              </a:solidFill>
              <a:ln w="19050">
                <a:noFill/>
              </a:ln>
              <a:effectLst/>
            </c:spPr>
            <c:extLst>
              <c:ext xmlns:c16="http://schemas.microsoft.com/office/drawing/2014/chart" uri="{C3380CC4-5D6E-409C-BE32-E72D297353CC}">
                <c16:uniqueId val="{00000007-FECD-4793-8FEE-04008310EC97}"/>
              </c:ext>
            </c:extLst>
          </c:dPt>
          <c:dPt>
            <c:idx val="4"/>
            <c:bubble3D val="0"/>
            <c:spPr>
              <a:solidFill>
                <a:srgbClr val="4EAFAA"/>
              </a:solidFill>
              <a:ln w="19050">
                <a:noFill/>
              </a:ln>
              <a:effectLst/>
            </c:spPr>
            <c:extLst>
              <c:ext xmlns:c16="http://schemas.microsoft.com/office/drawing/2014/chart" uri="{C3380CC4-5D6E-409C-BE32-E72D297353CC}">
                <c16:uniqueId val="{00000009-FECD-4793-8FEE-04008310EC97}"/>
              </c:ext>
            </c:extLst>
          </c:dPt>
          <c:dLbls>
            <c:dLbl>
              <c:idx val="0"/>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bg1"/>
                      </a:solidFill>
                      <a:latin typeface="+mn-lt"/>
                      <a:ea typeface="+mn-ea"/>
                      <a:cs typeface="+mn-cs"/>
                    </a:defRPr>
                  </a:pPr>
                  <a:endParaRPr lang="nl-NL"/>
                </a:p>
              </c:txPr>
              <c:showLegendKey val="0"/>
              <c:showVal val="1"/>
              <c:showCatName val="0"/>
              <c:showSerName val="0"/>
              <c:showPercent val="0"/>
              <c:showBubbleSize val="0"/>
              <c:extLst>
                <c:ext xmlns:c16="http://schemas.microsoft.com/office/drawing/2014/chart" uri="{C3380CC4-5D6E-409C-BE32-E72D297353CC}">
                  <c16:uniqueId val="{00000001-FECD-4793-8FEE-04008310EC97}"/>
                </c:ext>
              </c:extLst>
            </c:dLbl>
            <c:dLbl>
              <c:idx val="1"/>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bg1"/>
                      </a:solidFill>
                      <a:latin typeface="+mn-lt"/>
                      <a:ea typeface="+mn-ea"/>
                      <a:cs typeface="+mn-cs"/>
                    </a:defRPr>
                  </a:pPr>
                  <a:endParaRPr lang="nl-NL"/>
                </a:p>
              </c:txPr>
              <c:showLegendKey val="0"/>
              <c:showVal val="1"/>
              <c:showCatName val="0"/>
              <c:showSerName val="0"/>
              <c:showPercent val="0"/>
              <c:showBubbleSize val="0"/>
              <c:extLst>
                <c:ext xmlns:c16="http://schemas.microsoft.com/office/drawing/2014/chart" uri="{C3380CC4-5D6E-409C-BE32-E72D297353CC}">
                  <c16:uniqueId val="{00000003-FECD-4793-8FEE-04008310EC97}"/>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rgbClr val="2C307E"/>
                    </a:solidFill>
                    <a:latin typeface="+mn-lt"/>
                    <a:ea typeface="+mn-ea"/>
                    <a:cs typeface="+mn-cs"/>
                  </a:defRPr>
                </a:pPr>
                <a:endParaRPr lang="nl-NL"/>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'3.2 de elektrische auto'!$B$136:$B$140</c:f>
              <c:strCache>
                <c:ptCount val="5"/>
                <c:pt idx="0">
                  <c:v> Onderweg bij een snellader </c:v>
                </c:pt>
                <c:pt idx="1">
                  <c:v> Op bestemming bij een openbare laadpaal </c:v>
                </c:pt>
                <c:pt idx="2">
                  <c:v> Laadpaal op het werk </c:v>
                </c:pt>
                <c:pt idx="3">
                  <c:v> Onderweg bij een openbare laadpaal </c:v>
                </c:pt>
                <c:pt idx="4">
                  <c:v> Anders </c:v>
                </c:pt>
              </c:strCache>
            </c:strRef>
          </c:cat>
          <c:val>
            <c:numRef>
              <c:f>'3.2 de elektrische auto'!$E$136:$E$140</c:f>
              <c:numCache>
                <c:formatCode>0%</c:formatCode>
                <c:ptCount val="5"/>
                <c:pt idx="0">
                  <c:v>0.58444326052210971</c:v>
                </c:pt>
                <c:pt idx="1">
                  <c:v>0.16782099094299413</c:v>
                </c:pt>
                <c:pt idx="2">
                  <c:v>0.13425679275439531</c:v>
                </c:pt>
                <c:pt idx="3">
                  <c:v>5.5940330314331377E-2</c:v>
                </c:pt>
                <c:pt idx="4">
                  <c:v>5.7538625466169425E-2</c:v>
                </c:pt>
              </c:numCache>
            </c:numRef>
          </c:val>
          <c:extLst>
            <c:ext xmlns:c16="http://schemas.microsoft.com/office/drawing/2014/chart" uri="{C3380CC4-5D6E-409C-BE32-E72D297353CC}">
              <c16:uniqueId val="{0000000A-FECD-4793-8FEE-04008310EC97}"/>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rgbClr val="2C307E"/>
              </a:solidFill>
              <a:latin typeface="+mn-lt"/>
              <a:ea typeface="+mn-ea"/>
              <a:cs typeface="+mn-cs"/>
            </a:defRPr>
          </a:pPr>
          <a:endParaRPr lang="nl-NL"/>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a:pPr>
      <a:endParaRPr lang="nl-NL"/>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100" b="0" i="0" u="none" strike="noStrike" kern="1200" spc="0" baseline="0">
                <a:solidFill>
                  <a:srgbClr val="2C307E"/>
                </a:solidFill>
                <a:latin typeface="+mn-lt"/>
                <a:ea typeface="+mn-ea"/>
                <a:cs typeface="+mn-cs"/>
              </a:defRPr>
            </a:pPr>
            <a:r>
              <a:rPr lang="en-US" sz="1100" b="0" i="0" u="none" strike="noStrike" kern="1200" spc="0" baseline="0">
                <a:solidFill>
                  <a:srgbClr val="2C307E"/>
                </a:solidFill>
              </a:rPr>
              <a:t>Laadmix</a:t>
            </a:r>
          </a:p>
          <a:p>
            <a:pPr marL="0" marR="0" lvl="0" indent="0" algn="ctr" defTabSz="914400" rtl="0" eaLnBrk="1" fontAlgn="auto" latinLnBrk="0" hangingPunct="1">
              <a:lnSpc>
                <a:spcPct val="100000"/>
              </a:lnSpc>
              <a:spcBef>
                <a:spcPts val="0"/>
              </a:spcBef>
              <a:spcAft>
                <a:spcPts val="0"/>
              </a:spcAft>
              <a:buClrTx/>
              <a:buSzTx/>
              <a:buFontTx/>
              <a:buNone/>
              <a:tabLst/>
              <a:defRPr sz="1100" b="0" i="0" u="none" strike="noStrike" kern="1200" spc="0" baseline="0">
                <a:solidFill>
                  <a:srgbClr val="2C307E"/>
                </a:solidFill>
                <a:latin typeface="+mn-lt"/>
                <a:ea typeface="+mn-ea"/>
                <a:cs typeface="+mn-cs"/>
              </a:defRPr>
            </a:pPr>
            <a:r>
              <a:rPr lang="en-US" sz="1100" b="0" i="0" u="none" strike="noStrike" kern="1200" spc="0" baseline="0">
                <a:solidFill>
                  <a:srgbClr val="2C307E"/>
                </a:solidFill>
              </a:rPr>
              <a:t>thuisladers en niet thuisladers</a:t>
            </a:r>
          </a:p>
        </c:rich>
      </c:tx>
      <c:overlay val="0"/>
      <c:spPr>
        <a:noFill/>
        <a:ln>
          <a:noFill/>
        </a:ln>
        <a:effectLst/>
      </c:spPr>
    </c:title>
    <c:autoTitleDeleted val="0"/>
    <c:plotArea>
      <c:layout>
        <c:manualLayout>
          <c:layoutTarget val="inner"/>
          <c:xMode val="edge"/>
          <c:yMode val="edge"/>
          <c:x val="0.19812488716688192"/>
          <c:y val="0.14464456416632132"/>
          <c:w val="0.76647502395533895"/>
          <c:h val="0.5604196525996048"/>
        </c:manualLayout>
      </c:layout>
      <c:barChart>
        <c:barDir val="bar"/>
        <c:grouping val="stacked"/>
        <c:varyColors val="0"/>
        <c:ser>
          <c:idx val="0"/>
          <c:order val="0"/>
          <c:tx>
            <c:strRef>
              <c:f>'3.3 laadgedrag algemeen'!$C$56</c:f>
              <c:strCache>
                <c:ptCount val="1"/>
                <c:pt idx="0">
                  <c:v>Privé laadpaal thuis</c:v>
                </c:pt>
              </c:strCache>
            </c:strRef>
          </c:tx>
          <c:spPr>
            <a:solidFill>
              <a:srgbClr val="2C307E"/>
            </a:solidFill>
            <a:ln>
              <a:noFill/>
            </a:ln>
            <a:effectLst/>
          </c:spPr>
          <c:invertIfNegative val="0"/>
          <c:dLbls>
            <c:dLbl>
              <c:idx val="5"/>
              <c:delete val="1"/>
              <c:extLst>
                <c:ext xmlns:c15="http://schemas.microsoft.com/office/drawing/2012/chart" uri="{CE6537A1-D6FC-4f65-9D91-7224C49458BB}"/>
                <c:ext xmlns:c16="http://schemas.microsoft.com/office/drawing/2014/chart" uri="{C3380CC4-5D6E-409C-BE32-E72D297353CC}">
                  <c16:uniqueId val="{00000000-7834-4662-AA5C-DFBB3A314D6C}"/>
                </c:ext>
              </c:extLst>
            </c:dLbl>
            <c:dLbl>
              <c:idx val="6"/>
              <c:delete val="1"/>
              <c:extLst>
                <c:ext xmlns:c15="http://schemas.microsoft.com/office/drawing/2012/chart" uri="{CE6537A1-D6FC-4f65-9D91-7224C49458BB}"/>
                <c:ext xmlns:c16="http://schemas.microsoft.com/office/drawing/2014/chart" uri="{C3380CC4-5D6E-409C-BE32-E72D297353CC}">
                  <c16:uniqueId val="{00000001-7834-4662-AA5C-DFBB3A314D6C}"/>
                </c:ext>
              </c:extLst>
            </c:dLbl>
            <c:dLbl>
              <c:idx val="7"/>
              <c:delete val="1"/>
              <c:extLst>
                <c:ext xmlns:c15="http://schemas.microsoft.com/office/drawing/2012/chart" uri="{CE6537A1-D6FC-4f65-9D91-7224C49458BB}"/>
                <c:ext xmlns:c16="http://schemas.microsoft.com/office/drawing/2014/chart" uri="{C3380CC4-5D6E-409C-BE32-E72D297353CC}">
                  <c16:uniqueId val="{00000002-7834-4662-AA5C-DFBB3A314D6C}"/>
                </c:ext>
              </c:extLst>
            </c:dLbl>
            <c:dLbl>
              <c:idx val="8"/>
              <c:delete val="1"/>
              <c:extLst>
                <c:ext xmlns:c15="http://schemas.microsoft.com/office/drawing/2012/chart" uri="{CE6537A1-D6FC-4f65-9D91-7224C49458BB}"/>
                <c:ext xmlns:c16="http://schemas.microsoft.com/office/drawing/2014/chart" uri="{C3380CC4-5D6E-409C-BE32-E72D297353CC}">
                  <c16:uniqueId val="{00000003-7834-4662-AA5C-DFBB3A314D6C}"/>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bg1"/>
                    </a:solidFill>
                    <a:latin typeface="+mn-lt"/>
                    <a:ea typeface="+mn-ea"/>
                    <a:cs typeface="+mn-cs"/>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('3.3 laadgedrag algemeen'!$E$55:$H$55,'3.3 laadgedrag algemeen'!$J$55:$N$55)</c:f>
              <c:strCache>
                <c:ptCount val="9"/>
                <c:pt idx="0">
                  <c:v>2025 Wel thuisladers</c:v>
                </c:pt>
                <c:pt idx="1">
                  <c:v>2024 Wel thuisladers</c:v>
                </c:pt>
                <c:pt idx="2">
                  <c:v>2023 Wel thuisladers</c:v>
                </c:pt>
                <c:pt idx="3">
                  <c:v>2022 Wel thuisladers</c:v>
                </c:pt>
                <c:pt idx="5">
                  <c:v>2025 Niet thuisladers </c:v>
                </c:pt>
                <c:pt idx="6">
                  <c:v>2024 Niet thuisladers </c:v>
                </c:pt>
                <c:pt idx="7">
                  <c:v>2023 Niet thuisladers </c:v>
                </c:pt>
                <c:pt idx="8">
                  <c:v>2022 Niet thuisladers </c:v>
                </c:pt>
              </c:strCache>
              <c:extLst/>
            </c:strRef>
          </c:cat>
          <c:val>
            <c:numRef>
              <c:f>('3.3 laadgedrag algemeen'!$E$56:$H$56,'3.3 laadgedrag algemeen'!$J$56:$N$56)</c:f>
              <c:numCache>
                <c:formatCode>0%</c:formatCode>
                <c:ptCount val="9"/>
                <c:pt idx="0">
                  <c:v>0.72476362324070731</c:v>
                </c:pt>
                <c:pt idx="1">
                  <c:v>0.7</c:v>
                </c:pt>
                <c:pt idx="2">
                  <c:v>0.65</c:v>
                </c:pt>
                <c:pt idx="3">
                  <c:v>0.63348387134564621</c:v>
                </c:pt>
                <c:pt idx="5">
                  <c:v>0</c:v>
                </c:pt>
                <c:pt idx="6">
                  <c:v>0</c:v>
                </c:pt>
                <c:pt idx="7">
                  <c:v>0</c:v>
                </c:pt>
                <c:pt idx="8">
                  <c:v>0</c:v>
                </c:pt>
              </c:numCache>
              <c:extLst/>
            </c:numRef>
          </c:val>
          <c:extLst>
            <c:ext xmlns:c16="http://schemas.microsoft.com/office/drawing/2014/chart" uri="{C3380CC4-5D6E-409C-BE32-E72D297353CC}">
              <c16:uniqueId val="{00000004-7834-4662-AA5C-DFBB3A314D6C}"/>
            </c:ext>
          </c:extLst>
        </c:ser>
        <c:ser>
          <c:idx val="1"/>
          <c:order val="1"/>
          <c:tx>
            <c:strRef>
              <c:f>'3.3 laadgedrag algemeen'!$C$57</c:f>
              <c:strCache>
                <c:ptCount val="1"/>
                <c:pt idx="0">
                  <c:v>Stopcontact thuis</c:v>
                </c:pt>
              </c:strCache>
            </c:strRef>
          </c:tx>
          <c:spPr>
            <a:solidFill>
              <a:srgbClr val="08B466"/>
            </a:solidFill>
            <a:ln>
              <a:noFill/>
            </a:ln>
            <a:effectLst/>
          </c:spPr>
          <c:invertIfNegative val="0"/>
          <c:dLbls>
            <c:dLbl>
              <c:idx val="0"/>
              <c:layout>
                <c:manualLayout>
                  <c:x val="-9.5648015303682454E-3"/>
                  <c:y val="-1.1252491359551198E-1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7834-4662-AA5C-DFBB3A314D6C}"/>
                </c:ext>
              </c:extLst>
            </c:dLbl>
            <c:dLbl>
              <c:idx val="1"/>
              <c:layout>
                <c:manualLayout>
                  <c:x val="-2.3912003825920611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7834-4662-AA5C-DFBB3A314D6C}"/>
                </c:ext>
              </c:extLst>
            </c:dLbl>
            <c:dLbl>
              <c:idx val="2"/>
              <c:layout>
                <c:manualLayout>
                  <c:x val="-1.9129603060736577E-2"/>
                  <c:y val="-1.1252491359551198E-1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7834-4662-AA5C-DFBB3A314D6C}"/>
                </c:ext>
              </c:extLst>
            </c:dLbl>
            <c:dLbl>
              <c:idx val="3"/>
              <c:layout>
                <c:manualLayout>
                  <c:x val="-1.9129603060736401E-2"/>
                  <c:y val="-5.6262456797755988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7834-4662-AA5C-DFBB3A314D6C}"/>
                </c:ext>
              </c:extLst>
            </c:dLbl>
            <c:dLbl>
              <c:idx val="5"/>
              <c:delete val="1"/>
              <c:extLst>
                <c:ext xmlns:c15="http://schemas.microsoft.com/office/drawing/2012/chart" uri="{CE6537A1-D6FC-4f65-9D91-7224C49458BB}"/>
                <c:ext xmlns:c16="http://schemas.microsoft.com/office/drawing/2014/chart" uri="{C3380CC4-5D6E-409C-BE32-E72D297353CC}">
                  <c16:uniqueId val="{00000005-7834-4662-AA5C-DFBB3A314D6C}"/>
                </c:ext>
              </c:extLst>
            </c:dLbl>
            <c:dLbl>
              <c:idx val="6"/>
              <c:delete val="1"/>
              <c:extLst>
                <c:ext xmlns:c15="http://schemas.microsoft.com/office/drawing/2012/chart" uri="{CE6537A1-D6FC-4f65-9D91-7224C49458BB}"/>
                <c:ext xmlns:c16="http://schemas.microsoft.com/office/drawing/2014/chart" uri="{C3380CC4-5D6E-409C-BE32-E72D297353CC}">
                  <c16:uniqueId val="{00000006-7834-4662-AA5C-DFBB3A314D6C}"/>
                </c:ext>
              </c:extLst>
            </c:dLbl>
            <c:dLbl>
              <c:idx val="7"/>
              <c:delete val="1"/>
              <c:extLst>
                <c:ext xmlns:c15="http://schemas.microsoft.com/office/drawing/2012/chart" uri="{CE6537A1-D6FC-4f65-9D91-7224C49458BB}"/>
                <c:ext xmlns:c16="http://schemas.microsoft.com/office/drawing/2014/chart" uri="{C3380CC4-5D6E-409C-BE32-E72D297353CC}">
                  <c16:uniqueId val="{00000007-7834-4662-AA5C-DFBB3A314D6C}"/>
                </c:ext>
              </c:extLst>
            </c:dLbl>
            <c:dLbl>
              <c:idx val="8"/>
              <c:delete val="1"/>
              <c:extLst>
                <c:ext xmlns:c15="http://schemas.microsoft.com/office/drawing/2012/chart" uri="{CE6537A1-D6FC-4f65-9D91-7224C49458BB}"/>
                <c:ext xmlns:c16="http://schemas.microsoft.com/office/drawing/2014/chart" uri="{C3380CC4-5D6E-409C-BE32-E72D297353CC}">
                  <c16:uniqueId val="{00000008-7834-4662-AA5C-DFBB3A314D6C}"/>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bg1"/>
                    </a:solidFill>
                    <a:latin typeface="+mn-lt"/>
                    <a:ea typeface="+mn-ea"/>
                    <a:cs typeface="+mn-cs"/>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('3.3 laadgedrag algemeen'!$E$55:$H$55,'3.3 laadgedrag algemeen'!$J$55:$N$55)</c:f>
              <c:strCache>
                <c:ptCount val="9"/>
                <c:pt idx="0">
                  <c:v>2025 Wel thuisladers</c:v>
                </c:pt>
                <c:pt idx="1">
                  <c:v>2024 Wel thuisladers</c:v>
                </c:pt>
                <c:pt idx="2">
                  <c:v>2023 Wel thuisladers</c:v>
                </c:pt>
                <c:pt idx="3">
                  <c:v>2022 Wel thuisladers</c:v>
                </c:pt>
                <c:pt idx="5">
                  <c:v>2025 Niet thuisladers </c:v>
                </c:pt>
                <c:pt idx="6">
                  <c:v>2024 Niet thuisladers </c:v>
                </c:pt>
                <c:pt idx="7">
                  <c:v>2023 Niet thuisladers </c:v>
                </c:pt>
                <c:pt idx="8">
                  <c:v>2022 Niet thuisladers </c:v>
                </c:pt>
              </c:strCache>
              <c:extLst/>
            </c:strRef>
          </c:cat>
          <c:val>
            <c:numRef>
              <c:f>('3.3 laadgedrag algemeen'!$E$57:$H$57,'3.3 laadgedrag algemeen'!$J$57:$N$57)</c:f>
              <c:numCache>
                <c:formatCode>0%</c:formatCode>
                <c:ptCount val="9"/>
                <c:pt idx="0">
                  <c:v>9.007578491519308E-2</c:v>
                </c:pt>
                <c:pt idx="1">
                  <c:v>0.08</c:v>
                </c:pt>
                <c:pt idx="2">
                  <c:v>9.1999999999999998E-2</c:v>
                </c:pt>
                <c:pt idx="3">
                  <c:v>0.12039526478874894</c:v>
                </c:pt>
                <c:pt idx="5">
                  <c:v>0</c:v>
                </c:pt>
                <c:pt idx="6">
                  <c:v>0</c:v>
                </c:pt>
                <c:pt idx="7">
                  <c:v>0</c:v>
                </c:pt>
                <c:pt idx="8">
                  <c:v>0</c:v>
                </c:pt>
              </c:numCache>
              <c:extLst/>
            </c:numRef>
          </c:val>
          <c:extLst>
            <c:ext xmlns:c16="http://schemas.microsoft.com/office/drawing/2014/chart" uri="{C3380CC4-5D6E-409C-BE32-E72D297353CC}">
              <c16:uniqueId val="{00000009-7834-4662-AA5C-DFBB3A314D6C}"/>
            </c:ext>
          </c:extLst>
        </c:ser>
        <c:ser>
          <c:idx val="2"/>
          <c:order val="2"/>
          <c:tx>
            <c:strRef>
              <c:f>'3.3 laadgedrag algemeen'!$C$58</c:f>
              <c:strCache>
                <c:ptCount val="1"/>
                <c:pt idx="0">
                  <c:v>Openbare laadpaal in de buurt van je woning</c:v>
                </c:pt>
              </c:strCache>
            </c:strRef>
          </c:tx>
          <c:spPr>
            <a:solidFill>
              <a:srgbClr val="C9C743"/>
            </a:solidFill>
            <a:ln>
              <a:noFill/>
            </a:ln>
            <a:effectLst/>
          </c:spPr>
          <c:invertIfNegative val="0"/>
          <c:dLbls>
            <c:spPr>
              <a:noFill/>
              <a:ln>
                <a:noFill/>
              </a:ln>
              <a:effectLst/>
            </c:spPr>
            <c:txPr>
              <a:bodyPr wrap="square" lIns="38100" tIns="19050" rIns="38100" bIns="19050" anchor="ctr">
                <a:spAutoFit/>
              </a:bodyPr>
              <a:lstStyle/>
              <a:p>
                <a:pPr>
                  <a:defRPr sz="800" b="1">
                    <a:solidFill>
                      <a:schemeClr val="bg1"/>
                    </a:solidFill>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('3.3 laadgedrag algemeen'!$E$55:$H$55,'3.3 laadgedrag algemeen'!$J$55:$N$55)</c:f>
              <c:strCache>
                <c:ptCount val="9"/>
                <c:pt idx="0">
                  <c:v>2025 Wel thuisladers</c:v>
                </c:pt>
                <c:pt idx="1">
                  <c:v>2024 Wel thuisladers</c:v>
                </c:pt>
                <c:pt idx="2">
                  <c:v>2023 Wel thuisladers</c:v>
                </c:pt>
                <c:pt idx="3">
                  <c:v>2022 Wel thuisladers</c:v>
                </c:pt>
                <c:pt idx="5">
                  <c:v>2025 Niet thuisladers </c:v>
                </c:pt>
                <c:pt idx="6">
                  <c:v>2024 Niet thuisladers </c:v>
                </c:pt>
                <c:pt idx="7">
                  <c:v>2023 Niet thuisladers </c:v>
                </c:pt>
                <c:pt idx="8">
                  <c:v>2022 Niet thuisladers </c:v>
                </c:pt>
              </c:strCache>
              <c:extLst/>
            </c:strRef>
          </c:cat>
          <c:val>
            <c:numRef>
              <c:f>('3.3 laadgedrag algemeen'!$E$58:$H$58,'3.3 laadgedrag algemeen'!$J$58:$N$58)</c:f>
              <c:numCache>
                <c:formatCode>0%</c:formatCode>
                <c:ptCount val="9"/>
                <c:pt idx="0">
                  <c:v>1.8491519307109346E-2</c:v>
                </c:pt>
                <c:pt idx="1">
                  <c:v>0.02</c:v>
                </c:pt>
                <c:pt idx="2">
                  <c:v>3.5999999999999997E-2</c:v>
                </c:pt>
                <c:pt idx="3">
                  <c:v>3.0213037646218053E-2</c:v>
                </c:pt>
                <c:pt idx="5">
                  <c:v>0.54215498938428874</c:v>
                </c:pt>
                <c:pt idx="6">
                  <c:v>0.54</c:v>
                </c:pt>
                <c:pt idx="7">
                  <c:v>0.55299999999999994</c:v>
                </c:pt>
                <c:pt idx="8">
                  <c:v>0.58891671123644718</c:v>
                </c:pt>
              </c:numCache>
              <c:extLst/>
            </c:numRef>
          </c:val>
          <c:extLst>
            <c:ext xmlns:c16="http://schemas.microsoft.com/office/drawing/2014/chart" uri="{C3380CC4-5D6E-409C-BE32-E72D297353CC}">
              <c16:uniqueId val="{0000000A-7834-4662-AA5C-DFBB3A314D6C}"/>
            </c:ext>
          </c:extLst>
        </c:ser>
        <c:ser>
          <c:idx val="3"/>
          <c:order val="3"/>
          <c:tx>
            <c:strRef>
              <c:f>'3.3 laadgedrag algemeen'!$C$59</c:f>
              <c:strCache>
                <c:ptCount val="1"/>
                <c:pt idx="0">
                  <c:v>Openbare laadpaal elders</c:v>
                </c:pt>
              </c:strCache>
            </c:strRef>
          </c:tx>
          <c:spPr>
            <a:solidFill>
              <a:srgbClr val="BAD6ED"/>
            </a:solidFill>
            <a:ln>
              <a:noFill/>
            </a:ln>
            <a:effectLst/>
          </c:spPr>
          <c:invertIfNegative val="0"/>
          <c:dLbls>
            <c:spPr>
              <a:noFill/>
              <a:ln>
                <a:noFill/>
              </a:ln>
              <a:effectLst/>
            </c:spPr>
            <c:txPr>
              <a:bodyPr wrap="square" lIns="38100" tIns="19050" rIns="38100" bIns="19050" anchor="ctr">
                <a:spAutoFit/>
              </a:bodyPr>
              <a:lstStyle/>
              <a:p>
                <a:pPr>
                  <a:defRPr sz="800"/>
                </a:pPr>
                <a:endParaRPr lang="nl-N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('3.3 laadgedrag algemeen'!$E$55:$H$55,'3.3 laadgedrag algemeen'!$J$55:$N$55)</c:f>
              <c:strCache>
                <c:ptCount val="9"/>
                <c:pt idx="0">
                  <c:v>2025 Wel thuisladers</c:v>
                </c:pt>
                <c:pt idx="1">
                  <c:v>2024 Wel thuisladers</c:v>
                </c:pt>
                <c:pt idx="2">
                  <c:v>2023 Wel thuisladers</c:v>
                </c:pt>
                <c:pt idx="3">
                  <c:v>2022 Wel thuisladers</c:v>
                </c:pt>
                <c:pt idx="5">
                  <c:v>2025 Niet thuisladers </c:v>
                </c:pt>
                <c:pt idx="6">
                  <c:v>2024 Niet thuisladers </c:v>
                </c:pt>
                <c:pt idx="7">
                  <c:v>2023 Niet thuisladers </c:v>
                </c:pt>
                <c:pt idx="8">
                  <c:v>2022 Niet thuisladers </c:v>
                </c:pt>
              </c:strCache>
              <c:extLst/>
            </c:strRef>
          </c:cat>
          <c:val>
            <c:numRef>
              <c:f>('3.3 laadgedrag algemeen'!$E$59:$H$59,'3.3 laadgedrag algemeen'!$J$59:$N$59)</c:f>
              <c:numCache>
                <c:formatCode>0%</c:formatCode>
                <c:ptCount val="9"/>
                <c:pt idx="0">
                  <c:v>3.2190544929628293E-2</c:v>
                </c:pt>
                <c:pt idx="1">
                  <c:v>0.04</c:v>
                </c:pt>
                <c:pt idx="2">
                  <c:v>5.0999999999999997E-2</c:v>
                </c:pt>
                <c:pt idx="3">
                  <c:v>5.450413247345081E-2</c:v>
                </c:pt>
                <c:pt idx="5">
                  <c:v>9.1199575371549907E-2</c:v>
                </c:pt>
                <c:pt idx="6">
                  <c:v>0.09</c:v>
                </c:pt>
                <c:pt idx="7">
                  <c:v>9.6999999999999989E-2</c:v>
                </c:pt>
                <c:pt idx="8">
                  <c:v>0.10914328779112174</c:v>
                </c:pt>
              </c:numCache>
              <c:extLst/>
            </c:numRef>
          </c:val>
          <c:extLst>
            <c:ext xmlns:c16="http://schemas.microsoft.com/office/drawing/2014/chart" uri="{C3380CC4-5D6E-409C-BE32-E72D297353CC}">
              <c16:uniqueId val="{0000000B-7834-4662-AA5C-DFBB3A314D6C}"/>
            </c:ext>
          </c:extLst>
        </c:ser>
        <c:ser>
          <c:idx val="4"/>
          <c:order val="4"/>
          <c:tx>
            <c:strRef>
              <c:f>'3.3 laadgedrag algemeen'!$C$60</c:f>
              <c:strCache>
                <c:ptCount val="1"/>
                <c:pt idx="0">
                  <c:v>Laadpaal op het werk</c:v>
                </c:pt>
              </c:strCache>
            </c:strRef>
          </c:tx>
          <c:spPr>
            <a:solidFill>
              <a:srgbClr val="4EAFAA"/>
            </a:solidFill>
            <a:ln>
              <a:noFill/>
            </a:ln>
            <a:effectLst/>
          </c:spPr>
          <c:invertIfNegative val="0"/>
          <c:dLbls>
            <c:dLbl>
              <c:idx val="2"/>
              <c:layout>
                <c:manualLayout>
                  <c:x val="-4.7824007651841227E-3"/>
                  <c:y val="-1.1252491359551198E-1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7834-4662-AA5C-DFBB3A314D6C}"/>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bg1"/>
                    </a:solidFill>
                    <a:latin typeface="+mn-lt"/>
                    <a:ea typeface="+mn-ea"/>
                    <a:cs typeface="+mn-cs"/>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('3.3 laadgedrag algemeen'!$E$55:$H$55,'3.3 laadgedrag algemeen'!$J$55:$N$55)</c:f>
              <c:strCache>
                <c:ptCount val="9"/>
                <c:pt idx="0">
                  <c:v>2025 Wel thuisladers</c:v>
                </c:pt>
                <c:pt idx="1">
                  <c:v>2024 Wel thuisladers</c:v>
                </c:pt>
                <c:pt idx="2">
                  <c:v>2023 Wel thuisladers</c:v>
                </c:pt>
                <c:pt idx="3">
                  <c:v>2022 Wel thuisladers</c:v>
                </c:pt>
                <c:pt idx="5">
                  <c:v>2025 Niet thuisladers </c:v>
                </c:pt>
                <c:pt idx="6">
                  <c:v>2024 Niet thuisladers </c:v>
                </c:pt>
                <c:pt idx="7">
                  <c:v>2023 Niet thuisladers </c:v>
                </c:pt>
                <c:pt idx="8">
                  <c:v>2022 Niet thuisladers </c:v>
                </c:pt>
              </c:strCache>
              <c:extLst/>
            </c:strRef>
          </c:cat>
          <c:val>
            <c:numRef>
              <c:f>('3.3 laadgedrag algemeen'!$E$60:$H$60,'3.3 laadgedrag algemeen'!$J$60:$N$60)</c:f>
              <c:numCache>
                <c:formatCode>0%</c:formatCode>
                <c:ptCount val="9"/>
                <c:pt idx="0">
                  <c:v>6.0817394442439554E-2</c:v>
                </c:pt>
                <c:pt idx="1">
                  <c:v>0.08</c:v>
                </c:pt>
                <c:pt idx="2">
                  <c:v>9.0999999999999998E-2</c:v>
                </c:pt>
                <c:pt idx="3">
                  <c:v>8.891114742767435E-2</c:v>
                </c:pt>
                <c:pt idx="5">
                  <c:v>0.22152866242038219</c:v>
                </c:pt>
                <c:pt idx="6">
                  <c:v>0.23</c:v>
                </c:pt>
                <c:pt idx="7">
                  <c:v>0.222</c:v>
                </c:pt>
                <c:pt idx="8">
                  <c:v>0.20314095395536544</c:v>
                </c:pt>
              </c:numCache>
              <c:extLst/>
            </c:numRef>
          </c:val>
          <c:extLst>
            <c:ext xmlns:c16="http://schemas.microsoft.com/office/drawing/2014/chart" uri="{C3380CC4-5D6E-409C-BE32-E72D297353CC}">
              <c16:uniqueId val="{0000000C-7834-4662-AA5C-DFBB3A314D6C}"/>
            </c:ext>
          </c:extLst>
        </c:ser>
        <c:ser>
          <c:idx val="5"/>
          <c:order val="5"/>
          <c:tx>
            <c:strRef>
              <c:f>'3.3 laadgedrag algemeen'!$C$61</c:f>
              <c:strCache>
                <c:ptCount val="1"/>
                <c:pt idx="0">
                  <c:v>Snellader (≥50kW) </c:v>
                </c:pt>
              </c:strCache>
            </c:strRef>
          </c:tx>
          <c:spPr>
            <a:solidFill>
              <a:srgbClr val="696969"/>
            </a:solidFill>
            <a:ln>
              <a:noFill/>
            </a:ln>
            <a:effectLst/>
          </c:spPr>
          <c:invertIfNegative val="0"/>
          <c:dLbls>
            <c:dLbl>
              <c:idx val="0"/>
              <c:layout>
                <c:manualLayout>
                  <c:x val="9.5648015303682454E-3"/>
                  <c:y val="-1.1252491359551198E-1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7834-4662-AA5C-DFBB3A314D6C}"/>
                </c:ext>
              </c:extLst>
            </c:dLbl>
            <c:dLbl>
              <c:idx val="3"/>
              <c:layout>
                <c:manualLayout>
                  <c:x val="4.7824007651841227E-3"/>
                  <c:y val="-5.6262456797755988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7834-4662-AA5C-DFBB3A314D6C}"/>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bg1"/>
                    </a:solidFill>
                    <a:latin typeface="+mn-lt"/>
                    <a:ea typeface="+mn-ea"/>
                    <a:cs typeface="+mn-cs"/>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('3.3 laadgedrag algemeen'!$E$55:$H$55,'3.3 laadgedrag algemeen'!$J$55:$N$55)</c:f>
              <c:strCache>
                <c:ptCount val="9"/>
                <c:pt idx="0">
                  <c:v>2025 Wel thuisladers</c:v>
                </c:pt>
                <c:pt idx="1">
                  <c:v>2024 Wel thuisladers</c:v>
                </c:pt>
                <c:pt idx="2">
                  <c:v>2023 Wel thuisladers</c:v>
                </c:pt>
                <c:pt idx="3">
                  <c:v>2022 Wel thuisladers</c:v>
                </c:pt>
                <c:pt idx="5">
                  <c:v>2025 Niet thuisladers </c:v>
                </c:pt>
                <c:pt idx="6">
                  <c:v>2024 Niet thuisladers </c:v>
                </c:pt>
                <c:pt idx="7">
                  <c:v>2023 Niet thuisladers </c:v>
                </c:pt>
                <c:pt idx="8">
                  <c:v>2022 Niet thuisladers </c:v>
                </c:pt>
              </c:strCache>
              <c:extLst/>
            </c:strRef>
          </c:cat>
          <c:val>
            <c:numRef>
              <c:f>('3.3 laadgedrag algemeen'!$E$61:$H$61,'3.3 laadgedrag algemeen'!$J$61:$N$61)</c:f>
              <c:numCache>
                <c:formatCode>0%</c:formatCode>
                <c:ptCount val="9"/>
                <c:pt idx="0">
                  <c:v>7.3661133164922413E-2</c:v>
                </c:pt>
                <c:pt idx="1">
                  <c:v>0.08</c:v>
                </c:pt>
                <c:pt idx="2">
                  <c:v>0.08</c:v>
                </c:pt>
                <c:pt idx="3">
                  <c:v>7.2492546318261936E-2</c:v>
                </c:pt>
                <c:pt idx="5">
                  <c:v>0.14511677282377919</c:v>
                </c:pt>
                <c:pt idx="6">
                  <c:v>0.14000000000000001</c:v>
                </c:pt>
                <c:pt idx="7">
                  <c:v>0.128</c:v>
                </c:pt>
                <c:pt idx="8">
                  <c:v>9.8799047017065655E-2</c:v>
                </c:pt>
              </c:numCache>
              <c:extLst/>
            </c:numRef>
          </c:val>
          <c:extLst>
            <c:ext xmlns:c16="http://schemas.microsoft.com/office/drawing/2014/chart" uri="{C3380CC4-5D6E-409C-BE32-E72D297353CC}">
              <c16:uniqueId val="{0000000D-7834-4662-AA5C-DFBB3A314D6C}"/>
            </c:ext>
          </c:extLst>
        </c:ser>
        <c:dLbls>
          <c:showLegendKey val="0"/>
          <c:showVal val="0"/>
          <c:showCatName val="0"/>
          <c:showSerName val="0"/>
          <c:showPercent val="0"/>
          <c:showBubbleSize val="0"/>
        </c:dLbls>
        <c:gapWidth val="150"/>
        <c:overlap val="100"/>
        <c:axId val="1061477944"/>
        <c:axId val="1061476504"/>
      </c:barChart>
      <c:catAx>
        <c:axId val="106147794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2C307E"/>
                </a:solidFill>
                <a:latin typeface="+mn-lt"/>
                <a:ea typeface="+mn-ea"/>
                <a:cs typeface="+mn-cs"/>
              </a:defRPr>
            </a:pPr>
            <a:endParaRPr lang="nl-NL"/>
          </a:p>
        </c:txPr>
        <c:crossAx val="1061476504"/>
        <c:crosses val="autoZero"/>
        <c:auto val="1"/>
        <c:lblAlgn val="ctr"/>
        <c:lblOffset val="100"/>
        <c:noMultiLvlLbl val="0"/>
      </c:catAx>
      <c:valAx>
        <c:axId val="1061476504"/>
        <c:scaling>
          <c:orientation val="minMax"/>
          <c:max val="1"/>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2C307E"/>
                </a:solidFill>
                <a:latin typeface="+mn-lt"/>
                <a:ea typeface="+mn-ea"/>
                <a:cs typeface="+mn-cs"/>
              </a:defRPr>
            </a:pPr>
            <a:endParaRPr lang="nl-NL"/>
          </a:p>
        </c:txPr>
        <c:crossAx val="1061477944"/>
        <c:crosses val="autoZero"/>
        <c:crossBetween val="between"/>
        <c:majorUnit val="0.2"/>
      </c:valAx>
      <c:spPr>
        <a:noFill/>
        <a:ln>
          <a:noFill/>
        </a:ln>
      </c:spPr>
    </c:plotArea>
    <c:legend>
      <c:legendPos val="b"/>
      <c:layout>
        <c:manualLayout>
          <c:xMode val="edge"/>
          <c:yMode val="edge"/>
          <c:x val="0.11518473385271286"/>
          <c:y val="0.79353799876139075"/>
          <c:w val="0.8115176575150328"/>
          <c:h val="0.18399009112624967"/>
        </c:manualLayout>
      </c:layout>
      <c:overlay val="0"/>
      <c:spPr>
        <a:noFill/>
        <a:ln>
          <a:noFill/>
        </a:ln>
        <a:effectLst/>
      </c:spPr>
      <c:txPr>
        <a:bodyPr rot="0" spcFirstLastPara="1" vertOverflow="ellipsis" vert="horz" wrap="square" anchor="ctr" anchorCtr="1"/>
        <a:lstStyle/>
        <a:p>
          <a:pPr>
            <a:defRPr sz="900" b="0" i="0" u="none" strike="noStrike" kern="1200" baseline="0">
              <a:solidFill>
                <a:srgbClr val="2C307E"/>
              </a:solidFill>
              <a:latin typeface="+mn-lt"/>
              <a:ea typeface="+mn-ea"/>
              <a:cs typeface="+mn-cs"/>
            </a:defRPr>
          </a:pPr>
          <a:endParaRPr lang="nl-NL"/>
        </a:p>
      </c:txPr>
    </c:legend>
    <c:plotVisOnly val="1"/>
    <c:dispBlanksAs val="gap"/>
    <c:showDLblsOverMax val="0"/>
    <c:extLst/>
  </c:chart>
  <c:spPr>
    <a:noFill/>
    <a:ln>
      <a:noFill/>
    </a:ln>
  </c:spPr>
  <c:txPr>
    <a:bodyPr/>
    <a:lstStyle/>
    <a:p>
      <a:pPr>
        <a:defRPr/>
      </a:pPr>
      <a:endParaRPr lang="nl-NL"/>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100" b="0" i="0" u="none" strike="noStrike" kern="1200" spc="0" baseline="0">
                <a:solidFill>
                  <a:srgbClr val="2C307E"/>
                </a:solidFill>
                <a:latin typeface="+mn-lt"/>
                <a:ea typeface="+mn-ea"/>
                <a:cs typeface="+mn-cs"/>
              </a:defRPr>
            </a:pPr>
            <a:r>
              <a:rPr lang="en-US" sz="1100" b="0" i="0" u="none" strike="noStrike" kern="1200" spc="0" baseline="0">
                <a:solidFill>
                  <a:srgbClr val="2C307E"/>
                </a:solidFill>
              </a:rPr>
              <a:t>Laadmix</a:t>
            </a:r>
          </a:p>
        </c:rich>
      </c:tx>
      <c:overlay val="0"/>
      <c:spPr>
        <a:noFill/>
        <a:ln>
          <a:noFill/>
        </a:ln>
        <a:effectLst/>
      </c:spPr>
    </c:title>
    <c:autoTitleDeleted val="0"/>
    <c:plotArea>
      <c:layout>
        <c:manualLayout>
          <c:layoutTarget val="inner"/>
          <c:xMode val="edge"/>
          <c:yMode val="edge"/>
          <c:x val="0.15824549908305938"/>
          <c:y val="9.3342751191947737E-2"/>
          <c:w val="0.74104919094582333"/>
          <c:h val="0.5475278166916252"/>
        </c:manualLayout>
      </c:layout>
      <c:barChart>
        <c:barDir val="bar"/>
        <c:grouping val="stacked"/>
        <c:varyColors val="0"/>
        <c:ser>
          <c:idx val="0"/>
          <c:order val="0"/>
          <c:tx>
            <c:strRef>
              <c:f>'3.3 laadgedrag algemeen'!$C$33</c:f>
              <c:strCache>
                <c:ptCount val="1"/>
                <c:pt idx="0">
                  <c:v>Privé laadpaal thuis</c:v>
                </c:pt>
              </c:strCache>
            </c:strRef>
          </c:tx>
          <c:spPr>
            <a:solidFill>
              <a:srgbClr val="2C307E"/>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bg1"/>
                    </a:solidFill>
                    <a:latin typeface="+mn-lt"/>
                    <a:ea typeface="+mn-ea"/>
                    <a:cs typeface="+mn-cs"/>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'3.3 laadgedrag algemeen'!$D$32:$H$32</c:f>
              <c:numCache>
                <c:formatCode>General</c:formatCode>
                <c:ptCount val="5"/>
                <c:pt idx="0">
                  <c:v>2025</c:v>
                </c:pt>
                <c:pt idx="1">
                  <c:v>2024</c:v>
                </c:pt>
                <c:pt idx="2">
                  <c:v>2023</c:v>
                </c:pt>
                <c:pt idx="3">
                  <c:v>2022</c:v>
                </c:pt>
                <c:pt idx="4">
                  <c:v>2021</c:v>
                </c:pt>
              </c:numCache>
            </c:numRef>
          </c:cat>
          <c:val>
            <c:numRef>
              <c:f>'3.3 laadgedrag algemeen'!$D$33:$H$33</c:f>
              <c:numCache>
                <c:formatCode>0%</c:formatCode>
                <c:ptCount val="5"/>
                <c:pt idx="0">
                  <c:v>0.54088876918933482</c:v>
                </c:pt>
                <c:pt idx="1">
                  <c:v>0.52141423985993585</c:v>
                </c:pt>
                <c:pt idx="2">
                  <c:v>0.45661299999999999</c:v>
                </c:pt>
                <c:pt idx="3">
                  <c:v>0.42</c:v>
                </c:pt>
                <c:pt idx="4">
                  <c:v>0.51</c:v>
                </c:pt>
              </c:numCache>
            </c:numRef>
          </c:val>
          <c:extLst>
            <c:ext xmlns:c16="http://schemas.microsoft.com/office/drawing/2014/chart" uri="{C3380CC4-5D6E-409C-BE32-E72D297353CC}">
              <c16:uniqueId val="{00000000-371E-4C21-86DC-8053B77F878D}"/>
            </c:ext>
          </c:extLst>
        </c:ser>
        <c:ser>
          <c:idx val="1"/>
          <c:order val="1"/>
          <c:tx>
            <c:strRef>
              <c:f>'3.3 laadgedrag algemeen'!$C$34</c:f>
              <c:strCache>
                <c:ptCount val="1"/>
                <c:pt idx="0">
                  <c:v>Stopcontact thuis</c:v>
                </c:pt>
              </c:strCache>
            </c:strRef>
          </c:tx>
          <c:spPr>
            <a:solidFill>
              <a:srgbClr val="08B46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bg1"/>
                    </a:solidFill>
                    <a:latin typeface="+mn-lt"/>
                    <a:ea typeface="+mn-ea"/>
                    <a:cs typeface="+mn-cs"/>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'3.3 laadgedrag algemeen'!$D$32:$H$32</c:f>
              <c:numCache>
                <c:formatCode>General</c:formatCode>
                <c:ptCount val="5"/>
                <c:pt idx="0">
                  <c:v>2025</c:v>
                </c:pt>
                <c:pt idx="1">
                  <c:v>2024</c:v>
                </c:pt>
                <c:pt idx="2">
                  <c:v>2023</c:v>
                </c:pt>
                <c:pt idx="3">
                  <c:v>2022</c:v>
                </c:pt>
                <c:pt idx="4">
                  <c:v>2021</c:v>
                </c:pt>
              </c:numCache>
            </c:numRef>
          </c:cat>
          <c:val>
            <c:numRef>
              <c:f>'3.3 laadgedrag algemeen'!$D$34:$H$34</c:f>
              <c:numCache>
                <c:formatCode>0%</c:formatCode>
                <c:ptCount val="5"/>
                <c:pt idx="0">
                  <c:v>6.722326959332077E-2</c:v>
                </c:pt>
                <c:pt idx="1">
                  <c:v>6.0875401225561711E-2</c:v>
                </c:pt>
                <c:pt idx="2">
                  <c:v>6.4858399999999997E-2</c:v>
                </c:pt>
                <c:pt idx="3">
                  <c:v>0.08</c:v>
                </c:pt>
                <c:pt idx="4">
                  <c:v>0.08</c:v>
                </c:pt>
              </c:numCache>
            </c:numRef>
          </c:val>
          <c:extLst>
            <c:ext xmlns:c16="http://schemas.microsoft.com/office/drawing/2014/chart" uri="{C3380CC4-5D6E-409C-BE32-E72D297353CC}">
              <c16:uniqueId val="{00000001-371E-4C21-86DC-8053B77F878D}"/>
            </c:ext>
          </c:extLst>
        </c:ser>
        <c:ser>
          <c:idx val="2"/>
          <c:order val="2"/>
          <c:tx>
            <c:strRef>
              <c:f>'3.3 laadgedrag algemeen'!$C$35</c:f>
              <c:strCache>
                <c:ptCount val="1"/>
                <c:pt idx="0">
                  <c:v>Openbare laadpaal in de buurt van je woning</c:v>
                </c:pt>
              </c:strCache>
            </c:strRef>
          </c:tx>
          <c:spPr>
            <a:solidFill>
              <a:srgbClr val="C9C74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bg1"/>
                    </a:solidFill>
                    <a:latin typeface="+mn-lt"/>
                    <a:ea typeface="+mn-ea"/>
                    <a:cs typeface="+mn-cs"/>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'3.3 laadgedrag algemeen'!$D$32:$H$32</c:f>
              <c:numCache>
                <c:formatCode>General</c:formatCode>
                <c:ptCount val="5"/>
                <c:pt idx="0">
                  <c:v>2025</c:v>
                </c:pt>
                <c:pt idx="1">
                  <c:v>2024</c:v>
                </c:pt>
                <c:pt idx="2">
                  <c:v>2023</c:v>
                </c:pt>
                <c:pt idx="3">
                  <c:v>2022</c:v>
                </c:pt>
                <c:pt idx="4">
                  <c:v>2021</c:v>
                </c:pt>
              </c:numCache>
            </c:numRef>
          </c:cat>
          <c:val>
            <c:numRef>
              <c:f>'3.3 laadgedrag algemeen'!$D$35:$H$35</c:f>
              <c:numCache>
                <c:formatCode>0%</c:formatCode>
                <c:ptCount val="5"/>
                <c:pt idx="0">
                  <c:v>0.15134661998384055</c:v>
                </c:pt>
                <c:pt idx="1">
                  <c:v>0.1548468047855267</c:v>
                </c:pt>
                <c:pt idx="2">
                  <c:v>0.190691</c:v>
                </c:pt>
                <c:pt idx="3">
                  <c:v>0.21</c:v>
                </c:pt>
                <c:pt idx="4">
                  <c:v>0.16</c:v>
                </c:pt>
              </c:numCache>
            </c:numRef>
          </c:val>
          <c:extLst>
            <c:ext xmlns:c16="http://schemas.microsoft.com/office/drawing/2014/chart" uri="{C3380CC4-5D6E-409C-BE32-E72D297353CC}">
              <c16:uniqueId val="{00000002-371E-4C21-86DC-8053B77F878D}"/>
            </c:ext>
          </c:extLst>
        </c:ser>
        <c:ser>
          <c:idx val="3"/>
          <c:order val="3"/>
          <c:tx>
            <c:strRef>
              <c:f>'3.3 laadgedrag algemeen'!$C$36</c:f>
              <c:strCache>
                <c:ptCount val="1"/>
                <c:pt idx="0">
                  <c:v>Openbare laadpaal elders</c:v>
                </c:pt>
              </c:strCache>
            </c:strRef>
          </c:tx>
          <c:spPr>
            <a:solidFill>
              <a:srgbClr val="BAD6ED"/>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mn-lt"/>
                    <a:ea typeface="+mn-ea"/>
                    <a:cs typeface="+mn-cs"/>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'3.3 laadgedrag algemeen'!$D$32:$H$32</c:f>
              <c:numCache>
                <c:formatCode>General</c:formatCode>
                <c:ptCount val="5"/>
                <c:pt idx="0">
                  <c:v>2025</c:v>
                </c:pt>
                <c:pt idx="1">
                  <c:v>2024</c:v>
                </c:pt>
                <c:pt idx="2">
                  <c:v>2023</c:v>
                </c:pt>
                <c:pt idx="3">
                  <c:v>2022</c:v>
                </c:pt>
                <c:pt idx="4">
                  <c:v>2021</c:v>
                </c:pt>
              </c:numCache>
            </c:numRef>
          </c:cat>
          <c:val>
            <c:numRef>
              <c:f>'3.3 laadgedrag algemeen'!$D$36:$H$36</c:f>
              <c:numCache>
                <c:formatCode>0%</c:formatCode>
                <c:ptCount val="5"/>
                <c:pt idx="0">
                  <c:v>4.7161325074064099E-2</c:v>
                </c:pt>
                <c:pt idx="1">
                  <c:v>5.2949518529325938E-2</c:v>
                </c:pt>
                <c:pt idx="2">
                  <c:v>6.3397800000000004E-2</c:v>
                </c:pt>
                <c:pt idx="3">
                  <c:v>7.0000000000000007E-2</c:v>
                </c:pt>
                <c:pt idx="4">
                  <c:v>0.06</c:v>
                </c:pt>
              </c:numCache>
            </c:numRef>
          </c:val>
          <c:extLst>
            <c:ext xmlns:c16="http://schemas.microsoft.com/office/drawing/2014/chart" uri="{C3380CC4-5D6E-409C-BE32-E72D297353CC}">
              <c16:uniqueId val="{00000003-371E-4C21-86DC-8053B77F878D}"/>
            </c:ext>
          </c:extLst>
        </c:ser>
        <c:ser>
          <c:idx val="4"/>
          <c:order val="4"/>
          <c:tx>
            <c:strRef>
              <c:f>'3.3 laadgedrag algemeen'!$C$37</c:f>
              <c:strCache>
                <c:ptCount val="1"/>
                <c:pt idx="0">
                  <c:v>Laadpaal op het werk</c:v>
                </c:pt>
              </c:strCache>
            </c:strRef>
          </c:tx>
          <c:spPr>
            <a:solidFill>
              <a:srgbClr val="4EAFAA"/>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bg1"/>
                    </a:solidFill>
                    <a:latin typeface="+mn-lt"/>
                    <a:ea typeface="+mn-ea"/>
                    <a:cs typeface="+mn-cs"/>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'3.3 laadgedrag algemeen'!$D$32:$H$32</c:f>
              <c:numCache>
                <c:formatCode>General</c:formatCode>
                <c:ptCount val="5"/>
                <c:pt idx="0">
                  <c:v>2025</c:v>
                </c:pt>
                <c:pt idx="1">
                  <c:v>2024</c:v>
                </c:pt>
                <c:pt idx="2">
                  <c:v>2023</c:v>
                </c:pt>
                <c:pt idx="3">
                  <c:v>2022</c:v>
                </c:pt>
                <c:pt idx="4">
                  <c:v>2021</c:v>
                </c:pt>
              </c:numCache>
            </c:numRef>
          </c:cat>
          <c:val>
            <c:numRef>
              <c:f>'3.3 laadgedrag algemeen'!$D$37:$H$37</c:f>
              <c:numCache>
                <c:formatCode>0%</c:formatCode>
                <c:ptCount val="5"/>
                <c:pt idx="0">
                  <c:v>0.10159035820091571</c:v>
                </c:pt>
                <c:pt idx="1">
                  <c:v>0.11676550919171287</c:v>
                </c:pt>
                <c:pt idx="2">
                  <c:v>0.128305</c:v>
                </c:pt>
                <c:pt idx="3">
                  <c:v>0.13</c:v>
                </c:pt>
                <c:pt idx="4">
                  <c:v>0.11</c:v>
                </c:pt>
              </c:numCache>
            </c:numRef>
          </c:val>
          <c:extLst>
            <c:ext xmlns:c16="http://schemas.microsoft.com/office/drawing/2014/chart" uri="{C3380CC4-5D6E-409C-BE32-E72D297353CC}">
              <c16:uniqueId val="{00000004-371E-4C21-86DC-8053B77F878D}"/>
            </c:ext>
          </c:extLst>
        </c:ser>
        <c:ser>
          <c:idx val="5"/>
          <c:order val="5"/>
          <c:tx>
            <c:strRef>
              <c:f>'3.3 laadgedrag algemeen'!$C$38</c:f>
              <c:strCache>
                <c:ptCount val="1"/>
                <c:pt idx="0">
                  <c:v>Snellader (≥50kW) </c:v>
                </c:pt>
              </c:strCache>
            </c:strRef>
          </c:tx>
          <c:spPr>
            <a:solidFill>
              <a:srgbClr val="696969"/>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bg1"/>
                    </a:solidFill>
                    <a:latin typeface="+mn-lt"/>
                    <a:ea typeface="+mn-ea"/>
                    <a:cs typeface="+mn-cs"/>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'3.3 laadgedrag algemeen'!$D$32:$H$32</c:f>
              <c:numCache>
                <c:formatCode>General</c:formatCode>
                <c:ptCount val="5"/>
                <c:pt idx="0">
                  <c:v>2025</c:v>
                </c:pt>
                <c:pt idx="1">
                  <c:v>2024</c:v>
                </c:pt>
                <c:pt idx="2">
                  <c:v>2023</c:v>
                </c:pt>
                <c:pt idx="3">
                  <c:v>2022</c:v>
                </c:pt>
                <c:pt idx="4">
                  <c:v>2021</c:v>
                </c:pt>
              </c:numCache>
            </c:numRef>
          </c:cat>
          <c:val>
            <c:numRef>
              <c:f>'3.3 laadgedrag algemeen'!$D$38:$H$38</c:f>
              <c:numCache>
                <c:formatCode>0%</c:formatCode>
                <c:ptCount val="5"/>
                <c:pt idx="0">
                  <c:v>9.178965795852409E-2</c:v>
                </c:pt>
                <c:pt idx="1">
                  <c:v>9.3148526407936971E-2</c:v>
                </c:pt>
                <c:pt idx="2">
                  <c:v>9.2869499999999994E-2</c:v>
                </c:pt>
                <c:pt idx="3">
                  <c:v>0.08</c:v>
                </c:pt>
                <c:pt idx="4">
                  <c:v>0.08</c:v>
                </c:pt>
              </c:numCache>
            </c:numRef>
          </c:val>
          <c:extLst>
            <c:ext xmlns:c16="http://schemas.microsoft.com/office/drawing/2014/chart" uri="{C3380CC4-5D6E-409C-BE32-E72D297353CC}">
              <c16:uniqueId val="{00000005-371E-4C21-86DC-8053B77F878D}"/>
            </c:ext>
          </c:extLst>
        </c:ser>
        <c:dLbls>
          <c:showLegendKey val="0"/>
          <c:showVal val="0"/>
          <c:showCatName val="0"/>
          <c:showSerName val="0"/>
          <c:showPercent val="0"/>
          <c:showBubbleSize val="0"/>
        </c:dLbls>
        <c:gapWidth val="150"/>
        <c:overlap val="100"/>
        <c:axId val="1061477944"/>
        <c:axId val="1061476504"/>
        <c:extLst>
          <c:ext xmlns:c15="http://schemas.microsoft.com/office/drawing/2012/chart" uri="{02D57815-91ED-43cb-92C2-25804820EDAC}">
            <c15:filteredBarSeries>
              <c15:ser>
                <c:idx val="6"/>
                <c:order val="6"/>
                <c:tx>
                  <c:strRef>
                    <c:extLst>
                      <c:ext uri="{02D57815-91ED-43cb-92C2-25804820EDAC}">
                        <c15:formulaRef>
                          <c15:sqref>'3.3 laadgedrag algemeen'!$C$39</c15:sqref>
                        </c15:formulaRef>
                      </c:ext>
                    </c:extLst>
                    <c:strCache>
                      <c:ptCount val="1"/>
                      <c:pt idx="0">
                        <c:v>stopcontact elders</c:v>
                      </c:pt>
                    </c:strCache>
                  </c:strRef>
                </c:tx>
                <c:spPr>
                  <a:solidFill>
                    <a:srgbClr val="2C307E"/>
                  </a:solidFill>
                </c:spPr>
                <c:invertIfNegative val="0"/>
                <c:cat>
                  <c:numRef>
                    <c:extLst>
                      <c:ext uri="{02D57815-91ED-43cb-92C2-25804820EDAC}">
                        <c15:formulaRef>
                          <c15:sqref>'3.3 laadgedrag algemeen'!$D$32:$H$32</c15:sqref>
                        </c15:formulaRef>
                      </c:ext>
                    </c:extLst>
                    <c:numCache>
                      <c:formatCode>General</c:formatCode>
                      <c:ptCount val="5"/>
                      <c:pt idx="0">
                        <c:v>2025</c:v>
                      </c:pt>
                      <c:pt idx="1">
                        <c:v>2024</c:v>
                      </c:pt>
                      <c:pt idx="2">
                        <c:v>2023</c:v>
                      </c:pt>
                      <c:pt idx="3">
                        <c:v>2022</c:v>
                      </c:pt>
                      <c:pt idx="4">
                        <c:v>2021</c:v>
                      </c:pt>
                    </c:numCache>
                  </c:numRef>
                </c:cat>
                <c:val>
                  <c:numRef>
                    <c:extLst>
                      <c:ext uri="{02D57815-91ED-43cb-92C2-25804820EDAC}">
                        <c15:formulaRef>
                          <c15:sqref>'3.3 laadgedrag algemeen'!$D$39:$H$39</c15:sqref>
                        </c15:formulaRef>
                      </c:ext>
                    </c:extLst>
                    <c:numCache>
                      <c:formatCode>General</c:formatCode>
                      <c:ptCount val="5"/>
                      <c:pt idx="3" formatCode="0%">
                        <c:v>0.01</c:v>
                      </c:pt>
                    </c:numCache>
                  </c:numRef>
                </c:val>
                <c:extLst>
                  <c:ext xmlns:c16="http://schemas.microsoft.com/office/drawing/2014/chart" uri="{C3380CC4-5D6E-409C-BE32-E72D297353CC}">
                    <c16:uniqueId val="{00000006-371E-4C21-86DC-8053B77F878D}"/>
                  </c:ext>
                </c:extLst>
              </c15:ser>
            </c15:filteredBarSeries>
          </c:ext>
        </c:extLst>
      </c:barChart>
      <c:catAx>
        <c:axId val="106147794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2C307E"/>
                </a:solidFill>
                <a:latin typeface="+mn-lt"/>
                <a:ea typeface="+mn-ea"/>
                <a:cs typeface="+mn-cs"/>
              </a:defRPr>
            </a:pPr>
            <a:endParaRPr lang="nl-NL"/>
          </a:p>
        </c:txPr>
        <c:crossAx val="1061476504"/>
        <c:crosses val="autoZero"/>
        <c:auto val="1"/>
        <c:lblAlgn val="ctr"/>
        <c:lblOffset val="100"/>
        <c:noMultiLvlLbl val="0"/>
      </c:catAx>
      <c:valAx>
        <c:axId val="1061476504"/>
        <c:scaling>
          <c:orientation val="minMax"/>
          <c:max val="1"/>
        </c:scaling>
        <c:delete val="0"/>
        <c:axPos val="b"/>
        <c:majorGridlines>
          <c:spPr>
            <a:ln w="9525" cap="flat" cmpd="sng" algn="ctr">
              <a:solidFill>
                <a:srgbClr val="D9D9D9"/>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2C307E"/>
                </a:solidFill>
                <a:latin typeface="+mn-lt"/>
                <a:ea typeface="+mn-ea"/>
                <a:cs typeface="+mn-cs"/>
              </a:defRPr>
            </a:pPr>
            <a:endParaRPr lang="nl-NL"/>
          </a:p>
        </c:txPr>
        <c:crossAx val="1061477944"/>
        <c:crosses val="autoZero"/>
        <c:crossBetween val="between"/>
        <c:majorUnit val="0.2"/>
      </c:valAx>
      <c:spPr>
        <a:noFill/>
        <a:ln>
          <a:noFill/>
        </a:ln>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rgbClr val="2C307E"/>
              </a:solidFill>
              <a:latin typeface="+mn-lt"/>
              <a:ea typeface="+mn-ea"/>
              <a:cs typeface="+mn-cs"/>
            </a:defRPr>
          </a:pPr>
          <a:endParaRPr lang="nl-NL"/>
        </a:p>
      </c:txPr>
    </c:legend>
    <c:plotVisOnly val="1"/>
    <c:dispBlanksAs val="gap"/>
    <c:showDLblsOverMax val="0"/>
    <c:extLst/>
  </c:chart>
  <c:spPr>
    <a:noFill/>
    <a:ln>
      <a:noFill/>
    </a:ln>
  </c:spPr>
  <c:txPr>
    <a:bodyPr/>
    <a:lstStyle/>
    <a:p>
      <a:pPr>
        <a:defRPr/>
      </a:pPr>
      <a:endParaRPr lang="nl-NL"/>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100" b="0" i="0" u="none" strike="noStrike" kern="1200" spc="0" baseline="0">
                <a:solidFill>
                  <a:srgbClr val="2C307E"/>
                </a:solidFill>
                <a:latin typeface="+mn-lt"/>
                <a:ea typeface="+mn-ea"/>
                <a:cs typeface="+mn-cs"/>
              </a:defRPr>
            </a:pPr>
            <a:r>
              <a:rPr lang="en-US" sz="1100" b="0" i="0" u="none" strike="noStrike" kern="1200" spc="0" baseline="0">
                <a:solidFill>
                  <a:srgbClr val="2C307E"/>
                </a:solidFill>
              </a:rPr>
              <a:t>Laadmix naar parkeersituatie</a:t>
            </a:r>
          </a:p>
        </c:rich>
      </c:tx>
      <c:overlay val="0"/>
      <c:spPr>
        <a:noFill/>
        <a:ln>
          <a:noFill/>
        </a:ln>
        <a:effectLst/>
      </c:spPr>
    </c:title>
    <c:autoTitleDeleted val="0"/>
    <c:plotArea>
      <c:layout>
        <c:manualLayout>
          <c:layoutTarget val="inner"/>
          <c:xMode val="edge"/>
          <c:yMode val="edge"/>
          <c:x val="0.49728986356044336"/>
          <c:y val="0.11472203157172271"/>
          <c:w val="0.46732175007049737"/>
          <c:h val="0.52440057668847728"/>
        </c:manualLayout>
      </c:layout>
      <c:barChart>
        <c:barDir val="bar"/>
        <c:grouping val="stacked"/>
        <c:varyColors val="0"/>
        <c:ser>
          <c:idx val="0"/>
          <c:order val="0"/>
          <c:tx>
            <c:strRef>
              <c:f>'3.3 laadgedrag algemeen'!$C$21</c:f>
              <c:strCache>
                <c:ptCount val="1"/>
                <c:pt idx="0">
                  <c:v>Privé laadpaal thuis</c:v>
                </c:pt>
              </c:strCache>
            </c:strRef>
          </c:tx>
          <c:spPr>
            <a:solidFill>
              <a:srgbClr val="2C307E"/>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bg1"/>
                    </a:solidFill>
                    <a:latin typeface="+mn-lt"/>
                    <a:ea typeface="+mn-ea"/>
                    <a:cs typeface="+mn-cs"/>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'3.3 laadgedrag algemeen'!$D$20:$F$20</c:f>
              <c:strCache>
                <c:ptCount val="3"/>
                <c:pt idx="0">
                  <c:v>Woning met voldoende eigen grond om op eigen terrein te parkeren [N=2.446]</c:v>
                </c:pt>
                <c:pt idx="1">
                  <c:v>Woning met onvoldoende eigen grond, parkeren in openbare ruimte [N=864]</c:v>
                </c:pt>
                <c:pt idx="2">
                  <c:v>Woning met gezamenlijke parkeergelegenheid/parkeergarage (bijv. via VVE) [N=264]</c:v>
                </c:pt>
              </c:strCache>
            </c:strRef>
          </c:cat>
          <c:val>
            <c:numRef>
              <c:f>'3.3 laadgedrag algemeen'!$D$21:$F$21</c:f>
              <c:numCache>
                <c:formatCode>0%</c:formatCode>
                <c:ptCount val="3"/>
                <c:pt idx="0">
                  <c:v>0.71428863450531477</c:v>
                </c:pt>
                <c:pt idx="1">
                  <c:v>0.16358796296296296</c:v>
                </c:pt>
                <c:pt idx="2">
                  <c:v>0.23011363636363635</c:v>
                </c:pt>
              </c:numCache>
            </c:numRef>
          </c:val>
          <c:extLst>
            <c:ext xmlns:c16="http://schemas.microsoft.com/office/drawing/2014/chart" uri="{C3380CC4-5D6E-409C-BE32-E72D297353CC}">
              <c16:uniqueId val="{00000000-4506-4AAB-9941-636138C61372}"/>
            </c:ext>
          </c:extLst>
        </c:ser>
        <c:ser>
          <c:idx val="1"/>
          <c:order val="1"/>
          <c:tx>
            <c:strRef>
              <c:f>'3.3 laadgedrag algemeen'!$C$22</c:f>
              <c:strCache>
                <c:ptCount val="1"/>
                <c:pt idx="0">
                  <c:v>Stopcontact thuis</c:v>
                </c:pt>
              </c:strCache>
            </c:strRef>
          </c:tx>
          <c:spPr>
            <a:solidFill>
              <a:srgbClr val="08B466"/>
            </a:solidFill>
            <a:ln>
              <a:noFill/>
            </a:ln>
            <a:effectLst/>
          </c:spPr>
          <c:invertIfNegative val="0"/>
          <c:dLbls>
            <c:dLbl>
              <c:idx val="0"/>
              <c:layout>
                <c:manualLayout>
                  <c:x val="-4.4077134986225891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6C70-4926-A7F1-9CEF1C3F7316}"/>
                </c:ext>
              </c:extLst>
            </c:dLbl>
            <c:spPr>
              <a:noFill/>
              <a:ln>
                <a:noFill/>
              </a:ln>
              <a:effectLst/>
            </c:spPr>
            <c:txPr>
              <a:bodyPr wrap="square" lIns="38100" tIns="19050" rIns="38100" bIns="19050" anchor="ctr">
                <a:spAutoFit/>
              </a:bodyPr>
              <a:lstStyle/>
              <a:p>
                <a:pPr>
                  <a:defRPr sz="800" b="1">
                    <a:solidFill>
                      <a:schemeClr val="bg1"/>
                    </a:solidFill>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'3.3 laadgedrag algemeen'!$D$20:$F$20</c:f>
              <c:strCache>
                <c:ptCount val="3"/>
                <c:pt idx="0">
                  <c:v>Woning met voldoende eigen grond om op eigen terrein te parkeren [N=2.446]</c:v>
                </c:pt>
                <c:pt idx="1">
                  <c:v>Woning met onvoldoende eigen grond, parkeren in openbare ruimte [N=864]</c:v>
                </c:pt>
                <c:pt idx="2">
                  <c:v>Woning met gezamenlijke parkeergelegenheid/parkeergarage (bijv. via VVE) [N=264]</c:v>
                </c:pt>
              </c:strCache>
            </c:strRef>
          </c:cat>
          <c:val>
            <c:numRef>
              <c:f>'3.3 laadgedrag algemeen'!$D$22:$F$22</c:f>
              <c:numCache>
                <c:formatCode>0%</c:formatCode>
                <c:ptCount val="3"/>
                <c:pt idx="0">
                  <c:v>7.1156991005723633E-2</c:v>
                </c:pt>
                <c:pt idx="1">
                  <c:v>6.0891203703703704E-2</c:v>
                </c:pt>
                <c:pt idx="2">
                  <c:v>3.1439393939393941E-2</c:v>
                </c:pt>
              </c:numCache>
            </c:numRef>
          </c:val>
          <c:extLst>
            <c:ext xmlns:c16="http://schemas.microsoft.com/office/drawing/2014/chart" uri="{C3380CC4-5D6E-409C-BE32-E72D297353CC}">
              <c16:uniqueId val="{00000001-4506-4AAB-9941-636138C61372}"/>
            </c:ext>
          </c:extLst>
        </c:ser>
        <c:ser>
          <c:idx val="2"/>
          <c:order val="2"/>
          <c:tx>
            <c:strRef>
              <c:f>'3.3 laadgedrag algemeen'!$C$23</c:f>
              <c:strCache>
                <c:ptCount val="1"/>
                <c:pt idx="0">
                  <c:v>Openbare laadpaal in de buurt van je woning</c:v>
                </c:pt>
              </c:strCache>
            </c:strRef>
          </c:tx>
          <c:spPr>
            <a:solidFill>
              <a:srgbClr val="C9C743"/>
            </a:solidFill>
            <a:ln>
              <a:noFill/>
            </a:ln>
            <a:effectLst/>
          </c:spPr>
          <c:invertIfNegative val="0"/>
          <c:dLbls>
            <c:dLbl>
              <c:idx val="0"/>
              <c:layout>
                <c:manualLayout>
                  <c:x val="-2.2038567493112946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6C70-4926-A7F1-9CEF1C3F7316}"/>
                </c:ext>
              </c:extLst>
            </c:dLbl>
            <c:spPr>
              <a:noFill/>
              <a:ln>
                <a:noFill/>
              </a:ln>
              <a:effectLst/>
            </c:spPr>
            <c:txPr>
              <a:bodyPr wrap="square" lIns="38100" tIns="19050" rIns="38100" bIns="19050" anchor="ctr">
                <a:spAutoFit/>
              </a:bodyPr>
              <a:lstStyle/>
              <a:p>
                <a:pPr>
                  <a:defRPr sz="800" b="1">
                    <a:solidFill>
                      <a:schemeClr val="bg1"/>
                    </a:solidFill>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'3.3 laadgedrag algemeen'!$D$20:$F$20</c:f>
              <c:strCache>
                <c:ptCount val="3"/>
                <c:pt idx="0">
                  <c:v>Woning met voldoende eigen grond om op eigen terrein te parkeren [N=2.446]</c:v>
                </c:pt>
                <c:pt idx="1">
                  <c:v>Woning met onvoldoende eigen grond, parkeren in openbare ruimte [N=864]</c:v>
                </c:pt>
                <c:pt idx="2">
                  <c:v>Woning met gezamenlijke parkeergelegenheid/parkeergarage (bijv. via VVE) [N=264]</c:v>
                </c:pt>
              </c:strCache>
            </c:strRef>
          </c:cat>
          <c:val>
            <c:numRef>
              <c:f>'3.3 laadgedrag algemeen'!$D$23:$F$23</c:f>
              <c:numCache>
                <c:formatCode>0%</c:formatCode>
                <c:ptCount val="3"/>
                <c:pt idx="0">
                  <c:v>2.7457072771872447E-2</c:v>
                </c:pt>
                <c:pt idx="1">
                  <c:v>0.43200231481481483</c:v>
                </c:pt>
                <c:pt idx="2">
                  <c:v>0.34121212121212124</c:v>
                </c:pt>
              </c:numCache>
            </c:numRef>
          </c:val>
          <c:extLst>
            <c:ext xmlns:c16="http://schemas.microsoft.com/office/drawing/2014/chart" uri="{C3380CC4-5D6E-409C-BE32-E72D297353CC}">
              <c16:uniqueId val="{00000002-4506-4AAB-9941-636138C61372}"/>
            </c:ext>
          </c:extLst>
        </c:ser>
        <c:ser>
          <c:idx val="3"/>
          <c:order val="3"/>
          <c:tx>
            <c:strRef>
              <c:f>'3.3 laadgedrag algemeen'!$C$24</c:f>
              <c:strCache>
                <c:ptCount val="1"/>
                <c:pt idx="0">
                  <c:v>Openbare laadpaal elders</c:v>
                </c:pt>
              </c:strCache>
            </c:strRef>
          </c:tx>
          <c:spPr>
            <a:solidFill>
              <a:srgbClr val="BAD6ED"/>
            </a:solidFill>
            <a:ln>
              <a:noFill/>
            </a:ln>
            <a:effectLst/>
          </c:spPr>
          <c:invertIfNegative val="0"/>
          <c:dLbls>
            <c:dLbl>
              <c:idx val="0"/>
              <c:layout>
                <c:manualLayout>
                  <c:x val="4.4077134986225891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6C70-4926-A7F1-9CEF1C3F7316}"/>
                </c:ext>
              </c:extLst>
            </c:dLbl>
            <c:spPr>
              <a:noFill/>
              <a:ln>
                <a:noFill/>
              </a:ln>
              <a:effectLst/>
            </c:spPr>
            <c:txPr>
              <a:bodyPr wrap="square" lIns="38100" tIns="19050" rIns="38100" bIns="19050" anchor="ctr">
                <a:spAutoFit/>
              </a:bodyPr>
              <a:lstStyle/>
              <a:p>
                <a:pPr>
                  <a:defRPr sz="800" b="1"/>
                </a:pPr>
                <a:endParaRPr lang="nl-N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'3.3 laadgedrag algemeen'!$D$20:$F$20</c:f>
              <c:strCache>
                <c:ptCount val="3"/>
                <c:pt idx="0">
                  <c:v>Woning met voldoende eigen grond om op eigen terrein te parkeren [N=2.446]</c:v>
                </c:pt>
                <c:pt idx="1">
                  <c:v>Woning met onvoldoende eigen grond, parkeren in openbare ruimte [N=864]</c:v>
                </c:pt>
                <c:pt idx="2">
                  <c:v>Woning met gezamenlijke parkeergelegenheid/parkeergarage (bijv. via VVE) [N=264]</c:v>
                </c:pt>
              </c:strCache>
            </c:strRef>
          </c:cat>
          <c:val>
            <c:numRef>
              <c:f>'3.3 laadgedrag algemeen'!$D$24:$F$24</c:f>
              <c:numCache>
                <c:formatCode>0%</c:formatCode>
                <c:ptCount val="3"/>
                <c:pt idx="0">
                  <c:v>3.3614063777596077E-2</c:v>
                </c:pt>
                <c:pt idx="1">
                  <c:v>6.8807870370370366E-2</c:v>
                </c:pt>
                <c:pt idx="2">
                  <c:v>0.10299242424242423</c:v>
                </c:pt>
              </c:numCache>
            </c:numRef>
          </c:val>
          <c:extLst>
            <c:ext xmlns:c16="http://schemas.microsoft.com/office/drawing/2014/chart" uri="{C3380CC4-5D6E-409C-BE32-E72D297353CC}">
              <c16:uniqueId val="{00000003-4506-4AAB-9941-636138C61372}"/>
            </c:ext>
          </c:extLst>
        </c:ser>
        <c:ser>
          <c:idx val="4"/>
          <c:order val="4"/>
          <c:tx>
            <c:strRef>
              <c:f>'3.3 laadgedrag algemeen'!$C$25</c:f>
              <c:strCache>
                <c:ptCount val="1"/>
                <c:pt idx="0">
                  <c:v>Laadpaal op het werk</c:v>
                </c:pt>
              </c:strCache>
            </c:strRef>
          </c:tx>
          <c:spPr>
            <a:solidFill>
              <a:srgbClr val="4EAFAA"/>
            </a:solidFill>
            <a:ln>
              <a:noFill/>
            </a:ln>
            <a:effectLst/>
          </c:spPr>
          <c:invertIfNegative val="0"/>
          <c:dLbls>
            <c:dLbl>
              <c:idx val="0"/>
              <c:layout>
                <c:manualLayout>
                  <c:x val="2.2038567493112946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6C70-4926-A7F1-9CEF1C3F7316}"/>
                </c:ext>
              </c:extLst>
            </c:dLbl>
            <c:spPr>
              <a:noFill/>
              <a:ln>
                <a:noFill/>
              </a:ln>
              <a:effectLst/>
            </c:spPr>
            <c:txPr>
              <a:bodyPr wrap="square" lIns="38100" tIns="19050" rIns="38100" bIns="19050" anchor="ctr">
                <a:spAutoFit/>
              </a:bodyPr>
              <a:lstStyle/>
              <a:p>
                <a:pPr>
                  <a:defRPr sz="800" b="1">
                    <a:solidFill>
                      <a:schemeClr val="bg1"/>
                    </a:solidFill>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'3.3 laadgedrag algemeen'!$D$20:$F$20</c:f>
              <c:strCache>
                <c:ptCount val="3"/>
                <c:pt idx="0">
                  <c:v>Woning met voldoende eigen grond om op eigen terrein te parkeren [N=2.446]</c:v>
                </c:pt>
                <c:pt idx="1">
                  <c:v>Woning met onvoldoende eigen grond, parkeren in openbare ruimte [N=864]</c:v>
                </c:pt>
                <c:pt idx="2">
                  <c:v>Woning met gezamenlijke parkeergelegenheid/parkeergarage (bijv. via VVE) [N=264]</c:v>
                </c:pt>
              </c:strCache>
            </c:strRef>
          </c:cat>
          <c:val>
            <c:numRef>
              <c:f>'3.3 laadgedrag algemeen'!$D$25:$F$25</c:f>
              <c:numCache>
                <c:formatCode>0%</c:formatCode>
                <c:ptCount val="3"/>
                <c:pt idx="0">
                  <c:v>7.8338103025347508E-2</c:v>
                </c:pt>
                <c:pt idx="1">
                  <c:v>0.1567824074074074</c:v>
                </c:pt>
                <c:pt idx="2">
                  <c:v>0.12670454545454546</c:v>
                </c:pt>
              </c:numCache>
            </c:numRef>
          </c:val>
          <c:extLst>
            <c:ext xmlns:c16="http://schemas.microsoft.com/office/drawing/2014/chart" uri="{C3380CC4-5D6E-409C-BE32-E72D297353CC}">
              <c16:uniqueId val="{00000004-4506-4AAB-9941-636138C61372}"/>
            </c:ext>
          </c:extLst>
        </c:ser>
        <c:ser>
          <c:idx val="5"/>
          <c:order val="5"/>
          <c:tx>
            <c:strRef>
              <c:f>'3.3 laadgedrag algemeen'!$C$26</c:f>
              <c:strCache>
                <c:ptCount val="1"/>
                <c:pt idx="0">
                  <c:v>Snellader (≥50kW) </c:v>
                </c:pt>
              </c:strCache>
            </c:strRef>
          </c:tx>
          <c:spPr>
            <a:solidFill>
              <a:srgbClr val="696969"/>
            </a:solidFill>
            <a:ln>
              <a:noFill/>
            </a:ln>
            <a:effectLst/>
          </c:spPr>
          <c:invertIfNegative val="0"/>
          <c:dLbls>
            <c:spPr>
              <a:noFill/>
              <a:ln>
                <a:noFill/>
              </a:ln>
              <a:effectLst/>
            </c:spPr>
            <c:txPr>
              <a:bodyPr wrap="square" lIns="38100" tIns="19050" rIns="38100" bIns="19050" anchor="ctr">
                <a:spAutoFit/>
              </a:bodyPr>
              <a:lstStyle/>
              <a:p>
                <a:pPr>
                  <a:defRPr sz="800" b="1">
                    <a:solidFill>
                      <a:schemeClr val="bg1"/>
                    </a:solidFill>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'3.3 laadgedrag algemeen'!$D$20:$F$20</c:f>
              <c:strCache>
                <c:ptCount val="3"/>
                <c:pt idx="0">
                  <c:v>Woning met voldoende eigen grond om op eigen terrein te parkeren [N=2.446]</c:v>
                </c:pt>
                <c:pt idx="1">
                  <c:v>Woning met onvoldoende eigen grond, parkeren in openbare ruimte [N=864]</c:v>
                </c:pt>
                <c:pt idx="2">
                  <c:v>Woning met gezamenlijke parkeergelegenheid/parkeergarage (bijv. via VVE) [N=264]</c:v>
                </c:pt>
              </c:strCache>
            </c:strRef>
          </c:cat>
          <c:val>
            <c:numRef>
              <c:f>'3.3 laadgedrag algemeen'!$D$26:$F$26</c:f>
              <c:numCache>
                <c:formatCode>0%</c:formatCode>
                <c:ptCount val="3"/>
                <c:pt idx="0">
                  <c:v>7.5145134914145539E-2</c:v>
                </c:pt>
                <c:pt idx="1">
                  <c:v>0.11792824074074075</c:v>
                </c:pt>
                <c:pt idx="2">
                  <c:v>0.16753787878787879</c:v>
                </c:pt>
              </c:numCache>
            </c:numRef>
          </c:val>
          <c:extLst>
            <c:ext xmlns:c16="http://schemas.microsoft.com/office/drawing/2014/chart" uri="{C3380CC4-5D6E-409C-BE32-E72D297353CC}">
              <c16:uniqueId val="{00000005-4506-4AAB-9941-636138C61372}"/>
            </c:ext>
          </c:extLst>
        </c:ser>
        <c:dLbls>
          <c:showLegendKey val="0"/>
          <c:showVal val="0"/>
          <c:showCatName val="0"/>
          <c:showSerName val="0"/>
          <c:showPercent val="0"/>
          <c:showBubbleSize val="0"/>
        </c:dLbls>
        <c:gapWidth val="150"/>
        <c:overlap val="100"/>
        <c:axId val="1061477944"/>
        <c:axId val="1061476504"/>
      </c:barChart>
      <c:catAx>
        <c:axId val="106147794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2C307E"/>
                </a:solidFill>
                <a:latin typeface="+mn-lt"/>
                <a:ea typeface="+mn-ea"/>
                <a:cs typeface="+mn-cs"/>
              </a:defRPr>
            </a:pPr>
            <a:endParaRPr lang="nl-NL"/>
          </a:p>
        </c:txPr>
        <c:crossAx val="1061476504"/>
        <c:crosses val="autoZero"/>
        <c:auto val="1"/>
        <c:lblAlgn val="ctr"/>
        <c:lblOffset val="100"/>
        <c:noMultiLvlLbl val="0"/>
      </c:catAx>
      <c:valAx>
        <c:axId val="1061476504"/>
        <c:scaling>
          <c:orientation val="minMax"/>
          <c:max val="1"/>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2C307E"/>
                </a:solidFill>
                <a:latin typeface="+mn-lt"/>
                <a:ea typeface="+mn-ea"/>
                <a:cs typeface="+mn-cs"/>
              </a:defRPr>
            </a:pPr>
            <a:endParaRPr lang="nl-NL"/>
          </a:p>
        </c:txPr>
        <c:crossAx val="1061477944"/>
        <c:crosses val="autoZero"/>
        <c:crossBetween val="between"/>
        <c:majorUnit val="0.25"/>
      </c:valAx>
      <c:spPr>
        <a:noFill/>
        <a:ln>
          <a:noFill/>
        </a:ln>
      </c:spPr>
    </c:plotArea>
    <c:legend>
      <c:legendPos val="b"/>
      <c:layout>
        <c:manualLayout>
          <c:xMode val="edge"/>
          <c:yMode val="edge"/>
          <c:x val="0.11531185874492961"/>
          <c:y val="0.74119551957413776"/>
          <c:w val="0.83108409795882954"/>
          <c:h val="0.23063546634135521"/>
        </c:manualLayout>
      </c:layout>
      <c:overlay val="0"/>
      <c:spPr>
        <a:noFill/>
        <a:ln>
          <a:noFill/>
        </a:ln>
        <a:effectLst/>
      </c:spPr>
      <c:txPr>
        <a:bodyPr rot="0" spcFirstLastPara="1" vertOverflow="ellipsis" vert="horz" wrap="square" anchor="ctr" anchorCtr="1"/>
        <a:lstStyle/>
        <a:p>
          <a:pPr>
            <a:defRPr sz="900" b="0" i="0" u="none" strike="noStrike" kern="1200" baseline="0">
              <a:solidFill>
                <a:srgbClr val="2C307E"/>
              </a:solidFill>
              <a:latin typeface="+mn-lt"/>
              <a:ea typeface="+mn-ea"/>
              <a:cs typeface="+mn-cs"/>
            </a:defRPr>
          </a:pPr>
          <a:endParaRPr lang="nl-NL"/>
        </a:p>
      </c:txPr>
    </c:legend>
    <c:plotVisOnly val="1"/>
    <c:dispBlanksAs val="gap"/>
    <c:showDLblsOverMax val="0"/>
    <c:extLst/>
  </c:chart>
  <c:spPr>
    <a:noFill/>
    <a:ln>
      <a:noFill/>
    </a:ln>
  </c:spPr>
  <c:txPr>
    <a:bodyPr/>
    <a:lstStyle/>
    <a:p>
      <a:pPr>
        <a:defRPr/>
      </a:pPr>
      <a:endParaRPr lang="nl-NL"/>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b="0">
                <a:solidFill>
                  <a:srgbClr val="2C307E"/>
                </a:solidFill>
              </a:defRPr>
            </a:pPr>
            <a:r>
              <a:rPr lang="nl-NL" sz="1100" b="0">
                <a:solidFill>
                  <a:srgbClr val="2C307E"/>
                </a:solidFill>
              </a:rPr>
              <a:t>Leeftijdsverdeling</a:t>
            </a:r>
          </a:p>
        </c:rich>
      </c:tx>
      <c:overlay val="0"/>
    </c:title>
    <c:autoTitleDeleted val="0"/>
    <c:plotArea>
      <c:layout/>
      <c:barChart>
        <c:barDir val="col"/>
        <c:grouping val="clustered"/>
        <c:varyColors val="0"/>
        <c:ser>
          <c:idx val="0"/>
          <c:order val="0"/>
          <c:tx>
            <c:strRef>
              <c:f>'leeftijd '!$K$6</c:f>
              <c:strCache>
                <c:ptCount val="1"/>
                <c:pt idx="0">
                  <c:v>CBS (wie rijdt elektrisch? - update 1-1-2025)</c:v>
                </c:pt>
              </c:strCache>
            </c:strRef>
          </c:tx>
          <c:spPr>
            <a:solidFill>
              <a:srgbClr val="2C307E"/>
            </a:solidFill>
            <a:ln>
              <a:noFill/>
            </a:ln>
            <a:effectLst/>
          </c:spPr>
          <c:invertIfNegative val="0"/>
          <c:dLbls>
            <c:dLbl>
              <c:idx val="2"/>
              <c:layout>
                <c:manualLayout>
                  <c:x val="-4.7824007651841227E-3"/>
                  <c:y val="6.835269993164729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1A8-475A-B0AD-A6A303B98831}"/>
                </c:ext>
              </c:extLst>
            </c:dLbl>
            <c:dLbl>
              <c:idx val="3"/>
              <c:layout>
                <c:manualLayout>
                  <c:x val="-9.5648015303683321E-3"/>
                  <c:y val="1.36705399863294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1A8-475A-B0AD-A6A303B98831}"/>
                </c:ext>
              </c:extLst>
            </c:dLbl>
            <c:dLbl>
              <c:idx val="4"/>
              <c:layout>
                <c:manualLayout>
                  <c:x val="-9.5648015303682454E-3"/>
                  <c:y val="2.734107997265888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1A8-475A-B0AD-A6A303B98831}"/>
                </c:ext>
              </c:extLst>
            </c:dLbl>
            <c:spPr>
              <a:noFill/>
              <a:ln>
                <a:noFill/>
              </a:ln>
              <a:effectLst/>
            </c:spPr>
            <c:txPr>
              <a:bodyPr wrap="square" lIns="38100" tIns="19050" rIns="38100" bIns="19050" anchor="ctr">
                <a:spAutoFit/>
              </a:bodyPr>
              <a:lstStyle/>
              <a:p>
                <a:pPr>
                  <a:defRPr sz="800">
                    <a:solidFill>
                      <a:srgbClr val="2C307E"/>
                    </a:solidFill>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'leeftijd '!$J$7:$J$11</c:f>
              <c:strCache>
                <c:ptCount val="5"/>
                <c:pt idx="0">
                  <c:v>≤30</c:v>
                </c:pt>
                <c:pt idx="1">
                  <c:v>31-40</c:v>
                </c:pt>
                <c:pt idx="2">
                  <c:v>41-50</c:v>
                </c:pt>
                <c:pt idx="3">
                  <c:v>51-60</c:v>
                </c:pt>
                <c:pt idx="4">
                  <c:v>&gt;60</c:v>
                </c:pt>
              </c:strCache>
            </c:strRef>
          </c:cat>
          <c:val>
            <c:numRef>
              <c:f>'leeftijd '!$K$7:$K$11</c:f>
              <c:numCache>
                <c:formatCode>0%</c:formatCode>
                <c:ptCount val="5"/>
                <c:pt idx="0">
                  <c:v>5.2999999999999999E-2</c:v>
                </c:pt>
                <c:pt idx="1">
                  <c:v>0.159</c:v>
                </c:pt>
                <c:pt idx="2">
                  <c:v>0.20699999999999999</c:v>
                </c:pt>
                <c:pt idx="3">
                  <c:v>0.26100000000000001</c:v>
                </c:pt>
                <c:pt idx="4">
                  <c:v>0.318</c:v>
                </c:pt>
              </c:numCache>
            </c:numRef>
          </c:val>
          <c:extLst>
            <c:ext xmlns:c16="http://schemas.microsoft.com/office/drawing/2014/chart" uri="{C3380CC4-5D6E-409C-BE32-E72D297353CC}">
              <c16:uniqueId val="{00000000-9599-450E-AC19-2215B5DFF896}"/>
            </c:ext>
          </c:extLst>
        </c:ser>
        <c:ser>
          <c:idx val="1"/>
          <c:order val="1"/>
          <c:tx>
            <c:strRef>
              <c:f>'leeftijd '!$L$6</c:f>
              <c:strCache>
                <c:ptCount val="1"/>
                <c:pt idx="0">
                  <c:v>Laadonderzoek</c:v>
                </c:pt>
              </c:strCache>
            </c:strRef>
          </c:tx>
          <c:spPr>
            <a:solidFill>
              <a:srgbClr val="08B466"/>
            </a:solidFill>
          </c:spPr>
          <c:invertIfNegative val="0"/>
          <c:dLbls>
            <c:dLbl>
              <c:idx val="0"/>
              <c:layout>
                <c:manualLayout>
                  <c:x val="9.5648015303682454E-3"/>
                  <c:y val="6.835269993164667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1A8-475A-B0AD-A6A303B98831}"/>
                </c:ext>
              </c:extLst>
            </c:dLbl>
            <c:dLbl>
              <c:idx val="1"/>
              <c:layout>
                <c:manualLayout>
                  <c:x val="4.782400765184166E-3"/>
                  <c:y val="1.367053998632939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1A8-475A-B0AD-A6A303B98831}"/>
                </c:ext>
              </c:extLst>
            </c:dLbl>
            <c:dLbl>
              <c:idx val="2"/>
              <c:layout>
                <c:manualLayout>
                  <c:x val="1.9129603060736491E-2"/>
                  <c:y val="3.41763499658236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1A8-475A-B0AD-A6A303B98831}"/>
                </c:ext>
              </c:extLst>
            </c:dLbl>
            <c:spPr>
              <a:noFill/>
              <a:ln>
                <a:noFill/>
              </a:ln>
              <a:effectLst/>
            </c:spPr>
            <c:txPr>
              <a:bodyPr wrap="square" lIns="38100" tIns="19050" rIns="38100" bIns="19050" anchor="ctr">
                <a:spAutoFit/>
              </a:bodyPr>
              <a:lstStyle/>
              <a:p>
                <a:pPr>
                  <a:defRPr sz="800">
                    <a:solidFill>
                      <a:srgbClr val="2C307E"/>
                    </a:solidFill>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'leeftijd '!$J$7:$J$11</c:f>
              <c:strCache>
                <c:ptCount val="5"/>
                <c:pt idx="0">
                  <c:v>≤30</c:v>
                </c:pt>
                <c:pt idx="1">
                  <c:v>31-40</c:v>
                </c:pt>
                <c:pt idx="2">
                  <c:v>41-50</c:v>
                </c:pt>
                <c:pt idx="3">
                  <c:v>51-60</c:v>
                </c:pt>
                <c:pt idx="4">
                  <c:v>&gt;60</c:v>
                </c:pt>
              </c:strCache>
            </c:strRef>
          </c:cat>
          <c:val>
            <c:numRef>
              <c:f>'leeftijd '!$L$7:$L$11</c:f>
              <c:numCache>
                <c:formatCode>0%</c:formatCode>
                <c:ptCount val="5"/>
                <c:pt idx="0">
                  <c:v>3.1061022539857066E-2</c:v>
                </c:pt>
                <c:pt idx="1">
                  <c:v>0.12616822429906541</c:v>
                </c:pt>
                <c:pt idx="2">
                  <c:v>0.19241341396371636</c:v>
                </c:pt>
                <c:pt idx="3">
                  <c:v>0.31088510170423311</c:v>
                </c:pt>
                <c:pt idx="4">
                  <c:v>0.33947223749312833</c:v>
                </c:pt>
              </c:numCache>
            </c:numRef>
          </c:val>
          <c:extLst>
            <c:ext xmlns:c16="http://schemas.microsoft.com/office/drawing/2014/chart" uri="{C3380CC4-5D6E-409C-BE32-E72D297353CC}">
              <c16:uniqueId val="{00000001-9599-450E-AC19-2215B5DFF896}"/>
            </c:ext>
          </c:extLst>
        </c:ser>
        <c:dLbls>
          <c:showLegendKey val="0"/>
          <c:showVal val="0"/>
          <c:showCatName val="0"/>
          <c:showSerName val="0"/>
          <c:showPercent val="0"/>
          <c:showBubbleSize val="0"/>
        </c:dLbls>
        <c:gapWidth val="219"/>
        <c:overlap val="-27"/>
        <c:axId val="488549280"/>
        <c:axId val="488558136"/>
      </c:barChart>
      <c:catAx>
        <c:axId val="4885492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900" b="0" i="0" u="none" strike="noStrike" kern="1200" baseline="0">
                <a:solidFill>
                  <a:srgbClr val="2C307E"/>
                </a:solidFill>
                <a:latin typeface="+mn-lt"/>
                <a:ea typeface="+mn-ea"/>
                <a:cs typeface="+mn-cs"/>
              </a:defRPr>
            </a:pPr>
            <a:endParaRPr lang="nl-NL"/>
          </a:p>
        </c:txPr>
        <c:crossAx val="488558136"/>
        <c:crosses val="autoZero"/>
        <c:auto val="1"/>
        <c:lblAlgn val="ctr"/>
        <c:lblOffset val="100"/>
        <c:noMultiLvlLbl val="0"/>
      </c:catAx>
      <c:valAx>
        <c:axId val="488558136"/>
        <c:scaling>
          <c:orientation val="minMax"/>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2C307E"/>
                </a:solidFill>
                <a:latin typeface="+mn-lt"/>
                <a:ea typeface="+mn-ea"/>
                <a:cs typeface="+mn-cs"/>
              </a:defRPr>
            </a:pPr>
            <a:endParaRPr lang="nl-NL"/>
          </a:p>
        </c:txPr>
        <c:crossAx val="488549280"/>
        <c:crosses val="autoZero"/>
        <c:crossBetween val="between"/>
      </c:valAx>
      <c:spPr>
        <a:noFill/>
        <a:ln>
          <a:noFill/>
        </a:ln>
      </c:spPr>
    </c:plotArea>
    <c:legend>
      <c:legendPos val="b"/>
      <c:overlay val="0"/>
      <c:txPr>
        <a:bodyPr/>
        <a:lstStyle/>
        <a:p>
          <a:pPr>
            <a:defRPr sz="900">
              <a:solidFill>
                <a:srgbClr val="2C307E"/>
              </a:solidFill>
            </a:defRPr>
          </a:pPr>
          <a:endParaRPr lang="nl-NL"/>
        </a:p>
      </c:txPr>
    </c:legend>
    <c:plotVisOnly val="1"/>
    <c:dispBlanksAs val="gap"/>
    <c:showDLblsOverMax val="0"/>
    <c:extLst/>
  </c:chart>
  <c:spPr>
    <a:noFill/>
    <a:ln w="9525" cap="flat" cmpd="sng" algn="ctr">
      <a:noFill/>
      <a:round/>
    </a:ln>
    <a:effectLst/>
  </c:spPr>
  <c:txPr>
    <a:bodyPr/>
    <a:lstStyle/>
    <a:p>
      <a:pPr>
        <a:defRPr/>
      </a:pPr>
      <a:endParaRPr lang="nl-NL"/>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100" b="0" i="0" u="none" strike="noStrike" kern="1200" spc="0" baseline="0">
                <a:solidFill>
                  <a:srgbClr val="2C307E"/>
                </a:solidFill>
                <a:latin typeface="+mn-lt"/>
                <a:ea typeface="+mn-ea"/>
                <a:cs typeface="+mn-cs"/>
              </a:defRPr>
            </a:pPr>
            <a:r>
              <a:rPr lang="en-US" sz="1100" b="0" i="0" u="none" strike="noStrike" kern="1200" spc="0" baseline="0">
                <a:solidFill>
                  <a:srgbClr val="2C307E"/>
                </a:solidFill>
              </a:rPr>
              <a:t>Laadmix naar constructie</a:t>
            </a:r>
          </a:p>
        </c:rich>
      </c:tx>
      <c:overlay val="0"/>
      <c:spPr>
        <a:noFill/>
        <a:ln>
          <a:noFill/>
        </a:ln>
        <a:effectLst/>
      </c:spPr>
    </c:title>
    <c:autoTitleDeleted val="0"/>
    <c:plotArea>
      <c:layout>
        <c:manualLayout>
          <c:layoutTarget val="inner"/>
          <c:xMode val="edge"/>
          <c:yMode val="edge"/>
          <c:x val="0.27346339558794819"/>
          <c:y val="0.14128440366972478"/>
          <c:w val="0.69114821804299253"/>
          <c:h val="0.49778030453774508"/>
        </c:manualLayout>
      </c:layout>
      <c:barChart>
        <c:barDir val="bar"/>
        <c:grouping val="stacked"/>
        <c:varyColors val="0"/>
        <c:ser>
          <c:idx val="0"/>
          <c:order val="0"/>
          <c:tx>
            <c:strRef>
              <c:f>'3.3 laadgedrag algemeen'!$C$12</c:f>
              <c:strCache>
                <c:ptCount val="1"/>
                <c:pt idx="0">
                  <c:v>Privé laadpaal thuis</c:v>
                </c:pt>
              </c:strCache>
            </c:strRef>
          </c:tx>
          <c:spPr>
            <a:solidFill>
              <a:srgbClr val="2C307E"/>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bg1"/>
                    </a:solidFill>
                    <a:latin typeface="+mn-lt"/>
                    <a:ea typeface="+mn-ea"/>
                    <a:cs typeface="+mn-cs"/>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'3.3 laadgedrag algemeen'!$D$11:$H$11</c:f>
              <c:strCache>
                <c:ptCount val="5"/>
                <c:pt idx="0">
                  <c:v>Privé koop</c:v>
                </c:pt>
                <c:pt idx="1">
                  <c:v>Private lease</c:v>
                </c:pt>
                <c:pt idx="2">
                  <c:v>Zakelijk koop</c:v>
                </c:pt>
                <c:pt idx="3">
                  <c:v>Zakelijk lease als zzp'er of DGA</c:v>
                </c:pt>
                <c:pt idx="4">
                  <c:v>Zakelijk lease als werknemer</c:v>
                </c:pt>
              </c:strCache>
            </c:strRef>
          </c:cat>
          <c:val>
            <c:numRef>
              <c:f>'3.3 laadgedrag algemeen'!$D$12:$H$12</c:f>
              <c:numCache>
                <c:formatCode>0%</c:formatCode>
                <c:ptCount val="5"/>
                <c:pt idx="0">
                  <c:v>0.58604950495049513</c:v>
                </c:pt>
                <c:pt idx="1">
                  <c:v>0.5044723618090452</c:v>
                </c:pt>
                <c:pt idx="2">
                  <c:v>0.61531986531986538</c:v>
                </c:pt>
                <c:pt idx="3">
                  <c:v>0.53768707482993205</c:v>
                </c:pt>
                <c:pt idx="4">
                  <c:v>0.43584146341463414</c:v>
                </c:pt>
              </c:numCache>
            </c:numRef>
          </c:val>
          <c:extLst>
            <c:ext xmlns:c16="http://schemas.microsoft.com/office/drawing/2014/chart" uri="{C3380CC4-5D6E-409C-BE32-E72D297353CC}">
              <c16:uniqueId val="{00000000-F99B-45E8-8F8F-D48971548ED7}"/>
            </c:ext>
          </c:extLst>
        </c:ser>
        <c:ser>
          <c:idx val="1"/>
          <c:order val="1"/>
          <c:tx>
            <c:strRef>
              <c:f>'3.3 laadgedrag algemeen'!$C$13</c:f>
              <c:strCache>
                <c:ptCount val="1"/>
                <c:pt idx="0">
                  <c:v>Stopcontact thuis</c:v>
                </c:pt>
              </c:strCache>
            </c:strRef>
          </c:tx>
          <c:spPr>
            <a:solidFill>
              <a:srgbClr val="08B466"/>
            </a:solidFill>
            <a:ln>
              <a:noFill/>
            </a:ln>
            <a:effectLst/>
          </c:spPr>
          <c:invertIfNegative val="0"/>
          <c:dLbls>
            <c:spPr>
              <a:noFill/>
              <a:ln>
                <a:noFill/>
              </a:ln>
              <a:effectLst/>
            </c:spPr>
            <c:txPr>
              <a:bodyPr wrap="square" lIns="38100" tIns="19050" rIns="38100" bIns="19050" anchor="ctr">
                <a:spAutoFit/>
              </a:bodyPr>
              <a:lstStyle/>
              <a:p>
                <a:pPr>
                  <a:defRPr sz="800" b="1">
                    <a:solidFill>
                      <a:schemeClr val="bg1"/>
                    </a:solidFill>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'3.3 laadgedrag algemeen'!$D$11:$H$11</c:f>
              <c:strCache>
                <c:ptCount val="5"/>
                <c:pt idx="0">
                  <c:v>Privé koop</c:v>
                </c:pt>
                <c:pt idx="1">
                  <c:v>Private lease</c:v>
                </c:pt>
                <c:pt idx="2">
                  <c:v>Zakelijk koop</c:v>
                </c:pt>
                <c:pt idx="3">
                  <c:v>Zakelijk lease als zzp'er of DGA</c:v>
                </c:pt>
                <c:pt idx="4">
                  <c:v>Zakelijk lease als werknemer</c:v>
                </c:pt>
              </c:strCache>
            </c:strRef>
          </c:cat>
          <c:val>
            <c:numRef>
              <c:f>'3.3 laadgedrag algemeen'!$D$13:$H$13</c:f>
              <c:numCache>
                <c:formatCode>0%</c:formatCode>
                <c:ptCount val="5"/>
                <c:pt idx="0">
                  <c:v>0.1008960396039604</c:v>
                </c:pt>
                <c:pt idx="1">
                  <c:v>7.6683417085427127E-2</c:v>
                </c:pt>
                <c:pt idx="2">
                  <c:v>2.8013468013468015E-2</c:v>
                </c:pt>
                <c:pt idx="3">
                  <c:v>2.4353741496598639E-2</c:v>
                </c:pt>
                <c:pt idx="4">
                  <c:v>4.1097560975609758E-3</c:v>
                </c:pt>
              </c:numCache>
            </c:numRef>
          </c:val>
          <c:extLst>
            <c:ext xmlns:c16="http://schemas.microsoft.com/office/drawing/2014/chart" uri="{C3380CC4-5D6E-409C-BE32-E72D297353CC}">
              <c16:uniqueId val="{00000005-F99B-45E8-8F8F-D48971548ED7}"/>
            </c:ext>
          </c:extLst>
        </c:ser>
        <c:ser>
          <c:idx val="2"/>
          <c:order val="2"/>
          <c:tx>
            <c:strRef>
              <c:f>'3.3 laadgedrag algemeen'!$C$14</c:f>
              <c:strCache>
                <c:ptCount val="1"/>
                <c:pt idx="0">
                  <c:v>Openbare laadpaal in de buurt van je woning</c:v>
                </c:pt>
              </c:strCache>
            </c:strRef>
          </c:tx>
          <c:spPr>
            <a:solidFill>
              <a:srgbClr val="C9C743"/>
            </a:solidFill>
            <a:ln>
              <a:noFill/>
            </a:ln>
            <a:effectLst/>
          </c:spPr>
          <c:invertIfNegative val="0"/>
          <c:dLbls>
            <c:dLbl>
              <c:idx val="2"/>
              <c:layout>
                <c:manualLayout>
                  <c:x val="1.4347202295552192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F99B-45E8-8F8F-D48971548ED7}"/>
                </c:ext>
              </c:extLst>
            </c:dLbl>
            <c:dLbl>
              <c:idx val="4"/>
              <c:layout>
                <c:manualLayout>
                  <c:x val="-9.5648015303682454E-3"/>
                  <c:y val="-1.8688197296176137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F99B-45E8-8F8F-D48971548ED7}"/>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bg1"/>
                    </a:solidFill>
                    <a:latin typeface="+mn-lt"/>
                    <a:ea typeface="+mn-ea"/>
                    <a:cs typeface="+mn-cs"/>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'3.3 laadgedrag algemeen'!$D$11:$H$11</c:f>
              <c:strCache>
                <c:ptCount val="5"/>
                <c:pt idx="0">
                  <c:v>Privé koop</c:v>
                </c:pt>
                <c:pt idx="1">
                  <c:v>Private lease</c:v>
                </c:pt>
                <c:pt idx="2">
                  <c:v>Zakelijk koop</c:v>
                </c:pt>
                <c:pt idx="3">
                  <c:v>Zakelijk lease als zzp'er of DGA</c:v>
                </c:pt>
                <c:pt idx="4">
                  <c:v>Zakelijk lease als werknemer</c:v>
                </c:pt>
              </c:strCache>
            </c:strRef>
          </c:cat>
          <c:val>
            <c:numRef>
              <c:f>'3.3 laadgedrag algemeen'!$D$14:$H$14</c:f>
              <c:numCache>
                <c:formatCode>0%</c:formatCode>
                <c:ptCount val="5"/>
                <c:pt idx="0">
                  <c:v>0.12842574257425743</c:v>
                </c:pt>
                <c:pt idx="1">
                  <c:v>0.16894472361809043</c:v>
                </c:pt>
                <c:pt idx="2">
                  <c:v>0.11138047138047139</c:v>
                </c:pt>
                <c:pt idx="3">
                  <c:v>0.1820408163265306</c:v>
                </c:pt>
                <c:pt idx="4">
                  <c:v>0.19737804878048781</c:v>
                </c:pt>
              </c:numCache>
            </c:numRef>
          </c:val>
          <c:extLst>
            <c:ext xmlns:c16="http://schemas.microsoft.com/office/drawing/2014/chart" uri="{C3380CC4-5D6E-409C-BE32-E72D297353CC}">
              <c16:uniqueId val="{00000008-F99B-45E8-8F8F-D48971548ED7}"/>
            </c:ext>
          </c:extLst>
        </c:ser>
        <c:ser>
          <c:idx val="3"/>
          <c:order val="3"/>
          <c:tx>
            <c:strRef>
              <c:f>'3.3 laadgedrag algemeen'!$C$15</c:f>
              <c:strCache>
                <c:ptCount val="1"/>
                <c:pt idx="0">
                  <c:v>Openbare laadpaal elders</c:v>
                </c:pt>
              </c:strCache>
            </c:strRef>
          </c:tx>
          <c:spPr>
            <a:solidFill>
              <a:srgbClr val="BAD6ED"/>
            </a:solidFill>
            <a:ln>
              <a:noFill/>
            </a:ln>
            <a:effectLst/>
          </c:spPr>
          <c:invertIfNegative val="0"/>
          <c:dLbls>
            <c:spPr>
              <a:noFill/>
              <a:ln>
                <a:noFill/>
              </a:ln>
              <a:effectLst/>
            </c:spPr>
            <c:txPr>
              <a:bodyPr wrap="square" lIns="38100" tIns="19050" rIns="38100" bIns="19050" anchor="ctr">
                <a:spAutoFit/>
              </a:bodyPr>
              <a:lstStyle/>
              <a:p>
                <a:pPr>
                  <a:defRPr sz="800" b="1"/>
                </a:pPr>
                <a:endParaRPr lang="nl-N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'3.3 laadgedrag algemeen'!$D$11:$H$11</c:f>
              <c:strCache>
                <c:ptCount val="5"/>
                <c:pt idx="0">
                  <c:v>Privé koop</c:v>
                </c:pt>
                <c:pt idx="1">
                  <c:v>Private lease</c:v>
                </c:pt>
                <c:pt idx="2">
                  <c:v>Zakelijk koop</c:v>
                </c:pt>
                <c:pt idx="3">
                  <c:v>Zakelijk lease als zzp'er of DGA</c:v>
                </c:pt>
                <c:pt idx="4">
                  <c:v>Zakelijk lease als werknemer</c:v>
                </c:pt>
              </c:strCache>
            </c:strRef>
          </c:cat>
          <c:val>
            <c:numRef>
              <c:f>'3.3 laadgedrag algemeen'!$D$15:$H$15</c:f>
              <c:numCache>
                <c:formatCode>0%</c:formatCode>
                <c:ptCount val="5"/>
                <c:pt idx="0">
                  <c:v>4.3955445544554453E-2</c:v>
                </c:pt>
                <c:pt idx="1">
                  <c:v>5.2512562814070352E-2</c:v>
                </c:pt>
                <c:pt idx="2">
                  <c:v>4.0168350168350166E-2</c:v>
                </c:pt>
                <c:pt idx="3">
                  <c:v>4.3197278911564628E-2</c:v>
                </c:pt>
                <c:pt idx="4">
                  <c:v>5.0463414634146338E-2</c:v>
                </c:pt>
              </c:numCache>
            </c:numRef>
          </c:val>
          <c:extLst>
            <c:ext xmlns:c16="http://schemas.microsoft.com/office/drawing/2014/chart" uri="{C3380CC4-5D6E-409C-BE32-E72D297353CC}">
              <c16:uniqueId val="{0000000C-F99B-45E8-8F8F-D48971548ED7}"/>
            </c:ext>
          </c:extLst>
        </c:ser>
        <c:ser>
          <c:idx val="4"/>
          <c:order val="4"/>
          <c:tx>
            <c:strRef>
              <c:f>'3.3 laadgedrag algemeen'!$C$16</c:f>
              <c:strCache>
                <c:ptCount val="1"/>
                <c:pt idx="0">
                  <c:v>Laadpaal op het werk</c:v>
                </c:pt>
              </c:strCache>
            </c:strRef>
          </c:tx>
          <c:spPr>
            <a:solidFill>
              <a:srgbClr val="4EAFAA"/>
            </a:solidFill>
            <a:ln>
              <a:noFill/>
            </a:ln>
            <a:effectLst/>
          </c:spPr>
          <c:invertIfNegative val="0"/>
          <c:dLbls>
            <c:spPr>
              <a:noFill/>
              <a:ln>
                <a:noFill/>
              </a:ln>
              <a:effectLst/>
            </c:spPr>
            <c:txPr>
              <a:bodyPr wrap="square" lIns="38100" tIns="19050" rIns="38100" bIns="19050" anchor="ctr">
                <a:spAutoFit/>
              </a:bodyPr>
              <a:lstStyle/>
              <a:p>
                <a:pPr>
                  <a:defRPr sz="800" b="1">
                    <a:solidFill>
                      <a:schemeClr val="bg1"/>
                    </a:solidFill>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'3.3 laadgedrag algemeen'!$D$11:$H$11</c:f>
              <c:strCache>
                <c:ptCount val="5"/>
                <c:pt idx="0">
                  <c:v>Privé koop</c:v>
                </c:pt>
                <c:pt idx="1">
                  <c:v>Private lease</c:v>
                </c:pt>
                <c:pt idx="2">
                  <c:v>Zakelijk koop</c:v>
                </c:pt>
                <c:pt idx="3">
                  <c:v>Zakelijk lease als zzp'er of DGA</c:v>
                </c:pt>
                <c:pt idx="4">
                  <c:v>Zakelijk lease als werknemer</c:v>
                </c:pt>
              </c:strCache>
            </c:strRef>
          </c:cat>
          <c:val>
            <c:numRef>
              <c:f>'3.3 laadgedrag algemeen'!$D$16:$H$16</c:f>
              <c:numCache>
                <c:formatCode>0%</c:formatCode>
                <c:ptCount val="5"/>
                <c:pt idx="0">
                  <c:v>5.6856435643564358E-2</c:v>
                </c:pt>
                <c:pt idx="1">
                  <c:v>9.6884422110552759E-2</c:v>
                </c:pt>
                <c:pt idx="2">
                  <c:v>0.10185185185185185</c:v>
                </c:pt>
                <c:pt idx="3">
                  <c:v>0.10265306122448979</c:v>
                </c:pt>
                <c:pt idx="4">
                  <c:v>0.2125060975609756</c:v>
                </c:pt>
              </c:numCache>
            </c:numRef>
          </c:val>
          <c:extLst>
            <c:ext xmlns:c16="http://schemas.microsoft.com/office/drawing/2014/chart" uri="{C3380CC4-5D6E-409C-BE32-E72D297353CC}">
              <c16:uniqueId val="{00000011-F99B-45E8-8F8F-D48971548ED7}"/>
            </c:ext>
          </c:extLst>
        </c:ser>
        <c:ser>
          <c:idx val="5"/>
          <c:order val="5"/>
          <c:tx>
            <c:strRef>
              <c:f>'3.3 laadgedrag algemeen'!$C$17</c:f>
              <c:strCache>
                <c:ptCount val="1"/>
                <c:pt idx="0">
                  <c:v>Snellader (≥50kW) </c:v>
                </c:pt>
              </c:strCache>
            </c:strRef>
          </c:tx>
          <c:spPr>
            <a:solidFill>
              <a:srgbClr val="696969"/>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bg1"/>
                    </a:solidFill>
                    <a:latin typeface="+mn-lt"/>
                    <a:ea typeface="+mn-ea"/>
                    <a:cs typeface="+mn-cs"/>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'3.3 laadgedrag algemeen'!$D$11:$H$11</c:f>
              <c:strCache>
                <c:ptCount val="5"/>
                <c:pt idx="0">
                  <c:v>Privé koop</c:v>
                </c:pt>
                <c:pt idx="1">
                  <c:v>Private lease</c:v>
                </c:pt>
                <c:pt idx="2">
                  <c:v>Zakelijk koop</c:v>
                </c:pt>
                <c:pt idx="3">
                  <c:v>Zakelijk lease als zzp'er of DGA</c:v>
                </c:pt>
                <c:pt idx="4">
                  <c:v>Zakelijk lease als werknemer</c:v>
                </c:pt>
              </c:strCache>
            </c:strRef>
          </c:cat>
          <c:val>
            <c:numRef>
              <c:f>'3.3 laadgedrag algemeen'!$D$17:$H$17</c:f>
              <c:numCache>
                <c:formatCode>0%</c:formatCode>
                <c:ptCount val="5"/>
                <c:pt idx="0">
                  <c:v>8.3816831683168308E-2</c:v>
                </c:pt>
                <c:pt idx="1">
                  <c:v>0.10050251256281408</c:v>
                </c:pt>
                <c:pt idx="2">
                  <c:v>0.10326599326599327</c:v>
                </c:pt>
                <c:pt idx="3">
                  <c:v>0.11006802721088435</c:v>
                </c:pt>
                <c:pt idx="4">
                  <c:v>9.9701219512195127E-2</c:v>
                </c:pt>
              </c:numCache>
            </c:numRef>
          </c:val>
          <c:extLst>
            <c:ext xmlns:c16="http://schemas.microsoft.com/office/drawing/2014/chart" uri="{C3380CC4-5D6E-409C-BE32-E72D297353CC}">
              <c16:uniqueId val="{00000012-F99B-45E8-8F8F-D48971548ED7}"/>
            </c:ext>
          </c:extLst>
        </c:ser>
        <c:dLbls>
          <c:showLegendKey val="0"/>
          <c:showVal val="0"/>
          <c:showCatName val="0"/>
          <c:showSerName val="0"/>
          <c:showPercent val="0"/>
          <c:showBubbleSize val="0"/>
        </c:dLbls>
        <c:gapWidth val="150"/>
        <c:overlap val="100"/>
        <c:axId val="1061477944"/>
        <c:axId val="1061476504"/>
      </c:barChart>
      <c:catAx>
        <c:axId val="106147794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2C307E"/>
                </a:solidFill>
                <a:latin typeface="+mn-lt"/>
                <a:ea typeface="+mn-ea"/>
                <a:cs typeface="+mn-cs"/>
              </a:defRPr>
            </a:pPr>
            <a:endParaRPr lang="nl-NL"/>
          </a:p>
        </c:txPr>
        <c:crossAx val="1061476504"/>
        <c:crosses val="autoZero"/>
        <c:auto val="1"/>
        <c:lblAlgn val="ctr"/>
        <c:lblOffset val="100"/>
        <c:noMultiLvlLbl val="0"/>
      </c:catAx>
      <c:valAx>
        <c:axId val="1061476504"/>
        <c:scaling>
          <c:orientation val="minMax"/>
          <c:max val="1"/>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2C307E"/>
                </a:solidFill>
                <a:latin typeface="+mn-lt"/>
                <a:ea typeface="+mn-ea"/>
                <a:cs typeface="+mn-cs"/>
              </a:defRPr>
            </a:pPr>
            <a:endParaRPr lang="nl-NL"/>
          </a:p>
        </c:txPr>
        <c:crossAx val="1061477944"/>
        <c:crosses val="autoZero"/>
        <c:crossBetween val="between"/>
        <c:majorUnit val="0.2"/>
      </c:valAx>
      <c:spPr>
        <a:noFill/>
      </c:spPr>
    </c:plotArea>
    <c:legend>
      <c:legendPos val="b"/>
      <c:layout>
        <c:manualLayout>
          <c:xMode val="edge"/>
          <c:yMode val="edge"/>
          <c:x val="3.0004104580184279E-2"/>
          <c:y val="0.74510512900688863"/>
          <c:w val="0.93520901350745789"/>
          <c:h val="0.23858514075632242"/>
        </c:manualLayout>
      </c:layout>
      <c:overlay val="0"/>
      <c:spPr>
        <a:noFill/>
        <a:ln>
          <a:noFill/>
        </a:ln>
        <a:effectLst/>
      </c:spPr>
      <c:txPr>
        <a:bodyPr rot="0" spcFirstLastPara="1" vertOverflow="ellipsis" vert="horz" wrap="square" anchor="ctr" anchorCtr="1"/>
        <a:lstStyle/>
        <a:p>
          <a:pPr>
            <a:defRPr sz="900" b="0" i="0" u="none" strike="noStrike" kern="1200" baseline="0">
              <a:solidFill>
                <a:srgbClr val="2C307E"/>
              </a:solidFill>
              <a:latin typeface="+mn-lt"/>
              <a:ea typeface="+mn-ea"/>
              <a:cs typeface="+mn-cs"/>
            </a:defRPr>
          </a:pPr>
          <a:endParaRPr lang="nl-NL"/>
        </a:p>
      </c:txPr>
    </c:legend>
    <c:plotVisOnly val="1"/>
    <c:dispBlanksAs val="gap"/>
    <c:showDLblsOverMax val="0"/>
    <c:extLst/>
  </c:chart>
  <c:spPr>
    <a:noFill/>
    <a:ln>
      <a:noFill/>
    </a:ln>
  </c:spPr>
  <c:txPr>
    <a:bodyPr/>
    <a:lstStyle/>
    <a:p>
      <a:pPr>
        <a:defRPr/>
      </a:pPr>
      <a:endParaRPr lang="nl-NL"/>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100" b="0" i="0" u="none" strike="noStrike" kern="1200" spc="0" baseline="0">
                <a:solidFill>
                  <a:srgbClr val="2C307E"/>
                </a:solidFill>
                <a:latin typeface="+mn-lt"/>
                <a:ea typeface="+mn-ea"/>
                <a:cs typeface="+mn-cs"/>
              </a:defRPr>
            </a:pPr>
            <a:r>
              <a:rPr lang="en-US" sz="1100" b="0" i="0" u="none" strike="noStrike" kern="1200" spc="0" baseline="0">
                <a:solidFill>
                  <a:srgbClr val="2C307E"/>
                </a:solidFill>
              </a:rPr>
              <a:t>Laadmix naar startjaar</a:t>
            </a:r>
          </a:p>
        </c:rich>
      </c:tx>
      <c:overlay val="0"/>
      <c:spPr>
        <a:noFill/>
        <a:ln>
          <a:noFill/>
        </a:ln>
        <a:effectLst/>
      </c:spPr>
    </c:title>
    <c:autoTitleDeleted val="0"/>
    <c:plotArea>
      <c:layout>
        <c:manualLayout>
          <c:layoutTarget val="inner"/>
          <c:xMode val="edge"/>
          <c:yMode val="edge"/>
          <c:x val="0.35279671643418459"/>
          <c:y val="8.0427983539094652E-2"/>
          <c:w val="0.57337569010770206"/>
          <c:h val="0.49504863743883859"/>
        </c:manualLayout>
      </c:layout>
      <c:barChart>
        <c:barDir val="bar"/>
        <c:grouping val="stacked"/>
        <c:varyColors val="0"/>
        <c:ser>
          <c:idx val="0"/>
          <c:order val="0"/>
          <c:tx>
            <c:strRef>
              <c:f>'3.3 laadgedrag algemeen'!$C$54</c:f>
              <c:strCache>
                <c:ptCount val="1"/>
                <c:pt idx="0">
                  <c:v>Privé laadpaal thuis</c:v>
                </c:pt>
              </c:strCache>
            </c:strRef>
          </c:tx>
          <c:spPr>
            <a:solidFill>
              <a:srgbClr val="2C307E"/>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bg1"/>
                    </a:solidFill>
                    <a:latin typeface="+mn-lt"/>
                    <a:ea typeface="+mn-ea"/>
                    <a:cs typeface="+mn-cs"/>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'3.3 laadgedrag algemeen'!$D$53:$J$53</c:f>
              <c:strCache>
                <c:ptCount val="7"/>
                <c:pt idx="0">
                  <c:v>Minder dan één jaar</c:v>
                </c:pt>
                <c:pt idx="1">
                  <c:v>Één jaar</c:v>
                </c:pt>
                <c:pt idx="2">
                  <c:v>Twee jaar</c:v>
                </c:pt>
                <c:pt idx="3">
                  <c:v>Drie jaar</c:v>
                </c:pt>
                <c:pt idx="4">
                  <c:v>Vier jaar</c:v>
                </c:pt>
                <c:pt idx="5">
                  <c:v>Vijf jaar</c:v>
                </c:pt>
                <c:pt idx="6">
                  <c:v>Meer dan vijf jaar</c:v>
                </c:pt>
              </c:strCache>
            </c:strRef>
          </c:cat>
          <c:val>
            <c:numRef>
              <c:f>'3.3 laadgedrag algemeen'!$D$54:$J$54</c:f>
              <c:numCache>
                <c:formatCode>0%</c:formatCode>
                <c:ptCount val="7"/>
                <c:pt idx="0">
                  <c:v>0.46730061349693253</c:v>
                </c:pt>
                <c:pt idx="1">
                  <c:v>0.51788639365918099</c:v>
                </c:pt>
                <c:pt idx="2">
                  <c:v>0.54931192660550454</c:v>
                </c:pt>
                <c:pt idx="3">
                  <c:v>0.54699134199134203</c:v>
                </c:pt>
                <c:pt idx="4">
                  <c:v>0.54135135135135137</c:v>
                </c:pt>
                <c:pt idx="5">
                  <c:v>0.57160526315789473</c:v>
                </c:pt>
                <c:pt idx="6">
                  <c:v>0.57030677435468979</c:v>
                </c:pt>
              </c:numCache>
            </c:numRef>
          </c:val>
          <c:extLst>
            <c:ext xmlns:c16="http://schemas.microsoft.com/office/drawing/2014/chart" uri="{C3380CC4-5D6E-409C-BE32-E72D297353CC}">
              <c16:uniqueId val="{00000000-69F0-4937-9863-CA3DDAA4CDCF}"/>
            </c:ext>
          </c:extLst>
        </c:ser>
        <c:ser>
          <c:idx val="1"/>
          <c:order val="1"/>
          <c:tx>
            <c:strRef>
              <c:f>'3.3 laadgedrag algemeen'!$C$55</c:f>
              <c:strCache>
                <c:ptCount val="1"/>
                <c:pt idx="0">
                  <c:v>Stopcontact thuis</c:v>
                </c:pt>
              </c:strCache>
            </c:strRef>
          </c:tx>
          <c:spPr>
            <a:solidFill>
              <a:srgbClr val="08B466"/>
            </a:solidFill>
            <a:ln>
              <a:noFill/>
            </a:ln>
            <a:effectLst/>
          </c:spPr>
          <c:invertIfNegative val="0"/>
          <c:dLbls>
            <c:dLbl>
              <c:idx val="0"/>
              <c:layout>
                <c:manualLayout>
                  <c:x val="-4.7824007651841227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69F0-4937-9863-CA3DDAA4CDCF}"/>
                </c:ext>
              </c:extLst>
            </c:dLbl>
            <c:dLbl>
              <c:idx val="1"/>
              <c:layout>
                <c:manualLayout>
                  <c:x val="-9.5648015303683321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69F0-4937-9863-CA3DDAA4CDCF}"/>
                </c:ext>
              </c:extLst>
            </c:dLbl>
            <c:dLbl>
              <c:idx val="2"/>
              <c:layout>
                <c:manualLayout>
                  <c:x val="-1.4347202295552367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69F0-4937-9863-CA3DDAA4CDCF}"/>
                </c:ext>
              </c:extLst>
            </c:dLbl>
            <c:dLbl>
              <c:idx val="3"/>
              <c:layout>
                <c:manualLayout>
                  <c:x val="-1.4347202295552367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69F0-4937-9863-CA3DDAA4CDCF}"/>
                </c:ext>
              </c:extLst>
            </c:dLbl>
            <c:dLbl>
              <c:idx val="4"/>
              <c:layout>
                <c:manualLayout>
                  <c:x val="-9.5648015303682454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69F0-4937-9863-CA3DDAA4CDCF}"/>
                </c:ext>
              </c:extLst>
            </c:dLbl>
            <c:dLbl>
              <c:idx val="5"/>
              <c:layout>
                <c:manualLayout>
                  <c:x val="-9.5648015303682454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B-69F0-4937-9863-CA3DDAA4CDCF}"/>
                </c:ext>
              </c:extLst>
            </c:dLbl>
            <c:dLbl>
              <c:idx val="6"/>
              <c:layout>
                <c:manualLayout>
                  <c:x val="-9.5648015303682454E-3"/>
                  <c:y val="-1.5088988928023694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C-69F0-4937-9863-CA3DDAA4CDCF}"/>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bg1"/>
                    </a:solidFill>
                    <a:latin typeface="+mn-lt"/>
                    <a:ea typeface="+mn-ea"/>
                    <a:cs typeface="+mn-cs"/>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'3.3 laadgedrag algemeen'!$D$53:$J$53</c:f>
              <c:strCache>
                <c:ptCount val="7"/>
                <c:pt idx="0">
                  <c:v>Minder dan één jaar</c:v>
                </c:pt>
                <c:pt idx="1">
                  <c:v>Één jaar</c:v>
                </c:pt>
                <c:pt idx="2">
                  <c:v>Twee jaar</c:v>
                </c:pt>
                <c:pt idx="3">
                  <c:v>Drie jaar</c:v>
                </c:pt>
                <c:pt idx="4">
                  <c:v>Vier jaar</c:v>
                </c:pt>
                <c:pt idx="5">
                  <c:v>Vijf jaar</c:v>
                </c:pt>
                <c:pt idx="6">
                  <c:v>Meer dan vijf jaar</c:v>
                </c:pt>
              </c:strCache>
            </c:strRef>
          </c:cat>
          <c:val>
            <c:numRef>
              <c:f>'3.3 laadgedrag algemeen'!$D$55:$J$55</c:f>
              <c:numCache>
                <c:formatCode>0%</c:formatCode>
                <c:ptCount val="7"/>
                <c:pt idx="0">
                  <c:v>8.4938650306748464E-2</c:v>
                </c:pt>
                <c:pt idx="1">
                  <c:v>5.5350066050198148E-2</c:v>
                </c:pt>
                <c:pt idx="2">
                  <c:v>7.5611620795107026E-2</c:v>
                </c:pt>
                <c:pt idx="3">
                  <c:v>6.9134199134199131E-2</c:v>
                </c:pt>
                <c:pt idx="4">
                  <c:v>6.6412776412776417E-2</c:v>
                </c:pt>
                <c:pt idx="5">
                  <c:v>6.3131578947368427E-2</c:v>
                </c:pt>
                <c:pt idx="6">
                  <c:v>6.5396526220288562E-2</c:v>
                </c:pt>
              </c:numCache>
            </c:numRef>
          </c:val>
          <c:extLst>
            <c:ext xmlns:c16="http://schemas.microsoft.com/office/drawing/2014/chart" uri="{C3380CC4-5D6E-409C-BE32-E72D297353CC}">
              <c16:uniqueId val="{00000001-69F0-4937-9863-CA3DDAA4CDCF}"/>
            </c:ext>
          </c:extLst>
        </c:ser>
        <c:ser>
          <c:idx val="2"/>
          <c:order val="2"/>
          <c:tx>
            <c:strRef>
              <c:f>'3.3 laadgedrag algemeen'!$C$56</c:f>
              <c:strCache>
                <c:ptCount val="1"/>
                <c:pt idx="0">
                  <c:v>Openbare laadpaal in de buurt van je woning</c:v>
                </c:pt>
              </c:strCache>
            </c:strRef>
          </c:tx>
          <c:spPr>
            <a:solidFill>
              <a:srgbClr val="C9C74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bg1"/>
                    </a:solidFill>
                    <a:latin typeface="+mn-lt"/>
                    <a:ea typeface="+mn-ea"/>
                    <a:cs typeface="+mn-cs"/>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'3.3 laadgedrag algemeen'!$D$53:$J$53</c:f>
              <c:strCache>
                <c:ptCount val="7"/>
                <c:pt idx="0">
                  <c:v>Minder dan één jaar</c:v>
                </c:pt>
                <c:pt idx="1">
                  <c:v>Één jaar</c:v>
                </c:pt>
                <c:pt idx="2">
                  <c:v>Twee jaar</c:v>
                </c:pt>
                <c:pt idx="3">
                  <c:v>Drie jaar</c:v>
                </c:pt>
                <c:pt idx="4">
                  <c:v>Vier jaar</c:v>
                </c:pt>
                <c:pt idx="5">
                  <c:v>Vijf jaar</c:v>
                </c:pt>
                <c:pt idx="6">
                  <c:v>Meer dan vijf jaar</c:v>
                </c:pt>
              </c:strCache>
            </c:strRef>
          </c:cat>
          <c:val>
            <c:numRef>
              <c:f>'3.3 laadgedrag algemeen'!$D$56:$J$56</c:f>
              <c:numCache>
                <c:formatCode>0%</c:formatCode>
                <c:ptCount val="7"/>
                <c:pt idx="0">
                  <c:v>0.20180981595092023</c:v>
                </c:pt>
                <c:pt idx="1">
                  <c:v>0.16416116248348747</c:v>
                </c:pt>
                <c:pt idx="2">
                  <c:v>0.15055045871559633</c:v>
                </c:pt>
                <c:pt idx="3">
                  <c:v>0.165974025974026</c:v>
                </c:pt>
                <c:pt idx="4">
                  <c:v>0.15014742014742014</c:v>
                </c:pt>
                <c:pt idx="5">
                  <c:v>0.12626315789473685</c:v>
                </c:pt>
                <c:pt idx="6">
                  <c:v>0.12047218319242628</c:v>
                </c:pt>
              </c:numCache>
            </c:numRef>
          </c:val>
          <c:extLst>
            <c:ext xmlns:c16="http://schemas.microsoft.com/office/drawing/2014/chart" uri="{C3380CC4-5D6E-409C-BE32-E72D297353CC}">
              <c16:uniqueId val="{00000002-69F0-4937-9863-CA3DDAA4CDCF}"/>
            </c:ext>
          </c:extLst>
        </c:ser>
        <c:ser>
          <c:idx val="3"/>
          <c:order val="3"/>
          <c:tx>
            <c:strRef>
              <c:f>'3.3 laadgedrag algemeen'!$C$57</c:f>
              <c:strCache>
                <c:ptCount val="1"/>
                <c:pt idx="0">
                  <c:v>Openbare laadpaal elders</c:v>
                </c:pt>
              </c:strCache>
            </c:strRef>
          </c:tx>
          <c:spPr>
            <a:solidFill>
              <a:srgbClr val="BAD6ED"/>
            </a:solidFill>
            <a:ln>
              <a:noFill/>
            </a:ln>
            <a:effectLst/>
          </c:spPr>
          <c:invertIfNegative val="0"/>
          <c:dLbls>
            <c:dLbl>
              <c:idx val="0"/>
              <c:layout>
                <c:manualLayout>
                  <c:x val="-4.7824007651841227E-3"/>
                  <c:y val="-3.292181069958841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69F0-4937-9863-CA3DDAA4CDCF}"/>
                </c:ext>
              </c:extLst>
            </c:dLbl>
            <c:dLbl>
              <c:idx val="1"/>
              <c:layout>
                <c:manualLayout>
                  <c:x val="-4.7824007651842103E-3"/>
                  <c:y val="-2.962962962962963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69F0-4937-9863-CA3DDAA4CDCF}"/>
                </c:ext>
              </c:extLst>
            </c:dLbl>
            <c:dLbl>
              <c:idx val="2"/>
              <c:layout>
                <c:manualLayout>
                  <c:x val="8.7676334517210861E-17"/>
                  <c:y val="-3.29218106995884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69F0-4937-9863-CA3DDAA4CDCF}"/>
                </c:ext>
              </c:extLst>
            </c:dLbl>
            <c:dLbl>
              <c:idx val="3"/>
              <c:layout>
                <c:manualLayout>
                  <c:x val="-4.7824007651842103E-3"/>
                  <c:y val="-2.962962962962963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69F0-4937-9863-CA3DDAA4CDCF}"/>
                </c:ext>
              </c:extLst>
            </c:dLbl>
            <c:dLbl>
              <c:idx val="4"/>
              <c:layout>
                <c:manualLayout>
                  <c:x val="0"/>
                  <c:y val="-2.304526748971193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69F0-4937-9863-CA3DDAA4CDCF}"/>
                </c:ext>
              </c:extLst>
            </c:dLbl>
            <c:dLbl>
              <c:idx val="5"/>
              <c:layout>
                <c:manualLayout>
                  <c:x val="-4.7824007651841227E-3"/>
                  <c:y val="-2.962962962962963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69F0-4937-9863-CA3DDAA4CDCF}"/>
                </c:ext>
              </c:extLst>
            </c:dLbl>
            <c:dLbl>
              <c:idx val="6"/>
              <c:layout>
                <c:manualLayout>
                  <c:x val="-8.7676334517210861E-17"/>
                  <c:y val="-3.29218106995884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69F0-4937-9863-CA3DDAA4CDCF}"/>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mn-lt"/>
                    <a:ea typeface="+mn-ea"/>
                    <a:cs typeface="+mn-cs"/>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'3.3 laadgedrag algemeen'!$D$53:$J$53</c:f>
              <c:strCache>
                <c:ptCount val="7"/>
                <c:pt idx="0">
                  <c:v>Minder dan één jaar</c:v>
                </c:pt>
                <c:pt idx="1">
                  <c:v>Één jaar</c:v>
                </c:pt>
                <c:pt idx="2">
                  <c:v>Twee jaar</c:v>
                </c:pt>
                <c:pt idx="3">
                  <c:v>Drie jaar</c:v>
                </c:pt>
                <c:pt idx="4">
                  <c:v>Vier jaar</c:v>
                </c:pt>
                <c:pt idx="5">
                  <c:v>Vijf jaar</c:v>
                </c:pt>
                <c:pt idx="6">
                  <c:v>Meer dan vijf jaar</c:v>
                </c:pt>
              </c:strCache>
            </c:strRef>
          </c:cat>
          <c:val>
            <c:numRef>
              <c:f>'3.3 laadgedrag algemeen'!$D$57:$J$57</c:f>
              <c:numCache>
                <c:formatCode>0%</c:formatCode>
                <c:ptCount val="7"/>
                <c:pt idx="0">
                  <c:v>5.9509202453987733E-2</c:v>
                </c:pt>
                <c:pt idx="1">
                  <c:v>4.8811096433289299E-2</c:v>
                </c:pt>
                <c:pt idx="2">
                  <c:v>4.5993883792048926E-2</c:v>
                </c:pt>
                <c:pt idx="3">
                  <c:v>4.3896103896103898E-2</c:v>
                </c:pt>
                <c:pt idx="4">
                  <c:v>4.1891891891891894E-2</c:v>
                </c:pt>
                <c:pt idx="5">
                  <c:v>4.5368421052631586E-2</c:v>
                </c:pt>
                <c:pt idx="6">
                  <c:v>4.7024413702077328E-2</c:v>
                </c:pt>
              </c:numCache>
            </c:numRef>
          </c:val>
          <c:extLst>
            <c:ext xmlns:c16="http://schemas.microsoft.com/office/drawing/2014/chart" uri="{C3380CC4-5D6E-409C-BE32-E72D297353CC}">
              <c16:uniqueId val="{00000003-69F0-4937-9863-CA3DDAA4CDCF}"/>
            </c:ext>
          </c:extLst>
        </c:ser>
        <c:ser>
          <c:idx val="4"/>
          <c:order val="4"/>
          <c:tx>
            <c:strRef>
              <c:f>'3.3 laadgedrag algemeen'!$C$58</c:f>
              <c:strCache>
                <c:ptCount val="1"/>
                <c:pt idx="0">
                  <c:v>Laadpaal op het werk</c:v>
                </c:pt>
              </c:strCache>
            </c:strRef>
          </c:tx>
          <c:spPr>
            <a:solidFill>
              <a:srgbClr val="4EAFAA"/>
            </a:solidFill>
            <a:ln>
              <a:noFill/>
            </a:ln>
            <a:effectLst/>
          </c:spPr>
          <c:invertIfNegative val="0"/>
          <c:dLbls>
            <c:dLbl>
              <c:idx val="0"/>
              <c:layout>
                <c:manualLayout>
                  <c:x val="-1.9129603060736401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69F0-4937-9863-CA3DDAA4CDCF}"/>
                </c:ext>
              </c:extLst>
            </c:dLbl>
            <c:dLbl>
              <c:idx val="1"/>
              <c:layout>
                <c:manualLayout>
                  <c:x val="-1.4347202295552367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69F0-4937-9863-CA3DDAA4CDCF}"/>
                </c:ext>
              </c:extLst>
            </c:dLbl>
            <c:dLbl>
              <c:idx val="2"/>
              <c:layout>
                <c:manualLayout>
                  <c:x val="-4.7824007651841227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69F0-4937-9863-CA3DDAA4CDCF}"/>
                </c:ext>
              </c:extLst>
            </c:dLbl>
            <c:dLbl>
              <c:idx val="3"/>
              <c:layout>
                <c:manualLayout>
                  <c:x val="-9.5648015303682454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69F0-4937-9863-CA3DDAA4CDCF}"/>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bg1"/>
                    </a:solidFill>
                    <a:latin typeface="+mn-lt"/>
                    <a:ea typeface="+mn-ea"/>
                    <a:cs typeface="+mn-cs"/>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'3.3 laadgedrag algemeen'!$D$53:$J$53</c:f>
              <c:strCache>
                <c:ptCount val="7"/>
                <c:pt idx="0">
                  <c:v>Minder dan één jaar</c:v>
                </c:pt>
                <c:pt idx="1">
                  <c:v>Één jaar</c:v>
                </c:pt>
                <c:pt idx="2">
                  <c:v>Twee jaar</c:v>
                </c:pt>
                <c:pt idx="3">
                  <c:v>Drie jaar</c:v>
                </c:pt>
                <c:pt idx="4">
                  <c:v>Vier jaar</c:v>
                </c:pt>
                <c:pt idx="5">
                  <c:v>Vijf jaar</c:v>
                </c:pt>
                <c:pt idx="6">
                  <c:v>Meer dan vijf jaar</c:v>
                </c:pt>
              </c:strCache>
            </c:strRef>
          </c:cat>
          <c:val>
            <c:numRef>
              <c:f>'3.3 laadgedrag algemeen'!$D$58:$J$58</c:f>
              <c:numCache>
                <c:formatCode>0%</c:formatCode>
                <c:ptCount val="7"/>
                <c:pt idx="0">
                  <c:v>0.11726993865030674</c:v>
                </c:pt>
                <c:pt idx="1">
                  <c:v>0.11651915455746367</c:v>
                </c:pt>
                <c:pt idx="2">
                  <c:v>9.2446483180428127E-2</c:v>
                </c:pt>
                <c:pt idx="3">
                  <c:v>8.5865800865800868E-2</c:v>
                </c:pt>
                <c:pt idx="4">
                  <c:v>0.11100737100737101</c:v>
                </c:pt>
                <c:pt idx="5">
                  <c:v>0.1041578947368421</c:v>
                </c:pt>
                <c:pt idx="6">
                  <c:v>9.0521425699272018E-2</c:v>
                </c:pt>
              </c:numCache>
            </c:numRef>
          </c:val>
          <c:extLst>
            <c:ext xmlns:c16="http://schemas.microsoft.com/office/drawing/2014/chart" uri="{C3380CC4-5D6E-409C-BE32-E72D297353CC}">
              <c16:uniqueId val="{00000004-69F0-4937-9863-CA3DDAA4CDCF}"/>
            </c:ext>
          </c:extLst>
        </c:ser>
        <c:ser>
          <c:idx val="5"/>
          <c:order val="5"/>
          <c:tx>
            <c:strRef>
              <c:f>'3.3 laadgedrag algemeen'!$C$59</c:f>
              <c:strCache>
                <c:ptCount val="1"/>
                <c:pt idx="0">
                  <c:v>Snellader (≥50kW) </c:v>
                </c:pt>
              </c:strCache>
            </c:strRef>
          </c:tx>
          <c:spPr>
            <a:solidFill>
              <a:srgbClr val="696969"/>
            </a:solidFill>
            <a:ln>
              <a:noFill/>
            </a:ln>
            <a:effectLst/>
          </c:spPr>
          <c:invertIfNegative val="0"/>
          <c:dLbls>
            <c:dLbl>
              <c:idx val="1"/>
              <c:layout>
                <c:manualLayout>
                  <c:x val="4.7824007651841227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69F0-4937-9863-CA3DDAA4CDCF}"/>
                </c:ext>
              </c:extLst>
            </c:dLbl>
            <c:dLbl>
              <c:idx val="2"/>
              <c:layout>
                <c:manualLayout>
                  <c:x val="4.7824007651841227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69F0-4937-9863-CA3DDAA4CDCF}"/>
                </c:ext>
              </c:extLst>
            </c:dLbl>
            <c:dLbl>
              <c:idx val="4"/>
              <c:layout>
                <c:manualLayout>
                  <c:x val="9.5648015303682454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69F0-4937-9863-CA3DDAA4CDCF}"/>
                </c:ext>
              </c:extLst>
            </c:dLbl>
            <c:dLbl>
              <c:idx val="5"/>
              <c:layout>
                <c:manualLayout>
                  <c:x val="1.4347202295552192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69F0-4937-9863-CA3DDAA4CDCF}"/>
                </c:ext>
              </c:extLst>
            </c:dLbl>
            <c:dLbl>
              <c:idx val="6"/>
              <c:layout>
                <c:manualLayout>
                  <c:x val="4.7824007651841227E-3"/>
                  <c:y val="-1.5088988928023694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A-69F0-4937-9863-CA3DDAA4CDCF}"/>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bg1"/>
                    </a:solidFill>
                    <a:latin typeface="+mn-lt"/>
                    <a:ea typeface="+mn-ea"/>
                    <a:cs typeface="+mn-cs"/>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'3.3 laadgedrag algemeen'!$D$53:$J$53</c:f>
              <c:strCache>
                <c:ptCount val="7"/>
                <c:pt idx="0">
                  <c:v>Minder dan één jaar</c:v>
                </c:pt>
                <c:pt idx="1">
                  <c:v>Één jaar</c:v>
                </c:pt>
                <c:pt idx="2">
                  <c:v>Twee jaar</c:v>
                </c:pt>
                <c:pt idx="3">
                  <c:v>Drie jaar</c:v>
                </c:pt>
                <c:pt idx="4">
                  <c:v>Vier jaar</c:v>
                </c:pt>
                <c:pt idx="5">
                  <c:v>Vijf jaar</c:v>
                </c:pt>
                <c:pt idx="6">
                  <c:v>Meer dan vijf jaar</c:v>
                </c:pt>
              </c:strCache>
            </c:strRef>
          </c:cat>
          <c:val>
            <c:numRef>
              <c:f>'3.3 laadgedrag algemeen'!$D$59:$J$59</c:f>
              <c:numCache>
                <c:formatCode>0%</c:formatCode>
                <c:ptCount val="7"/>
                <c:pt idx="0">
                  <c:v>6.9171779141104298E-2</c:v>
                </c:pt>
                <c:pt idx="1">
                  <c:v>9.727212681638045E-2</c:v>
                </c:pt>
                <c:pt idx="2">
                  <c:v>8.608562691131498E-2</c:v>
                </c:pt>
                <c:pt idx="3">
                  <c:v>8.8138528138528127E-2</c:v>
                </c:pt>
                <c:pt idx="4">
                  <c:v>8.9189189189189194E-2</c:v>
                </c:pt>
                <c:pt idx="5">
                  <c:v>8.9473684210526316E-2</c:v>
                </c:pt>
                <c:pt idx="6">
                  <c:v>0.10627867683124601</c:v>
                </c:pt>
              </c:numCache>
            </c:numRef>
          </c:val>
          <c:extLst>
            <c:ext xmlns:c16="http://schemas.microsoft.com/office/drawing/2014/chart" uri="{C3380CC4-5D6E-409C-BE32-E72D297353CC}">
              <c16:uniqueId val="{00000005-69F0-4937-9863-CA3DDAA4CDCF}"/>
            </c:ext>
          </c:extLst>
        </c:ser>
        <c:dLbls>
          <c:showLegendKey val="0"/>
          <c:showVal val="0"/>
          <c:showCatName val="0"/>
          <c:showSerName val="0"/>
          <c:showPercent val="0"/>
          <c:showBubbleSize val="0"/>
        </c:dLbls>
        <c:gapWidth val="150"/>
        <c:overlap val="100"/>
        <c:axId val="1061477944"/>
        <c:axId val="1061476504"/>
      </c:barChart>
      <c:catAx>
        <c:axId val="106147794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2C307E"/>
                </a:solidFill>
                <a:latin typeface="+mn-lt"/>
                <a:ea typeface="+mn-ea"/>
                <a:cs typeface="+mn-cs"/>
              </a:defRPr>
            </a:pPr>
            <a:endParaRPr lang="nl-NL"/>
          </a:p>
        </c:txPr>
        <c:crossAx val="1061476504"/>
        <c:crosses val="autoZero"/>
        <c:auto val="1"/>
        <c:lblAlgn val="ctr"/>
        <c:lblOffset val="100"/>
        <c:noMultiLvlLbl val="0"/>
      </c:catAx>
      <c:valAx>
        <c:axId val="1061476504"/>
        <c:scaling>
          <c:orientation val="minMax"/>
          <c:max val="1"/>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2C307E"/>
                </a:solidFill>
                <a:latin typeface="+mn-lt"/>
                <a:ea typeface="+mn-ea"/>
                <a:cs typeface="+mn-cs"/>
              </a:defRPr>
            </a:pPr>
            <a:endParaRPr lang="nl-NL"/>
          </a:p>
        </c:txPr>
        <c:crossAx val="1061477944"/>
        <c:crosses val="autoZero"/>
        <c:crossBetween val="between"/>
        <c:majorUnit val="0.25"/>
      </c:valAx>
      <c:spPr>
        <a:noFill/>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rgbClr val="2C307E"/>
              </a:solidFill>
              <a:latin typeface="+mn-lt"/>
              <a:ea typeface="+mn-ea"/>
              <a:cs typeface="+mn-cs"/>
            </a:defRPr>
          </a:pPr>
          <a:endParaRPr lang="nl-NL"/>
        </a:p>
      </c:txPr>
    </c:legend>
    <c:plotVisOnly val="1"/>
    <c:dispBlanksAs val="gap"/>
    <c:showDLblsOverMax val="0"/>
    <c:extLst/>
  </c:chart>
  <c:spPr>
    <a:noFill/>
    <a:ln>
      <a:noFill/>
    </a:ln>
  </c:spPr>
  <c:txPr>
    <a:bodyPr/>
    <a:lstStyle/>
    <a:p>
      <a:pPr>
        <a:defRPr/>
      </a:pPr>
      <a:endParaRPr lang="nl-NL"/>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rgbClr val="2C307E"/>
                </a:solidFill>
                <a:latin typeface="+mn-lt"/>
                <a:ea typeface="+mn-ea"/>
                <a:cs typeface="+mn-cs"/>
              </a:defRPr>
            </a:pPr>
            <a:r>
              <a:rPr lang="nl-NL" sz="1100">
                <a:solidFill>
                  <a:srgbClr val="2C307E"/>
                </a:solidFill>
              </a:rPr>
              <a:t>Rapportcijfer</a:t>
            </a:r>
          </a:p>
        </c:rich>
      </c:tx>
      <c:overlay val="0"/>
      <c:spPr>
        <a:noFill/>
        <a:ln>
          <a:noFill/>
        </a:ln>
        <a:effectLst/>
      </c:spPr>
      <c:txPr>
        <a:bodyPr rot="0" spcFirstLastPara="1" vertOverflow="ellipsis" vert="horz" wrap="square" anchor="ctr" anchorCtr="1"/>
        <a:lstStyle/>
        <a:p>
          <a:pPr>
            <a:defRPr sz="1100" b="0" i="0" u="none" strike="noStrike" kern="1200" spc="0" baseline="0">
              <a:solidFill>
                <a:srgbClr val="2C307E"/>
              </a:solidFill>
              <a:latin typeface="+mn-lt"/>
              <a:ea typeface="+mn-ea"/>
              <a:cs typeface="+mn-cs"/>
            </a:defRPr>
          </a:pPr>
          <a:endParaRPr lang="nl-NL"/>
        </a:p>
      </c:txPr>
    </c:title>
    <c:autoTitleDeleted val="0"/>
    <c:plotArea>
      <c:layout/>
      <c:barChart>
        <c:barDir val="bar"/>
        <c:grouping val="clustered"/>
        <c:varyColors val="0"/>
        <c:ser>
          <c:idx val="4"/>
          <c:order val="0"/>
          <c:tx>
            <c:strRef>
              <c:f>'3.3 laadgedrag algemeen'!$I$245</c:f>
              <c:strCache>
                <c:ptCount val="1"/>
                <c:pt idx="0">
                  <c:v>2025</c:v>
                </c:pt>
              </c:strCache>
            </c:strRef>
          </c:tx>
          <c:spPr>
            <a:solidFill>
              <a:srgbClr val="4EAFAA"/>
            </a:solidFill>
            <a:ln>
              <a:noFill/>
            </a:ln>
            <a:effectLst/>
          </c:spPr>
          <c:invertIfNegative val="0"/>
          <c:dLbls>
            <c:spPr>
              <a:noFill/>
              <a:ln>
                <a:noFill/>
              </a:ln>
              <a:effectLst/>
            </c:spPr>
            <c:txPr>
              <a:bodyPr rot="0" spcFirstLastPara="1" vertOverflow="ellipsis" vert="horz" wrap="square" lIns="38100" tIns="19050" rIns="38100" bIns="19050" anchor="ctr" anchorCtr="0">
                <a:spAutoFit/>
              </a:bodyPr>
              <a:lstStyle/>
              <a:p>
                <a:pPr algn="ctr">
                  <a:defRPr lang="en-US" sz="800" b="1" i="0" u="none" strike="noStrike" kern="1200" baseline="0">
                    <a:solidFill>
                      <a:srgbClr val="2C307E"/>
                    </a:solidFill>
                    <a:latin typeface="+mn-lt"/>
                    <a:ea typeface="+mn-ea"/>
                    <a:cs typeface="+mn-cs"/>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'3.3 laadgedrag algemeen'!$I$246:$I$251</c:f>
              <c:numCache>
                <c:formatCode>0.0</c:formatCode>
                <c:ptCount val="6"/>
                <c:pt idx="0">
                  <c:v>9.2214546932141399</c:v>
                </c:pt>
                <c:pt idx="1">
                  <c:v>7.8905472636815919</c:v>
                </c:pt>
                <c:pt idx="2">
                  <c:v>7.3013574660633482</c:v>
                </c:pt>
                <c:pt idx="3">
                  <c:v>6.7299938912645079</c:v>
                </c:pt>
                <c:pt idx="4">
                  <c:v>7.8131267092069283</c:v>
                </c:pt>
                <c:pt idx="5">
                  <c:v>7.806766917293233</c:v>
                </c:pt>
              </c:numCache>
              <c:extLst/>
            </c:numRef>
          </c:val>
          <c:extLst>
            <c:ext xmlns:c16="http://schemas.microsoft.com/office/drawing/2014/chart" uri="{C3380CC4-5D6E-409C-BE32-E72D297353CC}">
              <c16:uniqueId val="{00000000-C80C-4C91-861A-A07EC8B7B028}"/>
            </c:ext>
          </c:extLst>
        </c:ser>
        <c:ser>
          <c:idx val="3"/>
          <c:order val="1"/>
          <c:tx>
            <c:strRef>
              <c:f>'3.3 laadgedrag algemeen'!$H$245</c:f>
              <c:strCache>
                <c:ptCount val="1"/>
                <c:pt idx="0">
                  <c:v>2024</c:v>
                </c:pt>
              </c:strCache>
            </c:strRef>
          </c:tx>
          <c:spPr>
            <a:solidFill>
              <a:srgbClr val="BAD6ED"/>
            </a:solidFill>
            <a:ln>
              <a:noFill/>
            </a:ln>
            <a:effectLst/>
          </c:spPr>
          <c:invertIfNegative val="0"/>
          <c:cat>
            <c:strRef>
              <c:f>'3.3 laadgedrag algemeen'!$C$246:$C$251</c:f>
              <c:strCache>
                <c:ptCount val="6"/>
                <c:pt idx="0">
                  <c:v>Privé laadpunt thuis</c:v>
                </c:pt>
                <c:pt idx="1">
                  <c:v>Stopcontact thuis</c:v>
                </c:pt>
                <c:pt idx="2">
                  <c:v>Openbare laadpalen in de buurt van je woning</c:v>
                </c:pt>
                <c:pt idx="3">
                  <c:v>Openbare laadpalen elders</c:v>
                </c:pt>
                <c:pt idx="4">
                  <c:v>Laden op het werk</c:v>
                </c:pt>
                <c:pt idx="5">
                  <c:v>Snelladers </c:v>
                </c:pt>
              </c:strCache>
              <c:extLst/>
            </c:strRef>
          </c:cat>
          <c:val>
            <c:numRef>
              <c:f>'3.3 laadgedrag algemeen'!$H$246:$H$251</c:f>
              <c:numCache>
                <c:formatCode>0.0</c:formatCode>
                <c:ptCount val="6"/>
                <c:pt idx="0">
                  <c:v>9.1926968763748356</c:v>
                </c:pt>
                <c:pt idx="1">
                  <c:v>7.7635327635327638</c:v>
                </c:pt>
                <c:pt idx="2">
                  <c:v>7.3620037807183367</c:v>
                </c:pt>
                <c:pt idx="3">
                  <c:v>6.7517985611510793</c:v>
                </c:pt>
                <c:pt idx="4">
                  <c:v>7.8562555456965395</c:v>
                </c:pt>
                <c:pt idx="5">
                  <c:v>7.9075867635189665</c:v>
                </c:pt>
              </c:numCache>
              <c:extLst/>
            </c:numRef>
          </c:val>
          <c:extLst>
            <c:ext xmlns:c16="http://schemas.microsoft.com/office/drawing/2014/chart" uri="{C3380CC4-5D6E-409C-BE32-E72D297353CC}">
              <c16:uniqueId val="{00000001-C80C-4C91-861A-A07EC8B7B028}"/>
            </c:ext>
          </c:extLst>
        </c:ser>
        <c:ser>
          <c:idx val="2"/>
          <c:order val="2"/>
          <c:tx>
            <c:strRef>
              <c:f>'3.3 laadgedrag algemeen'!$G$245</c:f>
              <c:strCache>
                <c:ptCount val="1"/>
                <c:pt idx="0">
                  <c:v>2023</c:v>
                </c:pt>
              </c:strCache>
            </c:strRef>
          </c:tx>
          <c:spPr>
            <a:solidFill>
              <a:srgbClr val="C9C743"/>
            </a:solidFill>
            <a:ln>
              <a:noFill/>
            </a:ln>
            <a:effectLst/>
          </c:spPr>
          <c:invertIfNegative val="0"/>
          <c:cat>
            <c:strRef>
              <c:f>'3.3 laadgedrag algemeen'!$C$246:$C$251</c:f>
              <c:strCache>
                <c:ptCount val="6"/>
                <c:pt idx="0">
                  <c:v>Privé laadpunt thuis</c:v>
                </c:pt>
                <c:pt idx="1">
                  <c:v>Stopcontact thuis</c:v>
                </c:pt>
                <c:pt idx="2">
                  <c:v>Openbare laadpalen in de buurt van je woning</c:v>
                </c:pt>
                <c:pt idx="3">
                  <c:v>Openbare laadpalen elders</c:v>
                </c:pt>
                <c:pt idx="4">
                  <c:v>Laden op het werk</c:v>
                </c:pt>
                <c:pt idx="5">
                  <c:v>Snelladers </c:v>
                </c:pt>
              </c:strCache>
              <c:extLst/>
            </c:strRef>
          </c:cat>
          <c:val>
            <c:numRef>
              <c:f>'3.3 laadgedrag algemeen'!$G$246:$G$251</c:f>
              <c:numCache>
                <c:formatCode>0.0</c:formatCode>
                <c:ptCount val="6"/>
                <c:pt idx="0">
                  <c:v>9.1413227812323345</c:v>
                </c:pt>
                <c:pt idx="1">
                  <c:v>7.4329268292682924</c:v>
                </c:pt>
                <c:pt idx="2">
                  <c:v>7.145833333333333</c:v>
                </c:pt>
                <c:pt idx="3">
                  <c:v>6.7350597609999996</c:v>
                </c:pt>
                <c:pt idx="4">
                  <c:v>7.7655502392344502</c:v>
                </c:pt>
                <c:pt idx="5">
                  <c:v>7.9077221952404075</c:v>
                </c:pt>
              </c:numCache>
              <c:extLst/>
            </c:numRef>
          </c:val>
          <c:extLst>
            <c:ext xmlns:c16="http://schemas.microsoft.com/office/drawing/2014/chart" uri="{C3380CC4-5D6E-409C-BE32-E72D297353CC}">
              <c16:uniqueId val="{00000002-C80C-4C91-861A-A07EC8B7B028}"/>
            </c:ext>
          </c:extLst>
        </c:ser>
        <c:ser>
          <c:idx val="1"/>
          <c:order val="3"/>
          <c:tx>
            <c:strRef>
              <c:f>'3.3 laadgedrag algemeen'!$F$245</c:f>
              <c:strCache>
                <c:ptCount val="1"/>
                <c:pt idx="0">
                  <c:v>2022</c:v>
                </c:pt>
              </c:strCache>
            </c:strRef>
          </c:tx>
          <c:spPr>
            <a:solidFill>
              <a:srgbClr val="08B466"/>
            </a:solidFill>
            <a:ln>
              <a:noFill/>
            </a:ln>
            <a:effectLst/>
          </c:spPr>
          <c:invertIfNegative val="0"/>
          <c:cat>
            <c:strRef>
              <c:f>'3.3 laadgedrag algemeen'!$C$246:$C$251</c:f>
              <c:strCache>
                <c:ptCount val="6"/>
                <c:pt idx="0">
                  <c:v>Privé laadpunt thuis</c:v>
                </c:pt>
                <c:pt idx="1">
                  <c:v>Stopcontact thuis</c:v>
                </c:pt>
                <c:pt idx="2">
                  <c:v>Openbare laadpalen in de buurt van je woning</c:v>
                </c:pt>
                <c:pt idx="3">
                  <c:v>Openbare laadpalen elders</c:v>
                </c:pt>
                <c:pt idx="4">
                  <c:v>Laden op het werk</c:v>
                </c:pt>
                <c:pt idx="5">
                  <c:v>Snelladers </c:v>
                </c:pt>
              </c:strCache>
              <c:extLst/>
            </c:strRef>
          </c:cat>
          <c:val>
            <c:numRef>
              <c:f>'3.3 laadgedrag algemeen'!$F$246:$F$251</c:f>
              <c:numCache>
                <c:formatCode>General</c:formatCode>
                <c:ptCount val="6"/>
                <c:pt idx="0">
                  <c:v>9.3000000000000007</c:v>
                </c:pt>
                <c:pt idx="1">
                  <c:v>8</c:v>
                </c:pt>
                <c:pt idx="2">
                  <c:v>7.1</c:v>
                </c:pt>
                <c:pt idx="3">
                  <c:v>6.9</c:v>
                </c:pt>
                <c:pt idx="4">
                  <c:v>8</c:v>
                </c:pt>
                <c:pt idx="5" formatCode="0.0">
                  <c:v>7.9</c:v>
                </c:pt>
              </c:numCache>
              <c:extLst/>
            </c:numRef>
          </c:val>
          <c:extLst>
            <c:ext xmlns:c16="http://schemas.microsoft.com/office/drawing/2014/chart" uri="{C3380CC4-5D6E-409C-BE32-E72D297353CC}">
              <c16:uniqueId val="{00000003-C80C-4C91-861A-A07EC8B7B028}"/>
            </c:ext>
          </c:extLst>
        </c:ser>
        <c:ser>
          <c:idx val="0"/>
          <c:order val="4"/>
          <c:tx>
            <c:strRef>
              <c:f>'3.3 laadgedrag algemeen'!$E$245</c:f>
              <c:strCache>
                <c:ptCount val="1"/>
                <c:pt idx="0">
                  <c:v>2021</c:v>
                </c:pt>
              </c:strCache>
            </c:strRef>
          </c:tx>
          <c:spPr>
            <a:solidFill>
              <a:srgbClr val="2C307E"/>
            </a:solidFill>
            <a:ln>
              <a:noFill/>
            </a:ln>
            <a:effectLst/>
          </c:spPr>
          <c:invertIfNegative val="0"/>
          <c:cat>
            <c:strRef>
              <c:f>'3.3 laadgedrag algemeen'!$C$246:$C$251</c:f>
              <c:strCache>
                <c:ptCount val="6"/>
                <c:pt idx="0">
                  <c:v>Privé laadpunt thuis</c:v>
                </c:pt>
                <c:pt idx="1">
                  <c:v>Stopcontact thuis</c:v>
                </c:pt>
                <c:pt idx="2">
                  <c:v>Openbare laadpalen in de buurt van je woning</c:v>
                </c:pt>
                <c:pt idx="3">
                  <c:v>Openbare laadpalen elders</c:v>
                </c:pt>
                <c:pt idx="4">
                  <c:v>Laden op het werk</c:v>
                </c:pt>
                <c:pt idx="5">
                  <c:v>Snelladers </c:v>
                </c:pt>
              </c:strCache>
              <c:extLst/>
            </c:strRef>
          </c:cat>
          <c:val>
            <c:numRef>
              <c:f>'3.3 laadgedrag algemeen'!$E$246:$E$251</c:f>
              <c:numCache>
                <c:formatCode>General</c:formatCode>
                <c:ptCount val="6"/>
                <c:pt idx="0">
                  <c:v>9.3000000000000007</c:v>
                </c:pt>
                <c:pt idx="1">
                  <c:v>8</c:v>
                </c:pt>
                <c:pt idx="2">
                  <c:v>7.7</c:v>
                </c:pt>
                <c:pt idx="3">
                  <c:v>6.8</c:v>
                </c:pt>
                <c:pt idx="4">
                  <c:v>8.1</c:v>
                </c:pt>
                <c:pt idx="5" formatCode="0.0">
                  <c:v>8</c:v>
                </c:pt>
              </c:numCache>
              <c:extLst/>
            </c:numRef>
          </c:val>
          <c:extLst>
            <c:ext xmlns:c16="http://schemas.microsoft.com/office/drawing/2014/chart" uri="{C3380CC4-5D6E-409C-BE32-E72D297353CC}">
              <c16:uniqueId val="{00000004-C80C-4C91-861A-A07EC8B7B028}"/>
            </c:ext>
          </c:extLst>
        </c:ser>
        <c:dLbls>
          <c:showLegendKey val="0"/>
          <c:showVal val="0"/>
          <c:showCatName val="0"/>
          <c:showSerName val="0"/>
          <c:showPercent val="0"/>
          <c:showBubbleSize val="0"/>
        </c:dLbls>
        <c:gapWidth val="182"/>
        <c:axId val="711216904"/>
        <c:axId val="711217264"/>
      </c:barChart>
      <c:catAx>
        <c:axId val="71121690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2C307E"/>
                </a:solidFill>
                <a:latin typeface="+mn-lt"/>
                <a:ea typeface="+mn-ea"/>
                <a:cs typeface="+mn-cs"/>
              </a:defRPr>
            </a:pPr>
            <a:endParaRPr lang="nl-NL"/>
          </a:p>
        </c:txPr>
        <c:crossAx val="711217264"/>
        <c:crosses val="autoZero"/>
        <c:auto val="1"/>
        <c:lblAlgn val="ctr"/>
        <c:lblOffset val="100"/>
        <c:noMultiLvlLbl val="0"/>
      </c:catAx>
      <c:valAx>
        <c:axId val="71121726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2C307E"/>
                </a:solidFill>
                <a:latin typeface="+mn-lt"/>
                <a:ea typeface="+mn-ea"/>
                <a:cs typeface="+mn-cs"/>
              </a:defRPr>
            </a:pPr>
            <a:endParaRPr lang="nl-NL"/>
          </a:p>
        </c:txPr>
        <c:crossAx val="7112169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rgbClr val="2C307E"/>
              </a:solidFill>
              <a:latin typeface="+mn-lt"/>
              <a:ea typeface="+mn-ea"/>
              <a:cs typeface="+mn-cs"/>
            </a:defRPr>
          </a:pPr>
          <a:endParaRPr lang="nl-NL"/>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a:pPr>
      <a:endParaRPr lang="nl-NL"/>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rgbClr val="2C307E"/>
                </a:solidFill>
                <a:latin typeface="+mn-lt"/>
                <a:ea typeface="+mn-ea"/>
                <a:cs typeface="+mn-cs"/>
              </a:defRPr>
            </a:pPr>
            <a:r>
              <a:rPr lang="nl-NL" sz="1100">
                <a:solidFill>
                  <a:srgbClr val="2C307E"/>
                </a:solidFill>
              </a:rPr>
              <a:t>Laden</a:t>
            </a:r>
            <a:r>
              <a:rPr lang="nl-NL" sz="1100" baseline="0">
                <a:solidFill>
                  <a:srgbClr val="2C307E"/>
                </a:solidFill>
              </a:rPr>
              <a:t> in de toekomst; verwachtingen</a:t>
            </a:r>
            <a:endParaRPr lang="nl-NL" sz="1100">
              <a:solidFill>
                <a:srgbClr val="2C307E"/>
              </a:solidFill>
            </a:endParaRPr>
          </a:p>
        </c:rich>
      </c:tx>
      <c:overlay val="0"/>
      <c:spPr>
        <a:noFill/>
        <a:ln>
          <a:noFill/>
        </a:ln>
        <a:effectLst/>
      </c:spPr>
      <c:txPr>
        <a:bodyPr rot="0" spcFirstLastPara="1" vertOverflow="ellipsis" vert="horz" wrap="square" anchor="ctr" anchorCtr="1"/>
        <a:lstStyle/>
        <a:p>
          <a:pPr>
            <a:defRPr sz="1100" b="0" i="0" u="none" strike="noStrike" kern="1200" spc="0" baseline="0">
              <a:solidFill>
                <a:srgbClr val="2C307E"/>
              </a:solidFill>
              <a:latin typeface="+mn-lt"/>
              <a:ea typeface="+mn-ea"/>
              <a:cs typeface="+mn-cs"/>
            </a:defRPr>
          </a:pPr>
          <a:endParaRPr lang="nl-NL"/>
        </a:p>
      </c:txPr>
    </c:title>
    <c:autoTitleDeleted val="0"/>
    <c:plotArea>
      <c:layout>
        <c:manualLayout>
          <c:layoutTarget val="inner"/>
          <c:xMode val="edge"/>
          <c:yMode val="edge"/>
          <c:x val="6.8915721164775678E-2"/>
          <c:y val="7.7265971159445959E-2"/>
          <c:w val="0.90472199833288536"/>
          <c:h val="0.66123970153277678"/>
        </c:manualLayout>
      </c:layout>
      <c:barChart>
        <c:barDir val="col"/>
        <c:grouping val="clustered"/>
        <c:varyColors val="0"/>
        <c:ser>
          <c:idx val="0"/>
          <c:order val="0"/>
          <c:tx>
            <c:strRef>
              <c:f>'3.3 laadgedrag algemeen'!$E$92</c:f>
              <c:strCache>
                <c:ptCount val="1"/>
                <c:pt idx="0">
                  <c:v>Heel onwaarschijnlijk</c:v>
                </c:pt>
              </c:strCache>
            </c:strRef>
          </c:tx>
          <c:spPr>
            <a:solidFill>
              <a:srgbClr val="2C307E"/>
            </a:solidFill>
            <a:ln>
              <a:noFill/>
            </a:ln>
            <a:effectLst/>
          </c:spPr>
          <c:invertIfNegative val="0"/>
          <c:dLbls>
            <c:spPr>
              <a:noFill/>
              <a:ln>
                <a:noFill/>
              </a:ln>
              <a:effectLst/>
            </c:spPr>
            <c:txPr>
              <a:bodyPr rot="0" spcFirstLastPara="1" vertOverflow="ellipsis" vert="horz" wrap="square" lIns="38100" tIns="19050" rIns="38100" bIns="19050" anchor="ctr" anchorCtr="0">
                <a:spAutoFit/>
              </a:bodyPr>
              <a:lstStyle/>
              <a:p>
                <a:pPr algn="ctr">
                  <a:defRPr lang="en-US" sz="800" b="1" i="0" u="none" strike="noStrike" kern="1200" baseline="0">
                    <a:solidFill>
                      <a:srgbClr val="2C307E"/>
                    </a:solidFill>
                    <a:latin typeface="+mn-lt"/>
                    <a:ea typeface="+mn-ea"/>
                    <a:cs typeface="+mn-cs"/>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'3.3 laadgedrag algemeen'!$C$93:$D$97</c:f>
              <c:strCache>
                <c:ptCount val="5"/>
                <c:pt idx="0">
                  <c:v>Vooral snelladen: 5 minuten snelladen voor &gt;300km is de norm</c:v>
                </c:pt>
                <c:pt idx="1">
                  <c:v>Laadprijzen worden heel laag, veel lager dan nu </c:v>
                </c:pt>
                <c:pt idx="2">
                  <c:v>Geld verdienen met je eigen rijdende batterij op straat en bij huis </c:v>
                </c:pt>
                <c:pt idx="3">
                  <c:v>Mijn EV is straks een onlosmakelijk onderdeel van de energietransitie </c:v>
                </c:pt>
                <c:pt idx="4">
                  <c:v>Opladen is alleen nog mogelijk buiten spitsuren op het elektriciteitsnet </c:v>
                </c:pt>
              </c:strCache>
            </c:strRef>
          </c:cat>
          <c:val>
            <c:numRef>
              <c:f>'3.3 laadgedrag algemeen'!$E$93:$E$97</c:f>
              <c:numCache>
                <c:formatCode>0%</c:formatCode>
                <c:ptCount val="5"/>
                <c:pt idx="0">
                  <c:v>5.8257345491388043E-2</c:v>
                </c:pt>
                <c:pt idx="1">
                  <c:v>7.8520770010131719E-2</c:v>
                </c:pt>
                <c:pt idx="2">
                  <c:v>8.2066869300911852E-2</c:v>
                </c:pt>
                <c:pt idx="3">
                  <c:v>4.4579533941236066E-2</c:v>
                </c:pt>
                <c:pt idx="4">
                  <c:v>9.0678824721377907E-2</c:v>
                </c:pt>
              </c:numCache>
            </c:numRef>
          </c:val>
          <c:extLst>
            <c:ext xmlns:c16="http://schemas.microsoft.com/office/drawing/2014/chart" uri="{C3380CC4-5D6E-409C-BE32-E72D297353CC}">
              <c16:uniqueId val="{00000000-79E0-4746-8487-6355CFD206F8}"/>
            </c:ext>
          </c:extLst>
        </c:ser>
        <c:ser>
          <c:idx val="1"/>
          <c:order val="1"/>
          <c:tx>
            <c:strRef>
              <c:f>'3.3 laadgedrag algemeen'!$F$92</c:f>
              <c:strCache>
                <c:ptCount val="1"/>
                <c:pt idx="0">
                  <c:v>Onwaarschijnlijk</c:v>
                </c:pt>
              </c:strCache>
            </c:strRef>
          </c:tx>
          <c:spPr>
            <a:solidFill>
              <a:srgbClr val="08B466"/>
            </a:solidFill>
            <a:ln>
              <a:noFill/>
            </a:ln>
            <a:effectLst/>
          </c:spPr>
          <c:invertIfNegative val="0"/>
          <c:dLbls>
            <c:dLbl>
              <c:idx val="2"/>
              <c:layout>
                <c:manualLayout>
                  <c:x val="-8.7489063867016627E-3"/>
                  <c:y val="-3.819400322405998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65F-4881-9512-036DA05F1EFC}"/>
                </c:ext>
              </c:extLst>
            </c:dLbl>
            <c:spPr>
              <a:noFill/>
              <a:ln>
                <a:noFill/>
              </a:ln>
              <a:effectLst/>
            </c:spPr>
            <c:txPr>
              <a:bodyPr rot="0" spcFirstLastPara="1" vertOverflow="ellipsis" vert="horz" wrap="square" lIns="38100" tIns="19050" rIns="38100" bIns="19050" anchor="ctr" anchorCtr="0">
                <a:spAutoFit/>
              </a:bodyPr>
              <a:lstStyle/>
              <a:p>
                <a:pPr algn="ctr">
                  <a:defRPr lang="en-US" sz="800" b="1" i="0" u="none" strike="noStrike" kern="1200" baseline="0">
                    <a:solidFill>
                      <a:srgbClr val="2C307E"/>
                    </a:solidFill>
                    <a:latin typeface="+mn-lt"/>
                    <a:ea typeface="+mn-ea"/>
                    <a:cs typeface="+mn-cs"/>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'3.3 laadgedrag algemeen'!$C$93:$D$97</c:f>
              <c:strCache>
                <c:ptCount val="5"/>
                <c:pt idx="0">
                  <c:v>Vooral snelladen: 5 minuten snelladen voor &gt;300km is de norm</c:v>
                </c:pt>
                <c:pt idx="1">
                  <c:v>Laadprijzen worden heel laag, veel lager dan nu </c:v>
                </c:pt>
                <c:pt idx="2">
                  <c:v>Geld verdienen met je eigen rijdende batterij op straat en bij huis </c:v>
                </c:pt>
                <c:pt idx="3">
                  <c:v>Mijn EV is straks een onlosmakelijk onderdeel van de energietransitie </c:v>
                </c:pt>
                <c:pt idx="4">
                  <c:v>Opladen is alleen nog mogelijk buiten spitsuren op het elektriciteitsnet </c:v>
                </c:pt>
              </c:strCache>
            </c:strRef>
          </c:cat>
          <c:val>
            <c:numRef>
              <c:f>'3.3 laadgedrag algemeen'!$F$93:$F$97</c:f>
              <c:numCache>
                <c:formatCode>0%</c:formatCode>
                <c:ptCount val="5"/>
                <c:pt idx="0">
                  <c:v>0.19402228976697061</c:v>
                </c:pt>
                <c:pt idx="1">
                  <c:v>0.22644376899696048</c:v>
                </c:pt>
                <c:pt idx="2">
                  <c:v>0.26747720364741639</c:v>
                </c:pt>
                <c:pt idx="3">
                  <c:v>0.12158054711246201</c:v>
                </c:pt>
                <c:pt idx="4">
                  <c:v>0.31864235055724416</c:v>
                </c:pt>
              </c:numCache>
            </c:numRef>
          </c:val>
          <c:extLst>
            <c:ext xmlns:c16="http://schemas.microsoft.com/office/drawing/2014/chart" uri="{C3380CC4-5D6E-409C-BE32-E72D297353CC}">
              <c16:uniqueId val="{00000001-79E0-4746-8487-6355CFD206F8}"/>
            </c:ext>
          </c:extLst>
        </c:ser>
        <c:ser>
          <c:idx val="2"/>
          <c:order val="2"/>
          <c:tx>
            <c:strRef>
              <c:f>'3.3 laadgedrag algemeen'!$G$92</c:f>
              <c:strCache>
                <c:ptCount val="1"/>
                <c:pt idx="0">
                  <c:v>Neutraal</c:v>
                </c:pt>
              </c:strCache>
            </c:strRef>
          </c:tx>
          <c:spPr>
            <a:solidFill>
              <a:srgbClr val="C9C743"/>
            </a:solidFill>
            <a:ln>
              <a:noFill/>
            </a:ln>
            <a:effectLst/>
          </c:spPr>
          <c:invertIfNegative val="0"/>
          <c:dLbls>
            <c:spPr>
              <a:noFill/>
              <a:ln>
                <a:noFill/>
              </a:ln>
              <a:effectLst/>
            </c:spPr>
            <c:txPr>
              <a:bodyPr rot="0" spcFirstLastPara="1" vertOverflow="ellipsis" vert="horz" wrap="square" lIns="38100" tIns="19050" rIns="38100" bIns="19050" anchor="ctr" anchorCtr="0">
                <a:spAutoFit/>
              </a:bodyPr>
              <a:lstStyle/>
              <a:p>
                <a:pPr algn="ctr">
                  <a:defRPr lang="en-US" sz="800" b="1" i="0" u="none" strike="noStrike" kern="1200" baseline="0">
                    <a:solidFill>
                      <a:srgbClr val="2C307E"/>
                    </a:solidFill>
                    <a:latin typeface="+mn-lt"/>
                    <a:ea typeface="+mn-ea"/>
                    <a:cs typeface="+mn-cs"/>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'3.3 laadgedrag algemeen'!$C$93:$D$97</c:f>
              <c:strCache>
                <c:ptCount val="5"/>
                <c:pt idx="0">
                  <c:v>Vooral snelladen: 5 minuten snelladen voor &gt;300km is de norm</c:v>
                </c:pt>
                <c:pt idx="1">
                  <c:v>Laadprijzen worden heel laag, veel lager dan nu </c:v>
                </c:pt>
                <c:pt idx="2">
                  <c:v>Geld verdienen met je eigen rijdende batterij op straat en bij huis </c:v>
                </c:pt>
                <c:pt idx="3">
                  <c:v>Mijn EV is straks een onlosmakelijk onderdeel van de energietransitie </c:v>
                </c:pt>
                <c:pt idx="4">
                  <c:v>Opladen is alleen nog mogelijk buiten spitsuren op het elektriciteitsnet </c:v>
                </c:pt>
              </c:strCache>
            </c:strRef>
          </c:cat>
          <c:val>
            <c:numRef>
              <c:f>'3.3 laadgedrag algemeen'!$G$93:$G$97</c:f>
              <c:numCache>
                <c:formatCode>0%</c:formatCode>
                <c:ptCount val="5"/>
                <c:pt idx="0">
                  <c:v>0.1453900709219858</c:v>
                </c:pt>
                <c:pt idx="1">
                  <c:v>0.18034447821681865</c:v>
                </c:pt>
                <c:pt idx="2">
                  <c:v>0.27304964539007093</c:v>
                </c:pt>
                <c:pt idx="3">
                  <c:v>0.21175278622087132</c:v>
                </c:pt>
                <c:pt idx="4">
                  <c:v>0.24214792299898683</c:v>
                </c:pt>
              </c:numCache>
            </c:numRef>
          </c:val>
          <c:extLst>
            <c:ext xmlns:c16="http://schemas.microsoft.com/office/drawing/2014/chart" uri="{C3380CC4-5D6E-409C-BE32-E72D297353CC}">
              <c16:uniqueId val="{00000002-79E0-4746-8487-6355CFD206F8}"/>
            </c:ext>
          </c:extLst>
        </c:ser>
        <c:ser>
          <c:idx val="3"/>
          <c:order val="3"/>
          <c:tx>
            <c:strRef>
              <c:f>'3.3 laadgedrag algemeen'!$H$92</c:f>
              <c:strCache>
                <c:ptCount val="1"/>
                <c:pt idx="0">
                  <c:v>Waarschijnlijk</c:v>
                </c:pt>
              </c:strCache>
            </c:strRef>
          </c:tx>
          <c:spPr>
            <a:solidFill>
              <a:srgbClr val="BAD6ED"/>
            </a:solidFill>
            <a:ln>
              <a:noFill/>
            </a:ln>
            <a:effectLst/>
          </c:spPr>
          <c:invertIfNegative val="0"/>
          <c:dLbls>
            <c:spPr>
              <a:noFill/>
              <a:ln>
                <a:noFill/>
              </a:ln>
              <a:effectLst/>
            </c:spPr>
            <c:txPr>
              <a:bodyPr rot="0" spcFirstLastPara="1" vertOverflow="ellipsis" vert="horz" wrap="square" lIns="38100" tIns="19050" rIns="38100" bIns="19050" anchor="ctr" anchorCtr="0">
                <a:spAutoFit/>
              </a:bodyPr>
              <a:lstStyle/>
              <a:p>
                <a:pPr algn="ctr">
                  <a:defRPr lang="en-US" sz="800" b="1" i="0" u="none" strike="noStrike" kern="1200" baseline="0">
                    <a:solidFill>
                      <a:srgbClr val="2C307E"/>
                    </a:solidFill>
                    <a:latin typeface="+mn-lt"/>
                    <a:ea typeface="+mn-ea"/>
                    <a:cs typeface="+mn-cs"/>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'3.3 laadgedrag algemeen'!$C$93:$D$97</c:f>
              <c:strCache>
                <c:ptCount val="5"/>
                <c:pt idx="0">
                  <c:v>Vooral snelladen: 5 minuten snelladen voor &gt;300km is de norm</c:v>
                </c:pt>
                <c:pt idx="1">
                  <c:v>Laadprijzen worden heel laag, veel lager dan nu </c:v>
                </c:pt>
                <c:pt idx="2">
                  <c:v>Geld verdienen met je eigen rijdende batterij op straat en bij huis </c:v>
                </c:pt>
                <c:pt idx="3">
                  <c:v>Mijn EV is straks een onlosmakelijk onderdeel van de energietransitie </c:v>
                </c:pt>
                <c:pt idx="4">
                  <c:v>Opladen is alleen nog mogelijk buiten spitsuren op het elektriciteitsnet </c:v>
                </c:pt>
              </c:strCache>
            </c:strRef>
          </c:cat>
          <c:val>
            <c:numRef>
              <c:f>'3.3 laadgedrag algemeen'!$H$93:$H$97</c:f>
              <c:numCache>
                <c:formatCode>0%</c:formatCode>
                <c:ptCount val="5"/>
                <c:pt idx="0">
                  <c:v>0.40678824721377915</c:v>
                </c:pt>
                <c:pt idx="1">
                  <c:v>0.41843971631205673</c:v>
                </c:pt>
                <c:pt idx="2">
                  <c:v>0.29483282674772038</c:v>
                </c:pt>
                <c:pt idx="3">
                  <c:v>0.45086119554204662</c:v>
                </c:pt>
                <c:pt idx="4">
                  <c:v>0.2857142857142857</c:v>
                </c:pt>
              </c:numCache>
            </c:numRef>
          </c:val>
          <c:extLst>
            <c:ext xmlns:c16="http://schemas.microsoft.com/office/drawing/2014/chart" uri="{C3380CC4-5D6E-409C-BE32-E72D297353CC}">
              <c16:uniqueId val="{00000003-79E0-4746-8487-6355CFD206F8}"/>
            </c:ext>
          </c:extLst>
        </c:ser>
        <c:ser>
          <c:idx val="4"/>
          <c:order val="4"/>
          <c:tx>
            <c:strRef>
              <c:f>'3.3 laadgedrag algemeen'!$I$92</c:f>
              <c:strCache>
                <c:ptCount val="1"/>
                <c:pt idx="0">
                  <c:v>Heel waarschijnlijk</c:v>
                </c:pt>
              </c:strCache>
            </c:strRef>
          </c:tx>
          <c:spPr>
            <a:solidFill>
              <a:srgbClr val="4EAFAA"/>
            </a:solidFill>
            <a:ln>
              <a:noFill/>
            </a:ln>
            <a:effectLst/>
          </c:spPr>
          <c:invertIfNegative val="0"/>
          <c:dLbls>
            <c:spPr>
              <a:noFill/>
              <a:ln>
                <a:noFill/>
              </a:ln>
              <a:effectLst/>
            </c:spPr>
            <c:txPr>
              <a:bodyPr rot="0" spcFirstLastPara="1" vertOverflow="ellipsis" vert="horz" wrap="square" lIns="38100" tIns="19050" rIns="38100" bIns="19050" anchor="ctr" anchorCtr="0">
                <a:spAutoFit/>
              </a:bodyPr>
              <a:lstStyle/>
              <a:p>
                <a:pPr algn="ctr">
                  <a:defRPr lang="en-US" sz="800" b="1" i="0" u="none" strike="noStrike" kern="1200" baseline="0">
                    <a:solidFill>
                      <a:srgbClr val="2C307E"/>
                    </a:solidFill>
                    <a:latin typeface="+mn-lt"/>
                    <a:ea typeface="+mn-ea"/>
                    <a:cs typeface="+mn-cs"/>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'3.3 laadgedrag algemeen'!$C$93:$D$97</c:f>
              <c:strCache>
                <c:ptCount val="5"/>
                <c:pt idx="0">
                  <c:v>Vooral snelladen: 5 minuten snelladen voor &gt;300km is de norm</c:v>
                </c:pt>
                <c:pt idx="1">
                  <c:v>Laadprijzen worden heel laag, veel lager dan nu </c:v>
                </c:pt>
                <c:pt idx="2">
                  <c:v>Geld verdienen met je eigen rijdende batterij op straat en bij huis </c:v>
                </c:pt>
                <c:pt idx="3">
                  <c:v>Mijn EV is straks een onlosmakelijk onderdeel van de energietransitie </c:v>
                </c:pt>
                <c:pt idx="4">
                  <c:v>Opladen is alleen nog mogelijk buiten spitsuren op het elektriciteitsnet </c:v>
                </c:pt>
              </c:strCache>
            </c:strRef>
          </c:cat>
          <c:val>
            <c:numRef>
              <c:f>'3.3 laadgedrag algemeen'!$I$93:$I$97</c:f>
              <c:numCache>
                <c:formatCode>0%</c:formatCode>
                <c:ptCount val="5"/>
                <c:pt idx="0">
                  <c:v>0.1955420466058764</c:v>
                </c:pt>
                <c:pt idx="1">
                  <c:v>9.6251266464032426E-2</c:v>
                </c:pt>
                <c:pt idx="2">
                  <c:v>8.2573454913880448E-2</c:v>
                </c:pt>
                <c:pt idx="3">
                  <c:v>0.171225937183384</c:v>
                </c:pt>
                <c:pt idx="4">
                  <c:v>6.2816616008105369E-2</c:v>
                </c:pt>
              </c:numCache>
            </c:numRef>
          </c:val>
          <c:extLst>
            <c:ext xmlns:c16="http://schemas.microsoft.com/office/drawing/2014/chart" uri="{C3380CC4-5D6E-409C-BE32-E72D297353CC}">
              <c16:uniqueId val="{00000004-79E0-4746-8487-6355CFD206F8}"/>
            </c:ext>
          </c:extLst>
        </c:ser>
        <c:dLbls>
          <c:showLegendKey val="0"/>
          <c:showVal val="0"/>
          <c:showCatName val="0"/>
          <c:showSerName val="0"/>
          <c:showPercent val="0"/>
          <c:showBubbleSize val="0"/>
        </c:dLbls>
        <c:gapWidth val="150"/>
        <c:axId val="430991048"/>
        <c:axId val="430667912"/>
      </c:barChart>
      <c:catAx>
        <c:axId val="4309910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2C307E"/>
                </a:solidFill>
                <a:latin typeface="+mn-lt"/>
                <a:ea typeface="+mn-ea"/>
                <a:cs typeface="+mn-cs"/>
              </a:defRPr>
            </a:pPr>
            <a:endParaRPr lang="nl-NL"/>
          </a:p>
        </c:txPr>
        <c:crossAx val="430667912"/>
        <c:crosses val="autoZero"/>
        <c:auto val="1"/>
        <c:lblAlgn val="ctr"/>
        <c:lblOffset val="100"/>
        <c:noMultiLvlLbl val="0"/>
      </c:catAx>
      <c:valAx>
        <c:axId val="430667912"/>
        <c:scaling>
          <c:orientation val="minMax"/>
          <c:max val="0.5"/>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2C307E"/>
                </a:solidFill>
                <a:latin typeface="+mn-lt"/>
                <a:ea typeface="+mn-ea"/>
                <a:cs typeface="+mn-cs"/>
              </a:defRPr>
            </a:pPr>
            <a:endParaRPr lang="nl-NL"/>
          </a:p>
        </c:txPr>
        <c:crossAx val="430991048"/>
        <c:crosses val="autoZero"/>
        <c:crossBetween val="between"/>
      </c:valAx>
      <c:spPr>
        <a:noFill/>
        <a:ln>
          <a:noFill/>
        </a:ln>
        <a:effectLst/>
      </c:spPr>
    </c:plotArea>
    <c:legend>
      <c:legendPos val="b"/>
      <c:layout>
        <c:manualLayout>
          <c:xMode val="edge"/>
          <c:yMode val="edge"/>
          <c:x val="6.212705203188184E-2"/>
          <c:y val="0.87075368940101494"/>
          <c:w val="0.88886908329372216"/>
          <c:h val="0.10873143112265606"/>
        </c:manualLayout>
      </c:layout>
      <c:overlay val="0"/>
      <c:spPr>
        <a:noFill/>
        <a:ln>
          <a:noFill/>
        </a:ln>
        <a:effectLst/>
      </c:spPr>
      <c:txPr>
        <a:bodyPr rot="0" spcFirstLastPara="1" vertOverflow="ellipsis" vert="horz" wrap="square" anchor="ctr" anchorCtr="1"/>
        <a:lstStyle/>
        <a:p>
          <a:pPr>
            <a:defRPr sz="900" b="0" i="0" u="none" strike="noStrike" kern="1200" baseline="0">
              <a:solidFill>
                <a:srgbClr val="2C307E"/>
              </a:solidFill>
              <a:latin typeface="+mn-lt"/>
              <a:ea typeface="+mn-ea"/>
              <a:cs typeface="+mn-cs"/>
            </a:defRPr>
          </a:pPr>
          <a:endParaRPr lang="nl-NL"/>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a:pPr>
      <a:endParaRPr lang="nl-NL"/>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50" b="0" i="0" u="none" strike="noStrike" kern="1200" spc="0" baseline="0">
                <a:solidFill>
                  <a:srgbClr val="2C307E"/>
                </a:solidFill>
                <a:latin typeface="+mn-lt"/>
                <a:ea typeface="+mn-ea"/>
                <a:cs typeface="+mn-cs"/>
              </a:defRPr>
            </a:pPr>
            <a:r>
              <a:rPr lang="nl-NL" sz="1050" b="0" i="0" u="none" strike="noStrike" kern="1200" spc="0" baseline="0">
                <a:solidFill>
                  <a:srgbClr val="2C307E"/>
                </a:solidFill>
              </a:rPr>
              <a:t>Niet thuislader starten met laden [N=394] </a:t>
            </a:r>
          </a:p>
        </c:rich>
      </c:tx>
      <c:overlay val="0"/>
      <c:spPr>
        <a:noFill/>
        <a:ln>
          <a:noFill/>
        </a:ln>
        <a:effectLst/>
      </c:spPr>
    </c:title>
    <c:autoTitleDeleted val="0"/>
    <c:plotArea>
      <c:layout>
        <c:manualLayout>
          <c:layoutTarget val="inner"/>
          <c:xMode val="edge"/>
          <c:yMode val="edge"/>
          <c:x val="6.7043380878382478E-2"/>
          <c:y val="0.18541748333986671"/>
          <c:w val="0.90175971663960963"/>
          <c:h val="0.46603184793982289"/>
        </c:manualLayout>
      </c:layout>
      <c:barChart>
        <c:barDir val="col"/>
        <c:grouping val="clustered"/>
        <c:varyColors val="0"/>
        <c:ser>
          <c:idx val="0"/>
          <c:order val="0"/>
          <c:tx>
            <c:v>Starten met laden 2025</c:v>
          </c:tx>
          <c:spPr>
            <a:solidFill>
              <a:srgbClr val="2C307E"/>
            </a:solidFill>
            <a:ln>
              <a:noFill/>
            </a:ln>
            <a:effectLst/>
          </c:spPr>
          <c:invertIfNegative val="0"/>
          <c:cat>
            <c:strRef>
              <c:f>'3.3 laadgedrag algemeen'!$C$359:$AX$359</c:f>
              <c:strCache>
                <c:ptCount val="48"/>
                <c:pt idx="0">
                  <c:v>00:00</c:v>
                </c:pt>
                <c:pt idx="1">
                  <c:v>0:30</c:v>
                </c:pt>
                <c:pt idx="2">
                  <c:v>1:00</c:v>
                </c:pt>
                <c:pt idx="3">
                  <c:v>1:30</c:v>
                </c:pt>
                <c:pt idx="4">
                  <c:v>2:00</c:v>
                </c:pt>
                <c:pt idx="5">
                  <c:v>2:30</c:v>
                </c:pt>
                <c:pt idx="6">
                  <c:v>3:00</c:v>
                </c:pt>
                <c:pt idx="7">
                  <c:v>3:30</c:v>
                </c:pt>
                <c:pt idx="8">
                  <c:v>4:00</c:v>
                </c:pt>
                <c:pt idx="9">
                  <c:v>4:30</c:v>
                </c:pt>
                <c:pt idx="10">
                  <c:v>5:00</c:v>
                </c:pt>
                <c:pt idx="11">
                  <c:v>5:30</c:v>
                </c:pt>
                <c:pt idx="12">
                  <c:v>6:00</c:v>
                </c:pt>
                <c:pt idx="13">
                  <c:v>6:30</c:v>
                </c:pt>
                <c:pt idx="14">
                  <c:v>7:00</c:v>
                </c:pt>
                <c:pt idx="15">
                  <c:v>7:30</c:v>
                </c:pt>
                <c:pt idx="16">
                  <c:v>8:00</c:v>
                </c:pt>
                <c:pt idx="17">
                  <c:v>8:30</c:v>
                </c:pt>
                <c:pt idx="18">
                  <c:v>9:00</c:v>
                </c:pt>
                <c:pt idx="19">
                  <c:v>9:30</c:v>
                </c:pt>
                <c:pt idx="20">
                  <c:v>10:00</c:v>
                </c:pt>
                <c:pt idx="21">
                  <c:v>10:30</c:v>
                </c:pt>
                <c:pt idx="22">
                  <c:v>11:00</c:v>
                </c:pt>
                <c:pt idx="23">
                  <c:v>11:30</c:v>
                </c:pt>
                <c:pt idx="24">
                  <c:v>12:00</c:v>
                </c:pt>
                <c:pt idx="25">
                  <c:v>12:30</c:v>
                </c:pt>
                <c:pt idx="26">
                  <c:v>13:00</c:v>
                </c:pt>
                <c:pt idx="27">
                  <c:v>13:30</c:v>
                </c:pt>
                <c:pt idx="28">
                  <c:v>14:00</c:v>
                </c:pt>
                <c:pt idx="29">
                  <c:v>14:30</c:v>
                </c:pt>
                <c:pt idx="30">
                  <c:v>15:00</c:v>
                </c:pt>
                <c:pt idx="31">
                  <c:v>15:30</c:v>
                </c:pt>
                <c:pt idx="32">
                  <c:v>16:00</c:v>
                </c:pt>
                <c:pt idx="33">
                  <c:v>16:30</c:v>
                </c:pt>
                <c:pt idx="34">
                  <c:v>17:00</c:v>
                </c:pt>
                <c:pt idx="35">
                  <c:v>17:30</c:v>
                </c:pt>
                <c:pt idx="36">
                  <c:v>18:00</c:v>
                </c:pt>
                <c:pt idx="37">
                  <c:v>18:30</c:v>
                </c:pt>
                <c:pt idx="38">
                  <c:v>19:00</c:v>
                </c:pt>
                <c:pt idx="39">
                  <c:v>19:30</c:v>
                </c:pt>
                <c:pt idx="40">
                  <c:v>20:00</c:v>
                </c:pt>
                <c:pt idx="41">
                  <c:v>20:30</c:v>
                </c:pt>
                <c:pt idx="42">
                  <c:v>21:00</c:v>
                </c:pt>
                <c:pt idx="43">
                  <c:v>21:30</c:v>
                </c:pt>
                <c:pt idx="44">
                  <c:v>22:00</c:v>
                </c:pt>
                <c:pt idx="45">
                  <c:v>22:30</c:v>
                </c:pt>
                <c:pt idx="46">
                  <c:v>23:00</c:v>
                </c:pt>
                <c:pt idx="47">
                  <c:v>23:30</c:v>
                </c:pt>
              </c:strCache>
            </c:strRef>
          </c:cat>
          <c:val>
            <c:numRef>
              <c:f>'3.3 laadgedrag algemeen'!$C$306:$AX$306</c:f>
              <c:numCache>
                <c:formatCode>0%</c:formatCode>
                <c:ptCount val="48"/>
                <c:pt idx="0">
                  <c:v>2.5641025641025641E-3</c:v>
                </c:pt>
                <c:pt idx="1">
                  <c:v>0</c:v>
                </c:pt>
                <c:pt idx="2">
                  <c:v>0</c:v>
                </c:pt>
                <c:pt idx="3">
                  <c:v>0</c:v>
                </c:pt>
                <c:pt idx="4">
                  <c:v>2.5641025641025641E-3</c:v>
                </c:pt>
                <c:pt idx="5">
                  <c:v>0</c:v>
                </c:pt>
                <c:pt idx="6">
                  <c:v>2.5641025641025641E-3</c:v>
                </c:pt>
                <c:pt idx="7">
                  <c:v>2.5641025641025641E-3</c:v>
                </c:pt>
                <c:pt idx="8">
                  <c:v>2.5641025641025641E-3</c:v>
                </c:pt>
                <c:pt idx="9">
                  <c:v>0</c:v>
                </c:pt>
                <c:pt idx="10">
                  <c:v>0</c:v>
                </c:pt>
                <c:pt idx="11">
                  <c:v>0</c:v>
                </c:pt>
                <c:pt idx="12">
                  <c:v>1.282051282051282E-2</c:v>
                </c:pt>
                <c:pt idx="13">
                  <c:v>7.6923076923076927E-3</c:v>
                </c:pt>
                <c:pt idx="14">
                  <c:v>3.8461538461538464E-2</c:v>
                </c:pt>
                <c:pt idx="15">
                  <c:v>3.5897435897435895E-2</c:v>
                </c:pt>
                <c:pt idx="16">
                  <c:v>6.6666666666666666E-2</c:v>
                </c:pt>
                <c:pt idx="17">
                  <c:v>4.3589743589743588E-2</c:v>
                </c:pt>
                <c:pt idx="18">
                  <c:v>7.4358974358974358E-2</c:v>
                </c:pt>
                <c:pt idx="19">
                  <c:v>2.0512820512820513E-2</c:v>
                </c:pt>
                <c:pt idx="20">
                  <c:v>5.6410256410256411E-2</c:v>
                </c:pt>
                <c:pt idx="21">
                  <c:v>1.282051282051282E-2</c:v>
                </c:pt>
                <c:pt idx="22">
                  <c:v>2.3076923076923078E-2</c:v>
                </c:pt>
                <c:pt idx="23">
                  <c:v>2.5641025641025641E-3</c:v>
                </c:pt>
                <c:pt idx="24">
                  <c:v>3.3333333333333333E-2</c:v>
                </c:pt>
                <c:pt idx="25">
                  <c:v>5.1282051282051282E-3</c:v>
                </c:pt>
                <c:pt idx="26">
                  <c:v>2.3076923076923078E-2</c:v>
                </c:pt>
                <c:pt idx="27">
                  <c:v>1.0256410256410256E-2</c:v>
                </c:pt>
                <c:pt idx="28">
                  <c:v>2.3076923076923078E-2</c:v>
                </c:pt>
                <c:pt idx="29">
                  <c:v>0</c:v>
                </c:pt>
                <c:pt idx="30">
                  <c:v>1.282051282051282E-2</c:v>
                </c:pt>
                <c:pt idx="31">
                  <c:v>7.6923076923076927E-3</c:v>
                </c:pt>
                <c:pt idx="32">
                  <c:v>4.1025641025641026E-2</c:v>
                </c:pt>
                <c:pt idx="33">
                  <c:v>2.3076923076923078E-2</c:v>
                </c:pt>
                <c:pt idx="34">
                  <c:v>6.9230769230769235E-2</c:v>
                </c:pt>
                <c:pt idx="35">
                  <c:v>2.8205128205128206E-2</c:v>
                </c:pt>
                <c:pt idx="36">
                  <c:v>8.9743589743589744E-2</c:v>
                </c:pt>
                <c:pt idx="37">
                  <c:v>3.5897435897435895E-2</c:v>
                </c:pt>
                <c:pt idx="38">
                  <c:v>4.3589743589743588E-2</c:v>
                </c:pt>
                <c:pt idx="39">
                  <c:v>2.5641025641025641E-3</c:v>
                </c:pt>
                <c:pt idx="40">
                  <c:v>4.8717948717948718E-2</c:v>
                </c:pt>
                <c:pt idx="41">
                  <c:v>2.5641025641025641E-3</c:v>
                </c:pt>
                <c:pt idx="42">
                  <c:v>4.6153846153846156E-2</c:v>
                </c:pt>
                <c:pt idx="43">
                  <c:v>7.6923076923076927E-3</c:v>
                </c:pt>
                <c:pt idx="44">
                  <c:v>1.7948717948717947E-2</c:v>
                </c:pt>
                <c:pt idx="45">
                  <c:v>2.5641025641025641E-3</c:v>
                </c:pt>
                <c:pt idx="46">
                  <c:v>1.5384615384615385E-2</c:v>
                </c:pt>
                <c:pt idx="47">
                  <c:v>2.5641025641025641E-3</c:v>
                </c:pt>
              </c:numCache>
            </c:numRef>
          </c:val>
          <c:extLst>
            <c:ext xmlns:c16="http://schemas.microsoft.com/office/drawing/2014/chart" uri="{C3380CC4-5D6E-409C-BE32-E72D297353CC}">
              <c16:uniqueId val="{00000000-CC0F-44A5-ABB4-157334FD8466}"/>
            </c:ext>
          </c:extLst>
        </c:ser>
        <c:ser>
          <c:idx val="2"/>
          <c:order val="2"/>
          <c:tx>
            <c:v>Starten met laden 2024</c:v>
          </c:tx>
          <c:spPr>
            <a:solidFill>
              <a:srgbClr val="08B466"/>
            </a:solidFill>
          </c:spPr>
          <c:invertIfNegative val="0"/>
          <c:val>
            <c:numRef>
              <c:f>'3.3 laadgedrag algemeen'!$C$340:$AX$340</c:f>
              <c:numCache>
                <c:formatCode>0%</c:formatCode>
                <c:ptCount val="48"/>
                <c:pt idx="0">
                  <c:v>3.629764065335753E-3</c:v>
                </c:pt>
                <c:pt idx="1">
                  <c:v>0</c:v>
                </c:pt>
                <c:pt idx="2">
                  <c:v>7.2595281306715061E-3</c:v>
                </c:pt>
                <c:pt idx="3">
                  <c:v>1.8148820326678765E-3</c:v>
                </c:pt>
                <c:pt idx="4">
                  <c:v>5.4446460980036296E-3</c:v>
                </c:pt>
                <c:pt idx="5">
                  <c:v>0</c:v>
                </c:pt>
                <c:pt idx="6">
                  <c:v>1.8148820326678765E-3</c:v>
                </c:pt>
                <c:pt idx="7">
                  <c:v>0</c:v>
                </c:pt>
                <c:pt idx="8">
                  <c:v>0</c:v>
                </c:pt>
                <c:pt idx="9">
                  <c:v>0</c:v>
                </c:pt>
                <c:pt idx="10">
                  <c:v>1.8148820326678765E-3</c:v>
                </c:pt>
                <c:pt idx="11">
                  <c:v>0</c:v>
                </c:pt>
                <c:pt idx="12">
                  <c:v>3.629764065335753E-3</c:v>
                </c:pt>
                <c:pt idx="13">
                  <c:v>3.629764065335753E-3</c:v>
                </c:pt>
                <c:pt idx="14">
                  <c:v>3.629764065335753E-3</c:v>
                </c:pt>
                <c:pt idx="15">
                  <c:v>1.2704174228675136E-2</c:v>
                </c:pt>
                <c:pt idx="16">
                  <c:v>3.8112522686025406E-2</c:v>
                </c:pt>
                <c:pt idx="17">
                  <c:v>1.9963702359346643E-2</c:v>
                </c:pt>
                <c:pt idx="18">
                  <c:v>4.7186932849364795E-2</c:v>
                </c:pt>
                <c:pt idx="19">
                  <c:v>9.0744101633393835E-3</c:v>
                </c:pt>
                <c:pt idx="20">
                  <c:v>4.3557168784029036E-2</c:v>
                </c:pt>
                <c:pt idx="21">
                  <c:v>1.8148820326678765E-3</c:v>
                </c:pt>
                <c:pt idx="22">
                  <c:v>2.1778584392014518E-2</c:v>
                </c:pt>
                <c:pt idx="23">
                  <c:v>1.8148820326678765E-3</c:v>
                </c:pt>
                <c:pt idx="24">
                  <c:v>1.8148820326678767E-2</c:v>
                </c:pt>
                <c:pt idx="25">
                  <c:v>1.8148820326678765E-3</c:v>
                </c:pt>
                <c:pt idx="26">
                  <c:v>3.4482758620689655E-2</c:v>
                </c:pt>
                <c:pt idx="27">
                  <c:v>5.4446460980036296E-3</c:v>
                </c:pt>
                <c:pt idx="28">
                  <c:v>1.6333938294010888E-2</c:v>
                </c:pt>
                <c:pt idx="29">
                  <c:v>5.4446460980036296E-3</c:v>
                </c:pt>
                <c:pt idx="30">
                  <c:v>9.0744101633393835E-3</c:v>
                </c:pt>
                <c:pt idx="31">
                  <c:v>7.2595281306715061E-3</c:v>
                </c:pt>
                <c:pt idx="32">
                  <c:v>4.1742286751361164E-2</c:v>
                </c:pt>
                <c:pt idx="33">
                  <c:v>2.9038112522686024E-2</c:v>
                </c:pt>
                <c:pt idx="34">
                  <c:v>9.8003629764065334E-2</c:v>
                </c:pt>
                <c:pt idx="35">
                  <c:v>6.1705989110707807E-2</c:v>
                </c:pt>
                <c:pt idx="36">
                  <c:v>0.1397459165154265</c:v>
                </c:pt>
                <c:pt idx="37">
                  <c:v>5.8076225045372049E-2</c:v>
                </c:pt>
                <c:pt idx="38">
                  <c:v>7.6225045372050812E-2</c:v>
                </c:pt>
                <c:pt idx="39">
                  <c:v>1.8148820326678767E-2</c:v>
                </c:pt>
                <c:pt idx="40">
                  <c:v>5.4446460980036297E-2</c:v>
                </c:pt>
                <c:pt idx="41">
                  <c:v>7.2595281306715061E-3</c:v>
                </c:pt>
                <c:pt idx="42">
                  <c:v>3.8112522686025406E-2</c:v>
                </c:pt>
                <c:pt idx="43">
                  <c:v>5.4446460980036296E-3</c:v>
                </c:pt>
                <c:pt idx="44">
                  <c:v>2.1778584392014518E-2</c:v>
                </c:pt>
                <c:pt idx="45">
                  <c:v>1.8148820326678765E-3</c:v>
                </c:pt>
                <c:pt idx="46">
                  <c:v>1.4519056261343012E-2</c:v>
                </c:pt>
                <c:pt idx="47">
                  <c:v>7.2595281306715061E-3</c:v>
                </c:pt>
              </c:numCache>
            </c:numRef>
          </c:val>
          <c:extLst>
            <c:ext xmlns:c16="http://schemas.microsoft.com/office/drawing/2014/chart" uri="{C3380CC4-5D6E-409C-BE32-E72D297353CC}">
              <c16:uniqueId val="{00000001-CC0F-44A5-ABB4-157334FD8466}"/>
            </c:ext>
          </c:extLst>
        </c:ser>
        <c:dLbls>
          <c:showLegendKey val="0"/>
          <c:showVal val="0"/>
          <c:showCatName val="0"/>
          <c:showSerName val="0"/>
          <c:showPercent val="0"/>
          <c:showBubbleSize val="0"/>
        </c:dLbls>
        <c:gapWidth val="219"/>
        <c:overlap val="-27"/>
        <c:axId val="504700752"/>
        <c:axId val="504699672"/>
        <c:extLst>
          <c:ext xmlns:c15="http://schemas.microsoft.com/office/drawing/2012/chart" uri="{02D57815-91ED-43cb-92C2-25804820EDAC}">
            <c15:filteredBarSeries>
              <c15:ser>
                <c:idx val="1"/>
                <c:order val="1"/>
                <c:tx>
                  <c:v>Stoppen met laden 2025</c:v>
                </c:tx>
                <c:spPr>
                  <a:solidFill>
                    <a:srgbClr val="08B466"/>
                  </a:solidFill>
                  <a:ln>
                    <a:noFill/>
                  </a:ln>
                  <a:effectLst/>
                </c:spPr>
                <c:invertIfNegative val="0"/>
                <c:cat>
                  <c:strRef>
                    <c:extLst>
                      <c:ext uri="{02D57815-91ED-43cb-92C2-25804820EDAC}">
                        <c15:formulaRef>
                          <c15:sqref>'3.3 laadgedrag algemeen'!$C$359:$AX$359</c15:sqref>
                        </c15:formulaRef>
                      </c:ext>
                    </c:extLst>
                    <c:strCache>
                      <c:ptCount val="48"/>
                      <c:pt idx="0">
                        <c:v>00:00</c:v>
                      </c:pt>
                      <c:pt idx="1">
                        <c:v>0:30</c:v>
                      </c:pt>
                      <c:pt idx="2">
                        <c:v>1:00</c:v>
                      </c:pt>
                      <c:pt idx="3">
                        <c:v>1:30</c:v>
                      </c:pt>
                      <c:pt idx="4">
                        <c:v>2:00</c:v>
                      </c:pt>
                      <c:pt idx="5">
                        <c:v>2:30</c:v>
                      </c:pt>
                      <c:pt idx="6">
                        <c:v>3:00</c:v>
                      </c:pt>
                      <c:pt idx="7">
                        <c:v>3:30</c:v>
                      </c:pt>
                      <c:pt idx="8">
                        <c:v>4:00</c:v>
                      </c:pt>
                      <c:pt idx="9">
                        <c:v>4:30</c:v>
                      </c:pt>
                      <c:pt idx="10">
                        <c:v>5:00</c:v>
                      </c:pt>
                      <c:pt idx="11">
                        <c:v>5:30</c:v>
                      </c:pt>
                      <c:pt idx="12">
                        <c:v>6:00</c:v>
                      </c:pt>
                      <c:pt idx="13">
                        <c:v>6:30</c:v>
                      </c:pt>
                      <c:pt idx="14">
                        <c:v>7:00</c:v>
                      </c:pt>
                      <c:pt idx="15">
                        <c:v>7:30</c:v>
                      </c:pt>
                      <c:pt idx="16">
                        <c:v>8:00</c:v>
                      </c:pt>
                      <c:pt idx="17">
                        <c:v>8:30</c:v>
                      </c:pt>
                      <c:pt idx="18">
                        <c:v>9:00</c:v>
                      </c:pt>
                      <c:pt idx="19">
                        <c:v>9:30</c:v>
                      </c:pt>
                      <c:pt idx="20">
                        <c:v>10:00</c:v>
                      </c:pt>
                      <c:pt idx="21">
                        <c:v>10:30</c:v>
                      </c:pt>
                      <c:pt idx="22">
                        <c:v>11:00</c:v>
                      </c:pt>
                      <c:pt idx="23">
                        <c:v>11:30</c:v>
                      </c:pt>
                      <c:pt idx="24">
                        <c:v>12:00</c:v>
                      </c:pt>
                      <c:pt idx="25">
                        <c:v>12:30</c:v>
                      </c:pt>
                      <c:pt idx="26">
                        <c:v>13:00</c:v>
                      </c:pt>
                      <c:pt idx="27">
                        <c:v>13:30</c:v>
                      </c:pt>
                      <c:pt idx="28">
                        <c:v>14:00</c:v>
                      </c:pt>
                      <c:pt idx="29">
                        <c:v>14:30</c:v>
                      </c:pt>
                      <c:pt idx="30">
                        <c:v>15:00</c:v>
                      </c:pt>
                      <c:pt idx="31">
                        <c:v>15:30</c:v>
                      </c:pt>
                      <c:pt idx="32">
                        <c:v>16:00</c:v>
                      </c:pt>
                      <c:pt idx="33">
                        <c:v>16:30</c:v>
                      </c:pt>
                      <c:pt idx="34">
                        <c:v>17:00</c:v>
                      </c:pt>
                      <c:pt idx="35">
                        <c:v>17:30</c:v>
                      </c:pt>
                      <c:pt idx="36">
                        <c:v>18:00</c:v>
                      </c:pt>
                      <c:pt idx="37">
                        <c:v>18:30</c:v>
                      </c:pt>
                      <c:pt idx="38">
                        <c:v>19:00</c:v>
                      </c:pt>
                      <c:pt idx="39">
                        <c:v>19:30</c:v>
                      </c:pt>
                      <c:pt idx="40">
                        <c:v>20:00</c:v>
                      </c:pt>
                      <c:pt idx="41">
                        <c:v>20:30</c:v>
                      </c:pt>
                      <c:pt idx="42">
                        <c:v>21:00</c:v>
                      </c:pt>
                      <c:pt idx="43">
                        <c:v>21:30</c:v>
                      </c:pt>
                      <c:pt idx="44">
                        <c:v>22:00</c:v>
                      </c:pt>
                      <c:pt idx="45">
                        <c:v>22:30</c:v>
                      </c:pt>
                      <c:pt idx="46">
                        <c:v>23:00</c:v>
                      </c:pt>
                      <c:pt idx="47">
                        <c:v>23:30</c:v>
                      </c:pt>
                    </c:strCache>
                  </c:strRef>
                </c:cat>
                <c:val>
                  <c:numRef>
                    <c:extLst>
                      <c:ext uri="{02D57815-91ED-43cb-92C2-25804820EDAC}">
                        <c15:formulaRef>
                          <c15:sqref>'3.3 laadgedrag algemeen'!$C$307:$AX$307</c15:sqref>
                        </c15:formulaRef>
                      </c:ext>
                    </c:extLst>
                    <c:numCache>
                      <c:formatCode>0%</c:formatCode>
                      <c:ptCount val="48"/>
                      <c:pt idx="0">
                        <c:v>2.5380710659898475E-3</c:v>
                      </c:pt>
                      <c:pt idx="1">
                        <c:v>0</c:v>
                      </c:pt>
                      <c:pt idx="2">
                        <c:v>0</c:v>
                      </c:pt>
                      <c:pt idx="3">
                        <c:v>0</c:v>
                      </c:pt>
                      <c:pt idx="4">
                        <c:v>0</c:v>
                      </c:pt>
                      <c:pt idx="5">
                        <c:v>0</c:v>
                      </c:pt>
                      <c:pt idx="6">
                        <c:v>0</c:v>
                      </c:pt>
                      <c:pt idx="7">
                        <c:v>2.5380710659898475E-3</c:v>
                      </c:pt>
                      <c:pt idx="8">
                        <c:v>0</c:v>
                      </c:pt>
                      <c:pt idx="9">
                        <c:v>0</c:v>
                      </c:pt>
                      <c:pt idx="10">
                        <c:v>2.5380710659898475E-3</c:v>
                      </c:pt>
                      <c:pt idx="11">
                        <c:v>2.5380710659898475E-3</c:v>
                      </c:pt>
                      <c:pt idx="12">
                        <c:v>1.5228426395939087E-2</c:v>
                      </c:pt>
                      <c:pt idx="13">
                        <c:v>2.5380710659898477E-2</c:v>
                      </c:pt>
                      <c:pt idx="14">
                        <c:v>7.8680203045685279E-2</c:v>
                      </c:pt>
                      <c:pt idx="15">
                        <c:v>5.8375634517766499E-2</c:v>
                      </c:pt>
                      <c:pt idx="16">
                        <c:v>8.1218274111675121E-2</c:v>
                      </c:pt>
                      <c:pt idx="17">
                        <c:v>4.060913705583756E-2</c:v>
                      </c:pt>
                      <c:pt idx="18">
                        <c:v>3.8071065989847719E-2</c:v>
                      </c:pt>
                      <c:pt idx="19">
                        <c:v>1.015228426395939E-2</c:v>
                      </c:pt>
                      <c:pt idx="20">
                        <c:v>1.5228426395939087E-2</c:v>
                      </c:pt>
                      <c:pt idx="21">
                        <c:v>5.076142131979695E-3</c:v>
                      </c:pt>
                      <c:pt idx="22">
                        <c:v>1.015228426395939E-2</c:v>
                      </c:pt>
                      <c:pt idx="23">
                        <c:v>0</c:v>
                      </c:pt>
                      <c:pt idx="24">
                        <c:v>4.060913705583756E-2</c:v>
                      </c:pt>
                      <c:pt idx="25">
                        <c:v>1.5228426395939087E-2</c:v>
                      </c:pt>
                      <c:pt idx="26">
                        <c:v>3.2994923857868022E-2</c:v>
                      </c:pt>
                      <c:pt idx="27">
                        <c:v>1.2690355329949238E-2</c:v>
                      </c:pt>
                      <c:pt idx="28">
                        <c:v>4.3147208121827409E-2</c:v>
                      </c:pt>
                      <c:pt idx="29">
                        <c:v>7.6142131979695434E-3</c:v>
                      </c:pt>
                      <c:pt idx="30">
                        <c:v>3.2994923857868022E-2</c:v>
                      </c:pt>
                      <c:pt idx="31">
                        <c:v>2.030456852791878E-2</c:v>
                      </c:pt>
                      <c:pt idx="32">
                        <c:v>5.8375634517766499E-2</c:v>
                      </c:pt>
                      <c:pt idx="33">
                        <c:v>3.553299492385787E-2</c:v>
                      </c:pt>
                      <c:pt idx="34">
                        <c:v>8.3756345177664976E-2</c:v>
                      </c:pt>
                      <c:pt idx="35">
                        <c:v>2.2842639593908629E-2</c:v>
                      </c:pt>
                      <c:pt idx="36">
                        <c:v>4.060913705583756E-2</c:v>
                      </c:pt>
                      <c:pt idx="37">
                        <c:v>5.076142131979695E-3</c:v>
                      </c:pt>
                      <c:pt idx="38">
                        <c:v>1.7766497461928935E-2</c:v>
                      </c:pt>
                      <c:pt idx="39">
                        <c:v>0</c:v>
                      </c:pt>
                      <c:pt idx="40">
                        <c:v>1.5228426395939087E-2</c:v>
                      </c:pt>
                      <c:pt idx="41">
                        <c:v>5.076142131979695E-3</c:v>
                      </c:pt>
                      <c:pt idx="42">
                        <c:v>3.2994923857868022E-2</c:v>
                      </c:pt>
                      <c:pt idx="43">
                        <c:v>5.076142131979695E-3</c:v>
                      </c:pt>
                      <c:pt idx="44">
                        <c:v>3.2994923857868022E-2</c:v>
                      </c:pt>
                      <c:pt idx="45">
                        <c:v>2.5380710659898477E-2</c:v>
                      </c:pt>
                      <c:pt idx="46">
                        <c:v>1.7766497461928935E-2</c:v>
                      </c:pt>
                      <c:pt idx="47">
                        <c:v>7.6142131979695434E-3</c:v>
                      </c:pt>
                    </c:numCache>
                  </c:numRef>
                </c:val>
                <c:extLst>
                  <c:ext xmlns:c16="http://schemas.microsoft.com/office/drawing/2014/chart" uri="{C3380CC4-5D6E-409C-BE32-E72D297353CC}">
                    <c16:uniqueId val="{00000002-CC0F-44A5-ABB4-157334FD8466}"/>
                  </c:ext>
                </c:extLst>
              </c15:ser>
            </c15:filteredBarSeries>
            <c15:filteredBarSeries>
              <c15:ser>
                <c:idx val="3"/>
                <c:order val="3"/>
                <c:tx>
                  <c:v>Stoppen met laden 2024</c:v>
                </c:tx>
                <c:spPr>
                  <a:solidFill>
                    <a:srgbClr val="C9C743"/>
                  </a:solidFill>
                </c:spPr>
                <c:invertIfNegative val="0"/>
                <c:val>
                  <c:numRef>
                    <c:extLst xmlns:c15="http://schemas.microsoft.com/office/drawing/2012/chart">
                      <c:ext xmlns:c15="http://schemas.microsoft.com/office/drawing/2012/chart" uri="{02D57815-91ED-43cb-92C2-25804820EDAC}">
                        <c15:formulaRef>
                          <c15:sqref>'3.3 laadgedrag algemeen'!$C$354:$AX$354</c15:sqref>
                        </c15:formulaRef>
                      </c:ext>
                    </c:extLst>
                    <c:numCache>
                      <c:formatCode>0%</c:formatCode>
                      <c:ptCount val="48"/>
                      <c:pt idx="0">
                        <c:v>1.7667844522968198E-3</c:v>
                      </c:pt>
                      <c:pt idx="1">
                        <c:v>1.7667844522968198E-3</c:v>
                      </c:pt>
                      <c:pt idx="2">
                        <c:v>1.7667844522968198E-3</c:v>
                      </c:pt>
                      <c:pt idx="3">
                        <c:v>0</c:v>
                      </c:pt>
                      <c:pt idx="4">
                        <c:v>0</c:v>
                      </c:pt>
                      <c:pt idx="5">
                        <c:v>0</c:v>
                      </c:pt>
                      <c:pt idx="6">
                        <c:v>0</c:v>
                      </c:pt>
                      <c:pt idx="7">
                        <c:v>1.7667844522968198E-3</c:v>
                      </c:pt>
                      <c:pt idx="8">
                        <c:v>3.5335689045936395E-3</c:v>
                      </c:pt>
                      <c:pt idx="9">
                        <c:v>1.7667844522968198E-3</c:v>
                      </c:pt>
                      <c:pt idx="10">
                        <c:v>3.5335689045936395E-3</c:v>
                      </c:pt>
                      <c:pt idx="11">
                        <c:v>7.0671378091872791E-3</c:v>
                      </c:pt>
                      <c:pt idx="12">
                        <c:v>3.5335689045936397E-2</c:v>
                      </c:pt>
                      <c:pt idx="13">
                        <c:v>3.1802120141342753E-2</c:v>
                      </c:pt>
                      <c:pt idx="14">
                        <c:v>0.1166077738515901</c:v>
                      </c:pt>
                      <c:pt idx="15">
                        <c:v>5.8303886925795051E-2</c:v>
                      </c:pt>
                      <c:pt idx="16">
                        <c:v>0.16607773851590105</c:v>
                      </c:pt>
                      <c:pt idx="17">
                        <c:v>4.2402826855123678E-2</c:v>
                      </c:pt>
                      <c:pt idx="18">
                        <c:v>5.8303886925795051E-2</c:v>
                      </c:pt>
                      <c:pt idx="19">
                        <c:v>8.8339222614840993E-3</c:v>
                      </c:pt>
                      <c:pt idx="20">
                        <c:v>2.1201413427561839E-2</c:v>
                      </c:pt>
                      <c:pt idx="21">
                        <c:v>0</c:v>
                      </c:pt>
                      <c:pt idx="22">
                        <c:v>8.8339222614840993E-3</c:v>
                      </c:pt>
                      <c:pt idx="23">
                        <c:v>3.5335689045936395E-3</c:v>
                      </c:pt>
                      <c:pt idx="24">
                        <c:v>2.1201413427561839E-2</c:v>
                      </c:pt>
                      <c:pt idx="25">
                        <c:v>5.3003533568904597E-3</c:v>
                      </c:pt>
                      <c:pt idx="26">
                        <c:v>2.2968197879858657E-2</c:v>
                      </c:pt>
                      <c:pt idx="27">
                        <c:v>7.0671378091872791E-3</c:v>
                      </c:pt>
                      <c:pt idx="28">
                        <c:v>2.4734982332155476E-2</c:v>
                      </c:pt>
                      <c:pt idx="29">
                        <c:v>7.0671378091872791E-3</c:v>
                      </c:pt>
                      <c:pt idx="30">
                        <c:v>1.4134275618374558E-2</c:v>
                      </c:pt>
                      <c:pt idx="31">
                        <c:v>1.0600706713780919E-2</c:v>
                      </c:pt>
                      <c:pt idx="32">
                        <c:v>3.0035335689045935E-2</c:v>
                      </c:pt>
                      <c:pt idx="33">
                        <c:v>8.8339222614840993E-3</c:v>
                      </c:pt>
                      <c:pt idx="34">
                        <c:v>6.0070671378091869E-2</c:v>
                      </c:pt>
                      <c:pt idx="35">
                        <c:v>1.2367491166077738E-2</c:v>
                      </c:pt>
                      <c:pt idx="36">
                        <c:v>3.1802120141342753E-2</c:v>
                      </c:pt>
                      <c:pt idx="37">
                        <c:v>0</c:v>
                      </c:pt>
                      <c:pt idx="38">
                        <c:v>8.8339222614840993E-3</c:v>
                      </c:pt>
                      <c:pt idx="39">
                        <c:v>1.0600706713780919E-2</c:v>
                      </c:pt>
                      <c:pt idx="40">
                        <c:v>1.9434628975265017E-2</c:v>
                      </c:pt>
                      <c:pt idx="41">
                        <c:v>7.0671378091872791E-3</c:v>
                      </c:pt>
                      <c:pt idx="42">
                        <c:v>2.8268551236749116E-2</c:v>
                      </c:pt>
                      <c:pt idx="43">
                        <c:v>8.8339222614840993E-3</c:v>
                      </c:pt>
                      <c:pt idx="44">
                        <c:v>4.4169611307420496E-2</c:v>
                      </c:pt>
                      <c:pt idx="45">
                        <c:v>1.7667844522968199E-2</c:v>
                      </c:pt>
                      <c:pt idx="46">
                        <c:v>1.5901060070671377E-2</c:v>
                      </c:pt>
                      <c:pt idx="47">
                        <c:v>8.8339222614840993E-3</c:v>
                      </c:pt>
                    </c:numCache>
                  </c:numRef>
                </c:val>
                <c:extLst xmlns:c15="http://schemas.microsoft.com/office/drawing/2012/chart">
                  <c:ext xmlns:c16="http://schemas.microsoft.com/office/drawing/2014/chart" uri="{C3380CC4-5D6E-409C-BE32-E72D297353CC}">
                    <c16:uniqueId val="{00000003-CC0F-44A5-ABB4-157334FD8466}"/>
                  </c:ext>
                </c:extLst>
              </c15:ser>
            </c15:filteredBarSeries>
          </c:ext>
        </c:extLst>
      </c:barChart>
      <c:catAx>
        <c:axId val="5047007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2C307E"/>
                </a:solidFill>
                <a:latin typeface="+mn-lt"/>
                <a:ea typeface="+mn-ea"/>
                <a:cs typeface="+mn-cs"/>
              </a:defRPr>
            </a:pPr>
            <a:endParaRPr lang="nl-NL"/>
          </a:p>
        </c:txPr>
        <c:crossAx val="504699672"/>
        <c:crosses val="autoZero"/>
        <c:auto val="1"/>
        <c:lblAlgn val="ctr"/>
        <c:lblOffset val="100"/>
        <c:noMultiLvlLbl val="0"/>
      </c:catAx>
      <c:valAx>
        <c:axId val="504699672"/>
        <c:scaling>
          <c:orientation val="minMax"/>
          <c:max val="0.16000000000000003"/>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2C307E"/>
                </a:solidFill>
                <a:latin typeface="+mn-lt"/>
                <a:ea typeface="+mn-ea"/>
                <a:cs typeface="+mn-cs"/>
              </a:defRPr>
            </a:pPr>
            <a:endParaRPr lang="nl-NL"/>
          </a:p>
        </c:txPr>
        <c:crossAx val="504700752"/>
        <c:crosses val="autoZero"/>
        <c:crossBetween val="between"/>
        <c:majorUnit val="4.0000000000000008E-2"/>
      </c:valAx>
      <c:spPr>
        <a:noFill/>
        <a:ln>
          <a:noFill/>
        </a:ln>
      </c:spPr>
    </c:plotArea>
    <c:legend>
      <c:legendPos val="b"/>
      <c:layout>
        <c:manualLayout>
          <c:xMode val="edge"/>
          <c:yMode val="edge"/>
          <c:x val="0.24582538263202217"/>
          <c:y val="0.86769801559987281"/>
          <c:w val="0.50834923473595572"/>
          <c:h val="0.13230198440012716"/>
        </c:manualLayout>
      </c:layout>
      <c:overlay val="0"/>
      <c:spPr>
        <a:noFill/>
        <a:ln>
          <a:noFill/>
        </a:ln>
        <a:effectLst/>
      </c:spPr>
      <c:txPr>
        <a:bodyPr rot="0" spcFirstLastPara="1" vertOverflow="ellipsis" vert="horz" wrap="square" anchor="ctr" anchorCtr="1"/>
        <a:lstStyle/>
        <a:p>
          <a:pPr>
            <a:defRPr sz="900" b="0" i="0" u="none" strike="noStrike" kern="1200" baseline="0">
              <a:solidFill>
                <a:srgbClr val="2C307E"/>
              </a:solidFill>
              <a:latin typeface="+mn-lt"/>
              <a:ea typeface="+mn-ea"/>
              <a:cs typeface="+mn-cs"/>
            </a:defRPr>
          </a:pPr>
          <a:endParaRPr lang="nl-NL"/>
        </a:p>
      </c:txPr>
    </c:legend>
    <c:plotVisOnly val="1"/>
    <c:dispBlanksAs val="gap"/>
    <c:showDLblsOverMax val="0"/>
    <c:extLst/>
  </c:chart>
  <c:spPr>
    <a:noFill/>
    <a:ln>
      <a:noFill/>
    </a:ln>
  </c:spPr>
  <c:txPr>
    <a:bodyPr/>
    <a:lstStyle/>
    <a:p>
      <a:pPr>
        <a:defRPr/>
      </a:pPr>
      <a:endParaRPr lang="nl-NL"/>
    </a:p>
  </c:tx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rgbClr val="2C307E"/>
                </a:solidFill>
                <a:latin typeface="+mn-lt"/>
                <a:ea typeface="+mn-ea"/>
                <a:cs typeface="+mn-cs"/>
              </a:defRPr>
            </a:pPr>
            <a:r>
              <a:rPr lang="nl-NL" sz="1100">
                <a:solidFill>
                  <a:srgbClr val="2C307E"/>
                </a:solidFill>
              </a:rPr>
              <a:t>Thuislader stoppen met laden </a:t>
            </a:r>
            <a:r>
              <a:rPr lang="nl-NL" sz="1100" b="0" i="0" u="none" strike="noStrike" kern="1200" spc="0" baseline="0">
                <a:solidFill>
                  <a:srgbClr val="2C307E"/>
                </a:solidFill>
              </a:rPr>
              <a:t>[N=1.103]</a:t>
            </a:r>
            <a:endParaRPr lang="nl-NL" sz="1100">
              <a:solidFill>
                <a:srgbClr val="2C307E"/>
              </a:solidFill>
            </a:endParaRPr>
          </a:p>
        </c:rich>
      </c:tx>
      <c:overlay val="0"/>
      <c:spPr>
        <a:noFill/>
        <a:ln>
          <a:noFill/>
        </a:ln>
        <a:effectLst/>
      </c:spPr>
    </c:title>
    <c:autoTitleDeleted val="0"/>
    <c:plotArea>
      <c:layout>
        <c:manualLayout>
          <c:layoutTarget val="inner"/>
          <c:xMode val="edge"/>
          <c:yMode val="edge"/>
          <c:x val="6.7028600591592713E-2"/>
          <c:y val="0.17585260682085457"/>
          <c:w val="0.90178363121276506"/>
          <c:h val="0.4677566617383333"/>
        </c:manualLayout>
      </c:layout>
      <c:barChart>
        <c:barDir val="col"/>
        <c:grouping val="clustered"/>
        <c:varyColors val="0"/>
        <c:ser>
          <c:idx val="1"/>
          <c:order val="1"/>
          <c:tx>
            <c:v>Stoppen met laden 2025</c:v>
          </c:tx>
          <c:spPr>
            <a:solidFill>
              <a:srgbClr val="2C307E"/>
            </a:solidFill>
            <a:ln>
              <a:noFill/>
            </a:ln>
            <a:effectLst/>
          </c:spPr>
          <c:invertIfNegative val="0"/>
          <c:cat>
            <c:strRef>
              <c:f>'3.3 laadgedrag algemeen'!$C$359:$AX$359</c:f>
              <c:strCache>
                <c:ptCount val="48"/>
                <c:pt idx="0">
                  <c:v>00:00</c:v>
                </c:pt>
                <c:pt idx="1">
                  <c:v>0:30</c:v>
                </c:pt>
                <c:pt idx="2">
                  <c:v>1:00</c:v>
                </c:pt>
                <c:pt idx="3">
                  <c:v>1:30</c:v>
                </c:pt>
                <c:pt idx="4">
                  <c:v>2:00</c:v>
                </c:pt>
                <c:pt idx="5">
                  <c:v>2:30</c:v>
                </c:pt>
                <c:pt idx="6">
                  <c:v>3:00</c:v>
                </c:pt>
                <c:pt idx="7">
                  <c:v>3:30</c:v>
                </c:pt>
                <c:pt idx="8">
                  <c:v>4:00</c:v>
                </c:pt>
                <c:pt idx="9">
                  <c:v>4:30</c:v>
                </c:pt>
                <c:pt idx="10">
                  <c:v>5:00</c:v>
                </c:pt>
                <c:pt idx="11">
                  <c:v>5:30</c:v>
                </c:pt>
                <c:pt idx="12">
                  <c:v>6:00</c:v>
                </c:pt>
                <c:pt idx="13">
                  <c:v>6:30</c:v>
                </c:pt>
                <c:pt idx="14">
                  <c:v>7:00</c:v>
                </c:pt>
                <c:pt idx="15">
                  <c:v>7:30</c:v>
                </c:pt>
                <c:pt idx="16">
                  <c:v>8:00</c:v>
                </c:pt>
                <c:pt idx="17">
                  <c:v>8:30</c:v>
                </c:pt>
                <c:pt idx="18">
                  <c:v>9:00</c:v>
                </c:pt>
                <c:pt idx="19">
                  <c:v>9:30</c:v>
                </c:pt>
                <c:pt idx="20">
                  <c:v>10:00</c:v>
                </c:pt>
                <c:pt idx="21">
                  <c:v>10:30</c:v>
                </c:pt>
                <c:pt idx="22">
                  <c:v>11:00</c:v>
                </c:pt>
                <c:pt idx="23">
                  <c:v>11:30</c:v>
                </c:pt>
                <c:pt idx="24">
                  <c:v>12:00</c:v>
                </c:pt>
                <c:pt idx="25">
                  <c:v>12:30</c:v>
                </c:pt>
                <c:pt idx="26">
                  <c:v>13:00</c:v>
                </c:pt>
                <c:pt idx="27">
                  <c:v>13:30</c:v>
                </c:pt>
                <c:pt idx="28">
                  <c:v>14:00</c:v>
                </c:pt>
                <c:pt idx="29">
                  <c:v>14:30</c:v>
                </c:pt>
                <c:pt idx="30">
                  <c:v>15:00</c:v>
                </c:pt>
                <c:pt idx="31">
                  <c:v>15:30</c:v>
                </c:pt>
                <c:pt idx="32">
                  <c:v>16:00</c:v>
                </c:pt>
                <c:pt idx="33">
                  <c:v>16:30</c:v>
                </c:pt>
                <c:pt idx="34">
                  <c:v>17:00</c:v>
                </c:pt>
                <c:pt idx="35">
                  <c:v>17:30</c:v>
                </c:pt>
                <c:pt idx="36">
                  <c:v>18:00</c:v>
                </c:pt>
                <c:pt idx="37">
                  <c:v>18:30</c:v>
                </c:pt>
                <c:pt idx="38">
                  <c:v>19:00</c:v>
                </c:pt>
                <c:pt idx="39">
                  <c:v>19:30</c:v>
                </c:pt>
                <c:pt idx="40">
                  <c:v>20:00</c:v>
                </c:pt>
                <c:pt idx="41">
                  <c:v>20:30</c:v>
                </c:pt>
                <c:pt idx="42">
                  <c:v>21:00</c:v>
                </c:pt>
                <c:pt idx="43">
                  <c:v>21:30</c:v>
                </c:pt>
                <c:pt idx="44">
                  <c:v>22:00</c:v>
                </c:pt>
                <c:pt idx="45">
                  <c:v>22:30</c:v>
                </c:pt>
                <c:pt idx="46">
                  <c:v>23:00</c:v>
                </c:pt>
                <c:pt idx="47">
                  <c:v>23:30</c:v>
                </c:pt>
              </c:strCache>
            </c:strRef>
          </c:cat>
          <c:val>
            <c:numRef>
              <c:f>'3.3 laadgedrag algemeen'!$C$304:$AX$304</c:f>
              <c:numCache>
                <c:formatCode>0%</c:formatCode>
                <c:ptCount val="48"/>
                <c:pt idx="0">
                  <c:v>3.6264732547597461E-3</c:v>
                </c:pt>
                <c:pt idx="1">
                  <c:v>0</c:v>
                </c:pt>
                <c:pt idx="2">
                  <c:v>0</c:v>
                </c:pt>
                <c:pt idx="3">
                  <c:v>0</c:v>
                </c:pt>
                <c:pt idx="4">
                  <c:v>0</c:v>
                </c:pt>
                <c:pt idx="5">
                  <c:v>0</c:v>
                </c:pt>
                <c:pt idx="6">
                  <c:v>1.8132366273798731E-3</c:v>
                </c:pt>
                <c:pt idx="7">
                  <c:v>0</c:v>
                </c:pt>
                <c:pt idx="8">
                  <c:v>3.6264732547597461E-3</c:v>
                </c:pt>
                <c:pt idx="9">
                  <c:v>3.6264732547597461E-3</c:v>
                </c:pt>
                <c:pt idx="10">
                  <c:v>8.1595648232094288E-3</c:v>
                </c:pt>
                <c:pt idx="11">
                  <c:v>4.5330915684496827E-3</c:v>
                </c:pt>
                <c:pt idx="12">
                  <c:v>4.8957388939256573E-2</c:v>
                </c:pt>
                <c:pt idx="13">
                  <c:v>4.1704442429737081E-2</c:v>
                </c:pt>
                <c:pt idx="14">
                  <c:v>0.10698096101541252</c:v>
                </c:pt>
                <c:pt idx="15">
                  <c:v>5.8023572076155938E-2</c:v>
                </c:pt>
                <c:pt idx="16">
                  <c:v>9.7008159564823213E-2</c:v>
                </c:pt>
                <c:pt idx="17">
                  <c:v>2.7198549410698096E-2</c:v>
                </c:pt>
                <c:pt idx="18">
                  <c:v>2.9918404351767906E-2</c:v>
                </c:pt>
                <c:pt idx="19">
                  <c:v>5.4397098821396192E-3</c:v>
                </c:pt>
                <c:pt idx="20">
                  <c:v>1.5412511332728921E-2</c:v>
                </c:pt>
                <c:pt idx="21">
                  <c:v>0</c:v>
                </c:pt>
                <c:pt idx="22">
                  <c:v>8.1595648232094288E-3</c:v>
                </c:pt>
                <c:pt idx="23">
                  <c:v>3.6264732547597461E-3</c:v>
                </c:pt>
                <c:pt idx="24">
                  <c:v>9.0661831368993653E-3</c:v>
                </c:pt>
                <c:pt idx="25">
                  <c:v>3.6264732547597461E-3</c:v>
                </c:pt>
                <c:pt idx="26">
                  <c:v>9.9728014505893019E-3</c:v>
                </c:pt>
                <c:pt idx="27">
                  <c:v>9.0661831368993653E-4</c:v>
                </c:pt>
                <c:pt idx="28">
                  <c:v>1.5412511332728921E-2</c:v>
                </c:pt>
                <c:pt idx="29">
                  <c:v>7.2529465095194923E-3</c:v>
                </c:pt>
                <c:pt idx="30">
                  <c:v>4.1704442429737081E-2</c:v>
                </c:pt>
                <c:pt idx="31">
                  <c:v>2.085222121486854E-2</c:v>
                </c:pt>
                <c:pt idx="32">
                  <c:v>0.15231187669990934</c:v>
                </c:pt>
                <c:pt idx="33">
                  <c:v>3.0825022665457842E-2</c:v>
                </c:pt>
                <c:pt idx="34">
                  <c:v>0.1115140525838622</c:v>
                </c:pt>
                <c:pt idx="35">
                  <c:v>9.0661831368993653E-3</c:v>
                </c:pt>
                <c:pt idx="36">
                  <c:v>4.4424297370806894E-2</c:v>
                </c:pt>
                <c:pt idx="37">
                  <c:v>7.2529465095194923E-3</c:v>
                </c:pt>
                <c:pt idx="38">
                  <c:v>2.357207615593835E-2</c:v>
                </c:pt>
                <c:pt idx="39">
                  <c:v>9.0661831368993653E-4</c:v>
                </c:pt>
                <c:pt idx="40">
                  <c:v>9.0661831368993653E-3</c:v>
                </c:pt>
                <c:pt idx="41">
                  <c:v>9.0661831368993653E-4</c:v>
                </c:pt>
                <c:pt idx="42">
                  <c:v>1.0879419764279238E-2</c:v>
                </c:pt>
                <c:pt idx="43">
                  <c:v>3.6264732547597461E-3</c:v>
                </c:pt>
                <c:pt idx="44">
                  <c:v>7.2529465095194923E-3</c:v>
                </c:pt>
                <c:pt idx="45">
                  <c:v>0</c:v>
                </c:pt>
                <c:pt idx="46">
                  <c:v>7.2529465095194923E-3</c:v>
                </c:pt>
                <c:pt idx="47">
                  <c:v>4.5330915684496827E-3</c:v>
                </c:pt>
              </c:numCache>
            </c:numRef>
          </c:val>
          <c:extLst>
            <c:ext xmlns:c16="http://schemas.microsoft.com/office/drawing/2014/chart" uri="{C3380CC4-5D6E-409C-BE32-E72D297353CC}">
              <c16:uniqueId val="{00000000-7E10-476F-85CA-DD5C0FFC17CF}"/>
            </c:ext>
          </c:extLst>
        </c:ser>
        <c:ser>
          <c:idx val="3"/>
          <c:order val="3"/>
          <c:tx>
            <c:v>Stoppen met laden 2024</c:v>
          </c:tx>
          <c:spPr>
            <a:solidFill>
              <a:srgbClr val="08B466"/>
            </a:solidFill>
          </c:spPr>
          <c:invertIfNegative val="0"/>
          <c:val>
            <c:numRef>
              <c:f>'3.3 laadgedrag algemeen'!$C$351:$AX$351</c:f>
              <c:numCache>
                <c:formatCode>0%</c:formatCode>
                <c:ptCount val="48"/>
                <c:pt idx="0">
                  <c:v>3.2446463335496431E-3</c:v>
                </c:pt>
                <c:pt idx="1">
                  <c:v>0</c:v>
                </c:pt>
                <c:pt idx="2">
                  <c:v>0</c:v>
                </c:pt>
                <c:pt idx="3">
                  <c:v>6.4892926670992858E-4</c:v>
                </c:pt>
                <c:pt idx="4">
                  <c:v>1.2978585334198572E-3</c:v>
                </c:pt>
                <c:pt idx="5">
                  <c:v>6.4892926670992858E-4</c:v>
                </c:pt>
                <c:pt idx="6">
                  <c:v>1.9467878001297859E-3</c:v>
                </c:pt>
                <c:pt idx="7">
                  <c:v>1.9467878001297859E-3</c:v>
                </c:pt>
                <c:pt idx="8">
                  <c:v>6.4892926670992858E-4</c:v>
                </c:pt>
                <c:pt idx="9">
                  <c:v>1.9467878001297859E-3</c:v>
                </c:pt>
                <c:pt idx="10">
                  <c:v>9.7339390006489293E-3</c:v>
                </c:pt>
                <c:pt idx="11">
                  <c:v>6.4892926670992862E-3</c:v>
                </c:pt>
                <c:pt idx="12">
                  <c:v>5.191434133679429E-2</c:v>
                </c:pt>
                <c:pt idx="13">
                  <c:v>4.1531473069435429E-2</c:v>
                </c:pt>
                <c:pt idx="14">
                  <c:v>0.16223231667748214</c:v>
                </c:pt>
                <c:pt idx="15">
                  <c:v>0.10188189487345879</c:v>
                </c:pt>
                <c:pt idx="16">
                  <c:v>0.15704088254380272</c:v>
                </c:pt>
                <c:pt idx="17">
                  <c:v>3.17975340687865E-2</c:v>
                </c:pt>
                <c:pt idx="18">
                  <c:v>4.4776119402985072E-2</c:v>
                </c:pt>
                <c:pt idx="19">
                  <c:v>3.8935756002595719E-3</c:v>
                </c:pt>
                <c:pt idx="20">
                  <c:v>1.8818948734587931E-2</c:v>
                </c:pt>
                <c:pt idx="21">
                  <c:v>1.2978585334198572E-3</c:v>
                </c:pt>
                <c:pt idx="22">
                  <c:v>3.2446463335496431E-3</c:v>
                </c:pt>
                <c:pt idx="23">
                  <c:v>6.4892926670992858E-4</c:v>
                </c:pt>
                <c:pt idx="24">
                  <c:v>6.4892926670992862E-3</c:v>
                </c:pt>
                <c:pt idx="25">
                  <c:v>1.9467878001297859E-3</c:v>
                </c:pt>
                <c:pt idx="26">
                  <c:v>4.5425048669695007E-3</c:v>
                </c:pt>
                <c:pt idx="27">
                  <c:v>1.9467878001297859E-3</c:v>
                </c:pt>
                <c:pt idx="28">
                  <c:v>1.8170019467878003E-2</c:v>
                </c:pt>
                <c:pt idx="29">
                  <c:v>3.2446463335496431E-3</c:v>
                </c:pt>
                <c:pt idx="30">
                  <c:v>2.7903958468526932E-2</c:v>
                </c:pt>
                <c:pt idx="31">
                  <c:v>1.1680726800778715E-2</c:v>
                </c:pt>
                <c:pt idx="32">
                  <c:v>6.8137573004542498E-2</c:v>
                </c:pt>
                <c:pt idx="33">
                  <c:v>1.6223231667748216E-2</c:v>
                </c:pt>
                <c:pt idx="34">
                  <c:v>7.0733290071382224E-2</c:v>
                </c:pt>
                <c:pt idx="35">
                  <c:v>7.138221933809215E-3</c:v>
                </c:pt>
                <c:pt idx="36">
                  <c:v>2.5308241401687217E-2</c:v>
                </c:pt>
                <c:pt idx="37">
                  <c:v>5.8403634003893574E-3</c:v>
                </c:pt>
                <c:pt idx="38">
                  <c:v>1.4925373134328358E-2</c:v>
                </c:pt>
                <c:pt idx="39">
                  <c:v>5.1914341336794286E-3</c:v>
                </c:pt>
                <c:pt idx="40">
                  <c:v>1.8818948734587931E-2</c:v>
                </c:pt>
                <c:pt idx="41">
                  <c:v>3.8935756002595719E-3</c:v>
                </c:pt>
                <c:pt idx="42">
                  <c:v>8.4360804672290717E-3</c:v>
                </c:pt>
                <c:pt idx="43">
                  <c:v>2.5957170668397143E-3</c:v>
                </c:pt>
                <c:pt idx="44">
                  <c:v>9.7339390006489293E-3</c:v>
                </c:pt>
                <c:pt idx="45">
                  <c:v>3.2446463335496431E-3</c:v>
                </c:pt>
                <c:pt idx="46">
                  <c:v>1.0382868267358857E-2</c:v>
                </c:pt>
                <c:pt idx="47">
                  <c:v>5.8403634003893574E-3</c:v>
                </c:pt>
              </c:numCache>
            </c:numRef>
          </c:val>
          <c:extLst>
            <c:ext xmlns:c16="http://schemas.microsoft.com/office/drawing/2014/chart" uri="{C3380CC4-5D6E-409C-BE32-E72D297353CC}">
              <c16:uniqueId val="{00000001-7E10-476F-85CA-DD5C0FFC17CF}"/>
            </c:ext>
          </c:extLst>
        </c:ser>
        <c:dLbls>
          <c:showLegendKey val="0"/>
          <c:showVal val="0"/>
          <c:showCatName val="0"/>
          <c:showSerName val="0"/>
          <c:showPercent val="0"/>
          <c:showBubbleSize val="0"/>
        </c:dLbls>
        <c:gapWidth val="219"/>
        <c:overlap val="-27"/>
        <c:axId val="504700752"/>
        <c:axId val="504699672"/>
        <c:extLst>
          <c:ext xmlns:c15="http://schemas.microsoft.com/office/drawing/2012/chart" uri="{02D57815-91ED-43cb-92C2-25804820EDAC}">
            <c15:filteredBarSeries>
              <c15:ser>
                <c:idx val="0"/>
                <c:order val="0"/>
                <c:tx>
                  <c:v>Starten met laden 2025</c:v>
                </c:tx>
                <c:spPr>
                  <a:solidFill>
                    <a:srgbClr val="2C307E"/>
                  </a:solidFill>
                  <a:ln>
                    <a:noFill/>
                  </a:ln>
                  <a:effectLst/>
                </c:spPr>
                <c:invertIfNegative val="0"/>
                <c:cat>
                  <c:strRef>
                    <c:extLst>
                      <c:ext uri="{02D57815-91ED-43cb-92C2-25804820EDAC}">
                        <c15:formulaRef>
                          <c15:sqref>'3.3 laadgedrag algemeen'!$C$359:$AX$359</c15:sqref>
                        </c15:formulaRef>
                      </c:ext>
                    </c:extLst>
                    <c:strCache>
                      <c:ptCount val="48"/>
                      <c:pt idx="0">
                        <c:v>00:00</c:v>
                      </c:pt>
                      <c:pt idx="1">
                        <c:v>0:30</c:v>
                      </c:pt>
                      <c:pt idx="2">
                        <c:v>1:00</c:v>
                      </c:pt>
                      <c:pt idx="3">
                        <c:v>1:30</c:v>
                      </c:pt>
                      <c:pt idx="4">
                        <c:v>2:00</c:v>
                      </c:pt>
                      <c:pt idx="5">
                        <c:v>2:30</c:v>
                      </c:pt>
                      <c:pt idx="6">
                        <c:v>3:00</c:v>
                      </c:pt>
                      <c:pt idx="7">
                        <c:v>3:30</c:v>
                      </c:pt>
                      <c:pt idx="8">
                        <c:v>4:00</c:v>
                      </c:pt>
                      <c:pt idx="9">
                        <c:v>4:30</c:v>
                      </c:pt>
                      <c:pt idx="10">
                        <c:v>5:00</c:v>
                      </c:pt>
                      <c:pt idx="11">
                        <c:v>5:30</c:v>
                      </c:pt>
                      <c:pt idx="12">
                        <c:v>6:00</c:v>
                      </c:pt>
                      <c:pt idx="13">
                        <c:v>6:30</c:v>
                      </c:pt>
                      <c:pt idx="14">
                        <c:v>7:00</c:v>
                      </c:pt>
                      <c:pt idx="15">
                        <c:v>7:30</c:v>
                      </c:pt>
                      <c:pt idx="16">
                        <c:v>8:00</c:v>
                      </c:pt>
                      <c:pt idx="17">
                        <c:v>8:30</c:v>
                      </c:pt>
                      <c:pt idx="18">
                        <c:v>9:00</c:v>
                      </c:pt>
                      <c:pt idx="19">
                        <c:v>9:30</c:v>
                      </c:pt>
                      <c:pt idx="20">
                        <c:v>10:00</c:v>
                      </c:pt>
                      <c:pt idx="21">
                        <c:v>10:30</c:v>
                      </c:pt>
                      <c:pt idx="22">
                        <c:v>11:00</c:v>
                      </c:pt>
                      <c:pt idx="23">
                        <c:v>11:30</c:v>
                      </c:pt>
                      <c:pt idx="24">
                        <c:v>12:00</c:v>
                      </c:pt>
                      <c:pt idx="25">
                        <c:v>12:30</c:v>
                      </c:pt>
                      <c:pt idx="26">
                        <c:v>13:00</c:v>
                      </c:pt>
                      <c:pt idx="27">
                        <c:v>13:30</c:v>
                      </c:pt>
                      <c:pt idx="28">
                        <c:v>14:00</c:v>
                      </c:pt>
                      <c:pt idx="29">
                        <c:v>14:30</c:v>
                      </c:pt>
                      <c:pt idx="30">
                        <c:v>15:00</c:v>
                      </c:pt>
                      <c:pt idx="31">
                        <c:v>15:30</c:v>
                      </c:pt>
                      <c:pt idx="32">
                        <c:v>16:00</c:v>
                      </c:pt>
                      <c:pt idx="33">
                        <c:v>16:30</c:v>
                      </c:pt>
                      <c:pt idx="34">
                        <c:v>17:00</c:v>
                      </c:pt>
                      <c:pt idx="35">
                        <c:v>17:30</c:v>
                      </c:pt>
                      <c:pt idx="36">
                        <c:v>18:00</c:v>
                      </c:pt>
                      <c:pt idx="37">
                        <c:v>18:30</c:v>
                      </c:pt>
                      <c:pt idx="38">
                        <c:v>19:00</c:v>
                      </c:pt>
                      <c:pt idx="39">
                        <c:v>19:30</c:v>
                      </c:pt>
                      <c:pt idx="40">
                        <c:v>20:00</c:v>
                      </c:pt>
                      <c:pt idx="41">
                        <c:v>20:30</c:v>
                      </c:pt>
                      <c:pt idx="42">
                        <c:v>21:00</c:v>
                      </c:pt>
                      <c:pt idx="43">
                        <c:v>21:30</c:v>
                      </c:pt>
                      <c:pt idx="44">
                        <c:v>22:00</c:v>
                      </c:pt>
                      <c:pt idx="45">
                        <c:v>22:30</c:v>
                      </c:pt>
                      <c:pt idx="46">
                        <c:v>23:00</c:v>
                      </c:pt>
                      <c:pt idx="47">
                        <c:v>23:30</c:v>
                      </c:pt>
                    </c:strCache>
                  </c:strRef>
                </c:cat>
                <c:val>
                  <c:numRef>
                    <c:extLst>
                      <c:ext uri="{02D57815-91ED-43cb-92C2-25804820EDAC}">
                        <c15:formulaRef>
                          <c15:sqref>'3.3 laadgedrag algemeen'!$C$303:$AX$303</c15:sqref>
                        </c15:formulaRef>
                      </c:ext>
                    </c:extLst>
                    <c:numCache>
                      <c:formatCode>0%</c:formatCode>
                      <c:ptCount val="48"/>
                      <c:pt idx="0">
                        <c:v>2.5483304042179262E-2</c:v>
                      </c:pt>
                      <c:pt idx="1">
                        <c:v>7.0298769771528994E-3</c:v>
                      </c:pt>
                      <c:pt idx="2">
                        <c:v>1.7574692442882251E-2</c:v>
                      </c:pt>
                      <c:pt idx="3">
                        <c:v>2.6362038664323375E-3</c:v>
                      </c:pt>
                      <c:pt idx="4">
                        <c:v>9.6660808435852369E-3</c:v>
                      </c:pt>
                      <c:pt idx="5">
                        <c:v>8.7873462214411243E-4</c:v>
                      </c:pt>
                      <c:pt idx="6">
                        <c:v>6.1511423550087872E-3</c:v>
                      </c:pt>
                      <c:pt idx="7">
                        <c:v>0</c:v>
                      </c:pt>
                      <c:pt idx="8">
                        <c:v>8.7873462214411243E-4</c:v>
                      </c:pt>
                      <c:pt idx="9">
                        <c:v>0</c:v>
                      </c:pt>
                      <c:pt idx="10">
                        <c:v>0</c:v>
                      </c:pt>
                      <c:pt idx="11">
                        <c:v>0</c:v>
                      </c:pt>
                      <c:pt idx="12">
                        <c:v>0</c:v>
                      </c:pt>
                      <c:pt idx="13">
                        <c:v>2.6362038664323375E-3</c:v>
                      </c:pt>
                      <c:pt idx="14">
                        <c:v>1.054481546572935E-2</c:v>
                      </c:pt>
                      <c:pt idx="15">
                        <c:v>1.054481546572935E-2</c:v>
                      </c:pt>
                      <c:pt idx="16">
                        <c:v>2.7240773286467488E-2</c:v>
                      </c:pt>
                      <c:pt idx="17">
                        <c:v>2.5483304042179262E-2</c:v>
                      </c:pt>
                      <c:pt idx="18">
                        <c:v>5.5360281195079089E-2</c:v>
                      </c:pt>
                      <c:pt idx="19">
                        <c:v>1.4938488576449912E-2</c:v>
                      </c:pt>
                      <c:pt idx="20">
                        <c:v>0.11159929701230228</c:v>
                      </c:pt>
                      <c:pt idx="21">
                        <c:v>1.5817223198594025E-2</c:v>
                      </c:pt>
                      <c:pt idx="22">
                        <c:v>9.8418277680140595E-2</c:v>
                      </c:pt>
                      <c:pt idx="23">
                        <c:v>1.3181019332161687E-2</c:v>
                      </c:pt>
                      <c:pt idx="24">
                        <c:v>7.2934973637961337E-2</c:v>
                      </c:pt>
                      <c:pt idx="25">
                        <c:v>1.7574692442882251E-2</c:v>
                      </c:pt>
                      <c:pt idx="26">
                        <c:v>6.8541300527240778E-2</c:v>
                      </c:pt>
                      <c:pt idx="27">
                        <c:v>7.0298769771528994E-3</c:v>
                      </c:pt>
                      <c:pt idx="28">
                        <c:v>2.1968365553602813E-2</c:v>
                      </c:pt>
                      <c:pt idx="29">
                        <c:v>8.7873462214411243E-4</c:v>
                      </c:pt>
                      <c:pt idx="30">
                        <c:v>8.7873462214411256E-3</c:v>
                      </c:pt>
                      <c:pt idx="31">
                        <c:v>2.6362038664323375E-3</c:v>
                      </c:pt>
                      <c:pt idx="32">
                        <c:v>1.9332161687170474E-2</c:v>
                      </c:pt>
                      <c:pt idx="33">
                        <c:v>1.1423550087873463E-2</c:v>
                      </c:pt>
                      <c:pt idx="34">
                        <c:v>2.6362038664323375E-2</c:v>
                      </c:pt>
                      <c:pt idx="35">
                        <c:v>1.7574692442882251E-2</c:v>
                      </c:pt>
                      <c:pt idx="36">
                        <c:v>4.21792618629174E-2</c:v>
                      </c:pt>
                      <c:pt idx="37">
                        <c:v>1.5817223198594025E-2</c:v>
                      </c:pt>
                      <c:pt idx="38">
                        <c:v>3.2513181019332163E-2</c:v>
                      </c:pt>
                      <c:pt idx="39">
                        <c:v>7.0298769771528994E-3</c:v>
                      </c:pt>
                      <c:pt idx="40">
                        <c:v>1.9332161687170474E-2</c:v>
                      </c:pt>
                      <c:pt idx="41">
                        <c:v>1.7574692442882249E-3</c:v>
                      </c:pt>
                      <c:pt idx="42">
                        <c:v>3.8664323374340948E-2</c:v>
                      </c:pt>
                      <c:pt idx="43">
                        <c:v>7.0298769771528994E-3</c:v>
                      </c:pt>
                      <c:pt idx="44">
                        <c:v>3.3391915641476276E-2</c:v>
                      </c:pt>
                      <c:pt idx="45">
                        <c:v>7.0298769771528994E-3</c:v>
                      </c:pt>
                      <c:pt idx="46">
                        <c:v>6.1511423550087874E-2</c:v>
                      </c:pt>
                      <c:pt idx="47">
                        <c:v>2.6362038664323375E-3</c:v>
                      </c:pt>
                    </c:numCache>
                  </c:numRef>
                </c:val>
                <c:extLst>
                  <c:ext xmlns:c16="http://schemas.microsoft.com/office/drawing/2014/chart" uri="{C3380CC4-5D6E-409C-BE32-E72D297353CC}">
                    <c16:uniqueId val="{00000002-7E10-476F-85CA-DD5C0FFC17CF}"/>
                  </c:ext>
                </c:extLst>
              </c15:ser>
            </c15:filteredBarSeries>
            <c15:filteredBarSeries>
              <c15:ser>
                <c:idx val="2"/>
                <c:order val="2"/>
                <c:tx>
                  <c:v>Starten met laden 2024</c:v>
                </c:tx>
                <c:spPr>
                  <a:solidFill>
                    <a:srgbClr val="BAD6ED"/>
                  </a:solidFill>
                </c:spPr>
                <c:invertIfNegative val="0"/>
                <c:val>
                  <c:numRef>
                    <c:extLst xmlns:c15="http://schemas.microsoft.com/office/drawing/2012/chart">
                      <c:ext xmlns:c15="http://schemas.microsoft.com/office/drawing/2012/chart" uri="{02D57815-91ED-43cb-92C2-25804820EDAC}">
                        <c15:formulaRef>
                          <c15:sqref>'3.3 laadgedrag algemeen'!$C$337:$AX$337</c15:sqref>
                        </c15:formulaRef>
                      </c:ext>
                    </c:extLst>
                    <c:numCache>
                      <c:formatCode>0%</c:formatCode>
                      <c:ptCount val="48"/>
                      <c:pt idx="0">
                        <c:v>3.1974921630094043E-2</c:v>
                      </c:pt>
                      <c:pt idx="1">
                        <c:v>3.761755485893417E-3</c:v>
                      </c:pt>
                      <c:pt idx="2">
                        <c:v>3.4482758620689655E-2</c:v>
                      </c:pt>
                      <c:pt idx="3">
                        <c:v>3.761755485893417E-3</c:v>
                      </c:pt>
                      <c:pt idx="4">
                        <c:v>3.1347962382445138E-2</c:v>
                      </c:pt>
                      <c:pt idx="5">
                        <c:v>1.8808777429467085E-3</c:v>
                      </c:pt>
                      <c:pt idx="6">
                        <c:v>7.5235109717868339E-3</c:v>
                      </c:pt>
                      <c:pt idx="7">
                        <c:v>1.2539184952978057E-3</c:v>
                      </c:pt>
                      <c:pt idx="8">
                        <c:v>1.2539184952978057E-3</c:v>
                      </c:pt>
                      <c:pt idx="9">
                        <c:v>0</c:v>
                      </c:pt>
                      <c:pt idx="10">
                        <c:v>6.2695924764890286E-4</c:v>
                      </c:pt>
                      <c:pt idx="11">
                        <c:v>6.2695924764890286E-4</c:v>
                      </c:pt>
                      <c:pt idx="12">
                        <c:v>6.2695924764890286E-4</c:v>
                      </c:pt>
                      <c:pt idx="13">
                        <c:v>6.2695924764890286E-4</c:v>
                      </c:pt>
                      <c:pt idx="14">
                        <c:v>5.642633228840125E-3</c:v>
                      </c:pt>
                      <c:pt idx="15">
                        <c:v>1.8808777429467085E-3</c:v>
                      </c:pt>
                      <c:pt idx="16">
                        <c:v>1.5673981191222569E-2</c:v>
                      </c:pt>
                      <c:pt idx="17">
                        <c:v>8.1504702194357369E-3</c:v>
                      </c:pt>
                      <c:pt idx="18">
                        <c:v>2.3197492163009405E-2</c:v>
                      </c:pt>
                      <c:pt idx="19">
                        <c:v>1.2539184952978056E-2</c:v>
                      </c:pt>
                      <c:pt idx="20">
                        <c:v>7.2100313479623826E-2</c:v>
                      </c:pt>
                      <c:pt idx="21">
                        <c:v>1.0658307210031349E-2</c:v>
                      </c:pt>
                      <c:pt idx="22">
                        <c:v>5.2037617554858931E-2</c:v>
                      </c:pt>
                      <c:pt idx="23">
                        <c:v>7.5235109717868339E-3</c:v>
                      </c:pt>
                      <c:pt idx="24">
                        <c:v>5.329153605015674E-2</c:v>
                      </c:pt>
                      <c:pt idx="25">
                        <c:v>7.5235109717868339E-3</c:v>
                      </c:pt>
                      <c:pt idx="26">
                        <c:v>4.4514106583072102E-2</c:v>
                      </c:pt>
                      <c:pt idx="27">
                        <c:v>3.761755485893417E-3</c:v>
                      </c:pt>
                      <c:pt idx="28">
                        <c:v>2.0689655172413793E-2</c:v>
                      </c:pt>
                      <c:pt idx="29">
                        <c:v>3.761755485893417E-3</c:v>
                      </c:pt>
                      <c:pt idx="30">
                        <c:v>1.6927899686520375E-2</c:v>
                      </c:pt>
                      <c:pt idx="31">
                        <c:v>5.0156739811912229E-3</c:v>
                      </c:pt>
                      <c:pt idx="32">
                        <c:v>3.0094043887147336E-2</c:v>
                      </c:pt>
                      <c:pt idx="33">
                        <c:v>1.0031347962382446E-2</c:v>
                      </c:pt>
                      <c:pt idx="34">
                        <c:v>5.0156739811912224E-2</c:v>
                      </c:pt>
                      <c:pt idx="35">
                        <c:v>3.0094043887147336E-2</c:v>
                      </c:pt>
                      <c:pt idx="36">
                        <c:v>6.9592476489028207E-2</c:v>
                      </c:pt>
                      <c:pt idx="37">
                        <c:v>2.0062695924764892E-2</c:v>
                      </c:pt>
                      <c:pt idx="38">
                        <c:v>4.0752351097178681E-2</c:v>
                      </c:pt>
                      <c:pt idx="39">
                        <c:v>5.0156739811912229E-3</c:v>
                      </c:pt>
                      <c:pt idx="40">
                        <c:v>3.0721003134796237E-2</c:v>
                      </c:pt>
                      <c:pt idx="41">
                        <c:v>3.134796238244514E-3</c:v>
                      </c:pt>
                      <c:pt idx="42">
                        <c:v>5.1410658307210033E-2</c:v>
                      </c:pt>
                      <c:pt idx="43">
                        <c:v>2.5078369905956114E-3</c:v>
                      </c:pt>
                      <c:pt idx="44">
                        <c:v>2.5705329153605017E-2</c:v>
                      </c:pt>
                      <c:pt idx="45">
                        <c:v>1.0031347962382446E-2</c:v>
                      </c:pt>
                      <c:pt idx="46">
                        <c:v>0.12351097178683386</c:v>
                      </c:pt>
                      <c:pt idx="47">
                        <c:v>1.2539184952978056E-2</c:v>
                      </c:pt>
                    </c:numCache>
                  </c:numRef>
                </c:val>
                <c:extLst xmlns:c15="http://schemas.microsoft.com/office/drawing/2012/chart">
                  <c:ext xmlns:c16="http://schemas.microsoft.com/office/drawing/2014/chart" uri="{C3380CC4-5D6E-409C-BE32-E72D297353CC}">
                    <c16:uniqueId val="{00000003-7E10-476F-85CA-DD5C0FFC17CF}"/>
                  </c:ext>
                </c:extLst>
              </c15:ser>
            </c15:filteredBarSeries>
          </c:ext>
        </c:extLst>
      </c:barChart>
      <c:catAx>
        <c:axId val="5047007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2C307E"/>
                </a:solidFill>
                <a:latin typeface="+mn-lt"/>
                <a:ea typeface="+mn-ea"/>
                <a:cs typeface="+mn-cs"/>
              </a:defRPr>
            </a:pPr>
            <a:endParaRPr lang="nl-NL"/>
          </a:p>
        </c:txPr>
        <c:crossAx val="504699672"/>
        <c:crosses val="autoZero"/>
        <c:auto val="1"/>
        <c:lblAlgn val="ctr"/>
        <c:lblOffset val="100"/>
        <c:noMultiLvlLbl val="0"/>
      </c:catAx>
      <c:valAx>
        <c:axId val="504699672"/>
        <c:scaling>
          <c:orientation val="minMax"/>
          <c:max val="0.16000000000000003"/>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2C307E"/>
                </a:solidFill>
                <a:latin typeface="+mn-lt"/>
                <a:ea typeface="+mn-ea"/>
                <a:cs typeface="+mn-cs"/>
              </a:defRPr>
            </a:pPr>
            <a:endParaRPr lang="nl-NL"/>
          </a:p>
        </c:txPr>
        <c:crossAx val="504700752"/>
        <c:crosses val="autoZero"/>
        <c:crossBetween val="between"/>
        <c:majorUnit val="4.0000000000000008E-2"/>
      </c:valAx>
      <c:spPr>
        <a:noFill/>
        <a:ln>
          <a:noFill/>
        </a:ln>
      </c:spPr>
    </c:plotArea>
    <c:legend>
      <c:legendPos val="b"/>
      <c:layout>
        <c:manualLayout>
          <c:xMode val="edge"/>
          <c:yMode val="edge"/>
          <c:x val="0.2381917538085517"/>
          <c:y val="0.86769801559987281"/>
          <c:w val="0.52802566345873436"/>
          <c:h val="0.13230198440012716"/>
        </c:manualLayout>
      </c:layout>
      <c:overlay val="0"/>
      <c:spPr>
        <a:noFill/>
        <a:ln>
          <a:noFill/>
        </a:ln>
        <a:effectLst/>
      </c:spPr>
      <c:txPr>
        <a:bodyPr rot="0" spcFirstLastPara="1" vertOverflow="ellipsis" vert="horz" wrap="square" anchor="ctr" anchorCtr="1"/>
        <a:lstStyle/>
        <a:p>
          <a:pPr>
            <a:defRPr sz="900" b="0" i="0" u="none" strike="noStrike" kern="1200" baseline="0">
              <a:solidFill>
                <a:srgbClr val="2C307E"/>
              </a:solidFill>
              <a:latin typeface="+mn-lt"/>
              <a:ea typeface="+mn-ea"/>
              <a:cs typeface="+mn-cs"/>
            </a:defRPr>
          </a:pPr>
          <a:endParaRPr lang="nl-NL"/>
        </a:p>
      </c:txPr>
    </c:legend>
    <c:plotVisOnly val="1"/>
    <c:dispBlanksAs val="gap"/>
    <c:showDLblsOverMax val="0"/>
    <c:extLst/>
  </c:chart>
  <c:spPr>
    <a:noFill/>
    <a:ln>
      <a:noFill/>
    </a:ln>
  </c:spPr>
  <c:txPr>
    <a:bodyPr/>
    <a:lstStyle/>
    <a:p>
      <a:pPr>
        <a:defRPr/>
      </a:pPr>
      <a:endParaRPr lang="nl-NL"/>
    </a:p>
  </c:tx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rgbClr val="2C307E"/>
                </a:solidFill>
                <a:latin typeface="+mn-lt"/>
                <a:ea typeface="+mn-ea"/>
                <a:cs typeface="+mn-cs"/>
              </a:defRPr>
            </a:pPr>
            <a:r>
              <a:rPr lang="nl-NL" sz="1100">
                <a:solidFill>
                  <a:srgbClr val="2C307E"/>
                </a:solidFill>
              </a:rPr>
              <a:t>Niet thuislader stoppen met laden [N=394] </a:t>
            </a:r>
            <a:endParaRPr lang="nl-NL" sz="1200">
              <a:solidFill>
                <a:srgbClr val="2C307E"/>
              </a:solidFill>
            </a:endParaRPr>
          </a:p>
        </c:rich>
      </c:tx>
      <c:overlay val="0"/>
      <c:spPr>
        <a:noFill/>
        <a:ln>
          <a:noFill/>
        </a:ln>
        <a:effectLst/>
      </c:spPr>
    </c:title>
    <c:autoTitleDeleted val="0"/>
    <c:plotArea>
      <c:layout>
        <c:manualLayout>
          <c:layoutTarget val="inner"/>
          <c:xMode val="edge"/>
          <c:yMode val="edge"/>
          <c:x val="6.7035989920287628E-2"/>
          <c:y val="0.1680125441003528"/>
          <c:w val="0.90177158844010119"/>
          <c:h val="0.4677566617383333"/>
        </c:manualLayout>
      </c:layout>
      <c:barChart>
        <c:barDir val="col"/>
        <c:grouping val="clustered"/>
        <c:varyColors val="0"/>
        <c:ser>
          <c:idx val="1"/>
          <c:order val="1"/>
          <c:tx>
            <c:v>Stoppen met laden 2025</c:v>
          </c:tx>
          <c:spPr>
            <a:solidFill>
              <a:srgbClr val="2C307E"/>
            </a:solidFill>
            <a:ln>
              <a:noFill/>
            </a:ln>
            <a:effectLst/>
          </c:spPr>
          <c:invertIfNegative val="0"/>
          <c:cat>
            <c:strRef>
              <c:f>'3.3 laadgedrag algemeen'!$C$359:$AX$359</c:f>
              <c:strCache>
                <c:ptCount val="48"/>
                <c:pt idx="0">
                  <c:v>00:00</c:v>
                </c:pt>
                <c:pt idx="1">
                  <c:v>0:30</c:v>
                </c:pt>
                <c:pt idx="2">
                  <c:v>1:00</c:v>
                </c:pt>
                <c:pt idx="3">
                  <c:v>1:30</c:v>
                </c:pt>
                <c:pt idx="4">
                  <c:v>2:00</c:v>
                </c:pt>
                <c:pt idx="5">
                  <c:v>2:30</c:v>
                </c:pt>
                <c:pt idx="6">
                  <c:v>3:00</c:v>
                </c:pt>
                <c:pt idx="7">
                  <c:v>3:30</c:v>
                </c:pt>
                <c:pt idx="8">
                  <c:v>4:00</c:v>
                </c:pt>
                <c:pt idx="9">
                  <c:v>4:30</c:v>
                </c:pt>
                <c:pt idx="10">
                  <c:v>5:00</c:v>
                </c:pt>
                <c:pt idx="11">
                  <c:v>5:30</c:v>
                </c:pt>
                <c:pt idx="12">
                  <c:v>6:00</c:v>
                </c:pt>
                <c:pt idx="13">
                  <c:v>6:30</c:v>
                </c:pt>
                <c:pt idx="14">
                  <c:v>7:00</c:v>
                </c:pt>
                <c:pt idx="15">
                  <c:v>7:30</c:v>
                </c:pt>
                <c:pt idx="16">
                  <c:v>8:00</c:v>
                </c:pt>
                <c:pt idx="17">
                  <c:v>8:30</c:v>
                </c:pt>
                <c:pt idx="18">
                  <c:v>9:00</c:v>
                </c:pt>
                <c:pt idx="19">
                  <c:v>9:30</c:v>
                </c:pt>
                <c:pt idx="20">
                  <c:v>10:00</c:v>
                </c:pt>
                <c:pt idx="21">
                  <c:v>10:30</c:v>
                </c:pt>
                <c:pt idx="22">
                  <c:v>11:00</c:v>
                </c:pt>
                <c:pt idx="23">
                  <c:v>11:30</c:v>
                </c:pt>
                <c:pt idx="24">
                  <c:v>12:00</c:v>
                </c:pt>
                <c:pt idx="25">
                  <c:v>12:30</c:v>
                </c:pt>
                <c:pt idx="26">
                  <c:v>13:00</c:v>
                </c:pt>
                <c:pt idx="27">
                  <c:v>13:30</c:v>
                </c:pt>
                <c:pt idx="28">
                  <c:v>14:00</c:v>
                </c:pt>
                <c:pt idx="29">
                  <c:v>14:30</c:v>
                </c:pt>
                <c:pt idx="30">
                  <c:v>15:00</c:v>
                </c:pt>
                <c:pt idx="31">
                  <c:v>15:30</c:v>
                </c:pt>
                <c:pt idx="32">
                  <c:v>16:00</c:v>
                </c:pt>
                <c:pt idx="33">
                  <c:v>16:30</c:v>
                </c:pt>
                <c:pt idx="34">
                  <c:v>17:00</c:v>
                </c:pt>
                <c:pt idx="35">
                  <c:v>17:30</c:v>
                </c:pt>
                <c:pt idx="36">
                  <c:v>18:00</c:v>
                </c:pt>
                <c:pt idx="37">
                  <c:v>18:30</c:v>
                </c:pt>
                <c:pt idx="38">
                  <c:v>19:00</c:v>
                </c:pt>
                <c:pt idx="39">
                  <c:v>19:30</c:v>
                </c:pt>
                <c:pt idx="40">
                  <c:v>20:00</c:v>
                </c:pt>
                <c:pt idx="41">
                  <c:v>20:30</c:v>
                </c:pt>
                <c:pt idx="42">
                  <c:v>21:00</c:v>
                </c:pt>
                <c:pt idx="43">
                  <c:v>21:30</c:v>
                </c:pt>
                <c:pt idx="44">
                  <c:v>22:00</c:v>
                </c:pt>
                <c:pt idx="45">
                  <c:v>22:30</c:v>
                </c:pt>
                <c:pt idx="46">
                  <c:v>23:00</c:v>
                </c:pt>
                <c:pt idx="47">
                  <c:v>23:30</c:v>
                </c:pt>
              </c:strCache>
            </c:strRef>
          </c:cat>
          <c:val>
            <c:numRef>
              <c:f>'3.3 laadgedrag algemeen'!$C$307:$AX$307</c:f>
              <c:numCache>
                <c:formatCode>0%</c:formatCode>
                <c:ptCount val="48"/>
                <c:pt idx="0">
                  <c:v>2.5380710659898475E-3</c:v>
                </c:pt>
                <c:pt idx="1">
                  <c:v>0</c:v>
                </c:pt>
                <c:pt idx="2">
                  <c:v>0</c:v>
                </c:pt>
                <c:pt idx="3">
                  <c:v>0</c:v>
                </c:pt>
                <c:pt idx="4">
                  <c:v>0</c:v>
                </c:pt>
                <c:pt idx="5">
                  <c:v>0</c:v>
                </c:pt>
                <c:pt idx="6">
                  <c:v>0</c:v>
                </c:pt>
                <c:pt idx="7">
                  <c:v>2.5380710659898475E-3</c:v>
                </c:pt>
                <c:pt idx="8">
                  <c:v>0</c:v>
                </c:pt>
                <c:pt idx="9">
                  <c:v>0</c:v>
                </c:pt>
                <c:pt idx="10">
                  <c:v>2.5380710659898475E-3</c:v>
                </c:pt>
                <c:pt idx="11">
                  <c:v>2.5380710659898475E-3</c:v>
                </c:pt>
                <c:pt idx="12">
                  <c:v>1.5228426395939087E-2</c:v>
                </c:pt>
                <c:pt idx="13">
                  <c:v>2.5380710659898477E-2</c:v>
                </c:pt>
                <c:pt idx="14">
                  <c:v>7.8680203045685279E-2</c:v>
                </c:pt>
                <c:pt idx="15">
                  <c:v>5.8375634517766499E-2</c:v>
                </c:pt>
                <c:pt idx="16">
                  <c:v>8.1218274111675121E-2</c:v>
                </c:pt>
                <c:pt idx="17">
                  <c:v>4.060913705583756E-2</c:v>
                </c:pt>
                <c:pt idx="18">
                  <c:v>3.8071065989847719E-2</c:v>
                </c:pt>
                <c:pt idx="19">
                  <c:v>1.015228426395939E-2</c:v>
                </c:pt>
                <c:pt idx="20">
                  <c:v>1.5228426395939087E-2</c:v>
                </c:pt>
                <c:pt idx="21">
                  <c:v>5.076142131979695E-3</c:v>
                </c:pt>
                <c:pt idx="22">
                  <c:v>1.015228426395939E-2</c:v>
                </c:pt>
                <c:pt idx="23">
                  <c:v>0</c:v>
                </c:pt>
                <c:pt idx="24">
                  <c:v>4.060913705583756E-2</c:v>
                </c:pt>
                <c:pt idx="25">
                  <c:v>1.5228426395939087E-2</c:v>
                </c:pt>
                <c:pt idx="26">
                  <c:v>3.2994923857868022E-2</c:v>
                </c:pt>
                <c:pt idx="27">
                  <c:v>1.2690355329949238E-2</c:v>
                </c:pt>
                <c:pt idx="28">
                  <c:v>4.3147208121827409E-2</c:v>
                </c:pt>
                <c:pt idx="29">
                  <c:v>7.6142131979695434E-3</c:v>
                </c:pt>
                <c:pt idx="30">
                  <c:v>3.2994923857868022E-2</c:v>
                </c:pt>
                <c:pt idx="31">
                  <c:v>2.030456852791878E-2</c:v>
                </c:pt>
                <c:pt idx="32">
                  <c:v>5.8375634517766499E-2</c:v>
                </c:pt>
                <c:pt idx="33">
                  <c:v>3.553299492385787E-2</c:v>
                </c:pt>
                <c:pt idx="34">
                  <c:v>8.3756345177664976E-2</c:v>
                </c:pt>
                <c:pt idx="35">
                  <c:v>2.2842639593908629E-2</c:v>
                </c:pt>
                <c:pt idx="36">
                  <c:v>4.060913705583756E-2</c:v>
                </c:pt>
                <c:pt idx="37">
                  <c:v>5.076142131979695E-3</c:v>
                </c:pt>
                <c:pt idx="38">
                  <c:v>1.7766497461928935E-2</c:v>
                </c:pt>
                <c:pt idx="39">
                  <c:v>0</c:v>
                </c:pt>
                <c:pt idx="40">
                  <c:v>1.5228426395939087E-2</c:v>
                </c:pt>
                <c:pt idx="41">
                  <c:v>5.076142131979695E-3</c:v>
                </c:pt>
                <c:pt idx="42">
                  <c:v>3.2994923857868022E-2</c:v>
                </c:pt>
                <c:pt idx="43">
                  <c:v>5.076142131979695E-3</c:v>
                </c:pt>
                <c:pt idx="44">
                  <c:v>3.2994923857868022E-2</c:v>
                </c:pt>
                <c:pt idx="45">
                  <c:v>2.5380710659898477E-2</c:v>
                </c:pt>
                <c:pt idx="46">
                  <c:v>1.7766497461928935E-2</c:v>
                </c:pt>
                <c:pt idx="47">
                  <c:v>7.6142131979695434E-3</c:v>
                </c:pt>
              </c:numCache>
            </c:numRef>
          </c:val>
          <c:extLst>
            <c:ext xmlns:c16="http://schemas.microsoft.com/office/drawing/2014/chart" uri="{C3380CC4-5D6E-409C-BE32-E72D297353CC}">
              <c16:uniqueId val="{00000000-303F-4E13-8E12-52C34288E41C}"/>
            </c:ext>
          </c:extLst>
        </c:ser>
        <c:ser>
          <c:idx val="3"/>
          <c:order val="3"/>
          <c:tx>
            <c:v>Stoppen met laden 2024</c:v>
          </c:tx>
          <c:spPr>
            <a:solidFill>
              <a:srgbClr val="08B466"/>
            </a:solidFill>
          </c:spPr>
          <c:invertIfNegative val="0"/>
          <c:val>
            <c:numRef>
              <c:f>'3.3 laadgedrag algemeen'!$C$354:$AX$354</c:f>
              <c:numCache>
                <c:formatCode>0%</c:formatCode>
                <c:ptCount val="48"/>
                <c:pt idx="0">
                  <c:v>1.7667844522968198E-3</c:v>
                </c:pt>
                <c:pt idx="1">
                  <c:v>1.7667844522968198E-3</c:v>
                </c:pt>
                <c:pt idx="2">
                  <c:v>1.7667844522968198E-3</c:v>
                </c:pt>
                <c:pt idx="3">
                  <c:v>0</c:v>
                </c:pt>
                <c:pt idx="4">
                  <c:v>0</c:v>
                </c:pt>
                <c:pt idx="5">
                  <c:v>0</c:v>
                </c:pt>
                <c:pt idx="6">
                  <c:v>0</c:v>
                </c:pt>
                <c:pt idx="7">
                  <c:v>1.7667844522968198E-3</c:v>
                </c:pt>
                <c:pt idx="8">
                  <c:v>3.5335689045936395E-3</c:v>
                </c:pt>
                <c:pt idx="9">
                  <c:v>1.7667844522968198E-3</c:v>
                </c:pt>
                <c:pt idx="10">
                  <c:v>3.5335689045936395E-3</c:v>
                </c:pt>
                <c:pt idx="11">
                  <c:v>7.0671378091872791E-3</c:v>
                </c:pt>
                <c:pt idx="12">
                  <c:v>3.5335689045936397E-2</c:v>
                </c:pt>
                <c:pt idx="13">
                  <c:v>3.1802120141342753E-2</c:v>
                </c:pt>
                <c:pt idx="14">
                  <c:v>0.1166077738515901</c:v>
                </c:pt>
                <c:pt idx="15">
                  <c:v>5.8303886925795051E-2</c:v>
                </c:pt>
                <c:pt idx="16">
                  <c:v>0.16607773851590105</c:v>
                </c:pt>
                <c:pt idx="17">
                  <c:v>4.2402826855123678E-2</c:v>
                </c:pt>
                <c:pt idx="18">
                  <c:v>5.8303886925795051E-2</c:v>
                </c:pt>
                <c:pt idx="19">
                  <c:v>8.8339222614840993E-3</c:v>
                </c:pt>
                <c:pt idx="20">
                  <c:v>2.1201413427561839E-2</c:v>
                </c:pt>
                <c:pt idx="21">
                  <c:v>0</c:v>
                </c:pt>
                <c:pt idx="22">
                  <c:v>8.8339222614840993E-3</c:v>
                </c:pt>
                <c:pt idx="23">
                  <c:v>3.5335689045936395E-3</c:v>
                </c:pt>
                <c:pt idx="24">
                  <c:v>2.1201413427561839E-2</c:v>
                </c:pt>
                <c:pt idx="25">
                  <c:v>5.3003533568904597E-3</c:v>
                </c:pt>
                <c:pt idx="26">
                  <c:v>2.2968197879858657E-2</c:v>
                </c:pt>
                <c:pt idx="27">
                  <c:v>7.0671378091872791E-3</c:v>
                </c:pt>
                <c:pt idx="28">
                  <c:v>2.4734982332155476E-2</c:v>
                </c:pt>
                <c:pt idx="29">
                  <c:v>7.0671378091872791E-3</c:v>
                </c:pt>
                <c:pt idx="30">
                  <c:v>1.4134275618374558E-2</c:v>
                </c:pt>
                <c:pt idx="31">
                  <c:v>1.0600706713780919E-2</c:v>
                </c:pt>
                <c:pt idx="32">
                  <c:v>3.0035335689045935E-2</c:v>
                </c:pt>
                <c:pt idx="33">
                  <c:v>8.8339222614840993E-3</c:v>
                </c:pt>
                <c:pt idx="34">
                  <c:v>6.0070671378091869E-2</c:v>
                </c:pt>
                <c:pt idx="35">
                  <c:v>1.2367491166077738E-2</c:v>
                </c:pt>
                <c:pt idx="36">
                  <c:v>3.1802120141342753E-2</c:v>
                </c:pt>
                <c:pt idx="37">
                  <c:v>0</c:v>
                </c:pt>
                <c:pt idx="38">
                  <c:v>8.8339222614840993E-3</c:v>
                </c:pt>
                <c:pt idx="39">
                  <c:v>1.0600706713780919E-2</c:v>
                </c:pt>
                <c:pt idx="40">
                  <c:v>1.9434628975265017E-2</c:v>
                </c:pt>
                <c:pt idx="41">
                  <c:v>7.0671378091872791E-3</c:v>
                </c:pt>
                <c:pt idx="42">
                  <c:v>2.8268551236749116E-2</c:v>
                </c:pt>
                <c:pt idx="43">
                  <c:v>8.8339222614840993E-3</c:v>
                </c:pt>
                <c:pt idx="44">
                  <c:v>4.4169611307420496E-2</c:v>
                </c:pt>
                <c:pt idx="45">
                  <c:v>1.7667844522968199E-2</c:v>
                </c:pt>
                <c:pt idx="46">
                  <c:v>1.5901060070671377E-2</c:v>
                </c:pt>
                <c:pt idx="47">
                  <c:v>8.8339222614840993E-3</c:v>
                </c:pt>
              </c:numCache>
            </c:numRef>
          </c:val>
          <c:extLst>
            <c:ext xmlns:c16="http://schemas.microsoft.com/office/drawing/2014/chart" uri="{C3380CC4-5D6E-409C-BE32-E72D297353CC}">
              <c16:uniqueId val="{00000001-303F-4E13-8E12-52C34288E41C}"/>
            </c:ext>
          </c:extLst>
        </c:ser>
        <c:dLbls>
          <c:showLegendKey val="0"/>
          <c:showVal val="0"/>
          <c:showCatName val="0"/>
          <c:showSerName val="0"/>
          <c:showPercent val="0"/>
          <c:showBubbleSize val="0"/>
        </c:dLbls>
        <c:gapWidth val="219"/>
        <c:overlap val="-27"/>
        <c:axId val="504700752"/>
        <c:axId val="504699672"/>
        <c:extLst>
          <c:ext xmlns:c15="http://schemas.microsoft.com/office/drawing/2012/chart" uri="{02D57815-91ED-43cb-92C2-25804820EDAC}">
            <c15:filteredBarSeries>
              <c15:ser>
                <c:idx val="0"/>
                <c:order val="0"/>
                <c:tx>
                  <c:v>Starten met laden 2025</c:v>
                </c:tx>
                <c:spPr>
                  <a:solidFill>
                    <a:srgbClr val="2C307E"/>
                  </a:solidFill>
                  <a:ln>
                    <a:noFill/>
                  </a:ln>
                  <a:effectLst/>
                </c:spPr>
                <c:invertIfNegative val="0"/>
                <c:cat>
                  <c:strRef>
                    <c:extLst>
                      <c:ext uri="{02D57815-91ED-43cb-92C2-25804820EDAC}">
                        <c15:formulaRef>
                          <c15:sqref>'3.3 laadgedrag algemeen'!$C$359:$AX$359</c15:sqref>
                        </c15:formulaRef>
                      </c:ext>
                    </c:extLst>
                    <c:strCache>
                      <c:ptCount val="48"/>
                      <c:pt idx="0">
                        <c:v>00:00</c:v>
                      </c:pt>
                      <c:pt idx="1">
                        <c:v>0:30</c:v>
                      </c:pt>
                      <c:pt idx="2">
                        <c:v>1:00</c:v>
                      </c:pt>
                      <c:pt idx="3">
                        <c:v>1:30</c:v>
                      </c:pt>
                      <c:pt idx="4">
                        <c:v>2:00</c:v>
                      </c:pt>
                      <c:pt idx="5">
                        <c:v>2:30</c:v>
                      </c:pt>
                      <c:pt idx="6">
                        <c:v>3:00</c:v>
                      </c:pt>
                      <c:pt idx="7">
                        <c:v>3:30</c:v>
                      </c:pt>
                      <c:pt idx="8">
                        <c:v>4:00</c:v>
                      </c:pt>
                      <c:pt idx="9">
                        <c:v>4:30</c:v>
                      </c:pt>
                      <c:pt idx="10">
                        <c:v>5:00</c:v>
                      </c:pt>
                      <c:pt idx="11">
                        <c:v>5:30</c:v>
                      </c:pt>
                      <c:pt idx="12">
                        <c:v>6:00</c:v>
                      </c:pt>
                      <c:pt idx="13">
                        <c:v>6:30</c:v>
                      </c:pt>
                      <c:pt idx="14">
                        <c:v>7:00</c:v>
                      </c:pt>
                      <c:pt idx="15">
                        <c:v>7:30</c:v>
                      </c:pt>
                      <c:pt idx="16">
                        <c:v>8:00</c:v>
                      </c:pt>
                      <c:pt idx="17">
                        <c:v>8:30</c:v>
                      </c:pt>
                      <c:pt idx="18">
                        <c:v>9:00</c:v>
                      </c:pt>
                      <c:pt idx="19">
                        <c:v>9:30</c:v>
                      </c:pt>
                      <c:pt idx="20">
                        <c:v>10:00</c:v>
                      </c:pt>
                      <c:pt idx="21">
                        <c:v>10:30</c:v>
                      </c:pt>
                      <c:pt idx="22">
                        <c:v>11:00</c:v>
                      </c:pt>
                      <c:pt idx="23">
                        <c:v>11:30</c:v>
                      </c:pt>
                      <c:pt idx="24">
                        <c:v>12:00</c:v>
                      </c:pt>
                      <c:pt idx="25">
                        <c:v>12:30</c:v>
                      </c:pt>
                      <c:pt idx="26">
                        <c:v>13:00</c:v>
                      </c:pt>
                      <c:pt idx="27">
                        <c:v>13:30</c:v>
                      </c:pt>
                      <c:pt idx="28">
                        <c:v>14:00</c:v>
                      </c:pt>
                      <c:pt idx="29">
                        <c:v>14:30</c:v>
                      </c:pt>
                      <c:pt idx="30">
                        <c:v>15:00</c:v>
                      </c:pt>
                      <c:pt idx="31">
                        <c:v>15:30</c:v>
                      </c:pt>
                      <c:pt idx="32">
                        <c:v>16:00</c:v>
                      </c:pt>
                      <c:pt idx="33">
                        <c:v>16:30</c:v>
                      </c:pt>
                      <c:pt idx="34">
                        <c:v>17:00</c:v>
                      </c:pt>
                      <c:pt idx="35">
                        <c:v>17:30</c:v>
                      </c:pt>
                      <c:pt idx="36">
                        <c:v>18:00</c:v>
                      </c:pt>
                      <c:pt idx="37">
                        <c:v>18:30</c:v>
                      </c:pt>
                      <c:pt idx="38">
                        <c:v>19:00</c:v>
                      </c:pt>
                      <c:pt idx="39">
                        <c:v>19:30</c:v>
                      </c:pt>
                      <c:pt idx="40">
                        <c:v>20:00</c:v>
                      </c:pt>
                      <c:pt idx="41">
                        <c:v>20:30</c:v>
                      </c:pt>
                      <c:pt idx="42">
                        <c:v>21:00</c:v>
                      </c:pt>
                      <c:pt idx="43">
                        <c:v>21:30</c:v>
                      </c:pt>
                      <c:pt idx="44">
                        <c:v>22:00</c:v>
                      </c:pt>
                      <c:pt idx="45">
                        <c:v>22:30</c:v>
                      </c:pt>
                      <c:pt idx="46">
                        <c:v>23:00</c:v>
                      </c:pt>
                      <c:pt idx="47">
                        <c:v>23:30</c:v>
                      </c:pt>
                    </c:strCache>
                  </c:strRef>
                </c:cat>
                <c:val>
                  <c:numRef>
                    <c:extLst>
                      <c:ext uri="{02D57815-91ED-43cb-92C2-25804820EDAC}">
                        <c15:formulaRef>
                          <c15:sqref>'3.3 laadgedrag algemeen'!$C$306:$AX$306</c15:sqref>
                        </c15:formulaRef>
                      </c:ext>
                    </c:extLst>
                    <c:numCache>
                      <c:formatCode>0%</c:formatCode>
                      <c:ptCount val="48"/>
                      <c:pt idx="0">
                        <c:v>2.5641025641025641E-3</c:v>
                      </c:pt>
                      <c:pt idx="1">
                        <c:v>0</c:v>
                      </c:pt>
                      <c:pt idx="2">
                        <c:v>0</c:v>
                      </c:pt>
                      <c:pt idx="3">
                        <c:v>0</c:v>
                      </c:pt>
                      <c:pt idx="4">
                        <c:v>2.5641025641025641E-3</c:v>
                      </c:pt>
                      <c:pt idx="5">
                        <c:v>0</c:v>
                      </c:pt>
                      <c:pt idx="6">
                        <c:v>2.5641025641025641E-3</c:v>
                      </c:pt>
                      <c:pt idx="7">
                        <c:v>2.5641025641025641E-3</c:v>
                      </c:pt>
                      <c:pt idx="8">
                        <c:v>2.5641025641025641E-3</c:v>
                      </c:pt>
                      <c:pt idx="9">
                        <c:v>0</c:v>
                      </c:pt>
                      <c:pt idx="10">
                        <c:v>0</c:v>
                      </c:pt>
                      <c:pt idx="11">
                        <c:v>0</c:v>
                      </c:pt>
                      <c:pt idx="12">
                        <c:v>1.282051282051282E-2</c:v>
                      </c:pt>
                      <c:pt idx="13">
                        <c:v>7.6923076923076927E-3</c:v>
                      </c:pt>
                      <c:pt idx="14">
                        <c:v>3.8461538461538464E-2</c:v>
                      </c:pt>
                      <c:pt idx="15">
                        <c:v>3.5897435897435895E-2</c:v>
                      </c:pt>
                      <c:pt idx="16">
                        <c:v>6.6666666666666666E-2</c:v>
                      </c:pt>
                      <c:pt idx="17">
                        <c:v>4.3589743589743588E-2</c:v>
                      </c:pt>
                      <c:pt idx="18">
                        <c:v>7.4358974358974358E-2</c:v>
                      </c:pt>
                      <c:pt idx="19">
                        <c:v>2.0512820512820513E-2</c:v>
                      </c:pt>
                      <c:pt idx="20">
                        <c:v>5.6410256410256411E-2</c:v>
                      </c:pt>
                      <c:pt idx="21">
                        <c:v>1.282051282051282E-2</c:v>
                      </c:pt>
                      <c:pt idx="22">
                        <c:v>2.3076923076923078E-2</c:v>
                      </c:pt>
                      <c:pt idx="23">
                        <c:v>2.5641025641025641E-3</c:v>
                      </c:pt>
                      <c:pt idx="24">
                        <c:v>3.3333333333333333E-2</c:v>
                      </c:pt>
                      <c:pt idx="25">
                        <c:v>5.1282051282051282E-3</c:v>
                      </c:pt>
                      <c:pt idx="26">
                        <c:v>2.3076923076923078E-2</c:v>
                      </c:pt>
                      <c:pt idx="27">
                        <c:v>1.0256410256410256E-2</c:v>
                      </c:pt>
                      <c:pt idx="28">
                        <c:v>2.3076923076923078E-2</c:v>
                      </c:pt>
                      <c:pt idx="29">
                        <c:v>0</c:v>
                      </c:pt>
                      <c:pt idx="30">
                        <c:v>1.282051282051282E-2</c:v>
                      </c:pt>
                      <c:pt idx="31">
                        <c:v>7.6923076923076927E-3</c:v>
                      </c:pt>
                      <c:pt idx="32">
                        <c:v>4.1025641025641026E-2</c:v>
                      </c:pt>
                      <c:pt idx="33">
                        <c:v>2.3076923076923078E-2</c:v>
                      </c:pt>
                      <c:pt idx="34">
                        <c:v>6.9230769230769235E-2</c:v>
                      </c:pt>
                      <c:pt idx="35">
                        <c:v>2.8205128205128206E-2</c:v>
                      </c:pt>
                      <c:pt idx="36">
                        <c:v>8.9743589743589744E-2</c:v>
                      </c:pt>
                      <c:pt idx="37">
                        <c:v>3.5897435897435895E-2</c:v>
                      </c:pt>
                      <c:pt idx="38">
                        <c:v>4.3589743589743588E-2</c:v>
                      </c:pt>
                      <c:pt idx="39">
                        <c:v>2.5641025641025641E-3</c:v>
                      </c:pt>
                      <c:pt idx="40">
                        <c:v>4.8717948717948718E-2</c:v>
                      </c:pt>
                      <c:pt idx="41">
                        <c:v>2.5641025641025641E-3</c:v>
                      </c:pt>
                      <c:pt idx="42">
                        <c:v>4.6153846153846156E-2</c:v>
                      </c:pt>
                      <c:pt idx="43">
                        <c:v>7.6923076923076927E-3</c:v>
                      </c:pt>
                      <c:pt idx="44">
                        <c:v>1.7948717948717947E-2</c:v>
                      </c:pt>
                      <c:pt idx="45">
                        <c:v>2.5641025641025641E-3</c:v>
                      </c:pt>
                      <c:pt idx="46">
                        <c:v>1.5384615384615385E-2</c:v>
                      </c:pt>
                      <c:pt idx="47">
                        <c:v>2.5641025641025641E-3</c:v>
                      </c:pt>
                    </c:numCache>
                  </c:numRef>
                </c:val>
                <c:extLst>
                  <c:ext xmlns:c16="http://schemas.microsoft.com/office/drawing/2014/chart" uri="{C3380CC4-5D6E-409C-BE32-E72D297353CC}">
                    <c16:uniqueId val="{00000002-303F-4E13-8E12-52C34288E41C}"/>
                  </c:ext>
                </c:extLst>
              </c15:ser>
            </c15:filteredBarSeries>
            <c15:filteredBarSeries>
              <c15:ser>
                <c:idx val="2"/>
                <c:order val="2"/>
                <c:tx>
                  <c:v>Starten met laden 2024</c:v>
                </c:tx>
                <c:spPr>
                  <a:solidFill>
                    <a:srgbClr val="BAD6ED"/>
                  </a:solidFill>
                </c:spPr>
                <c:invertIfNegative val="0"/>
                <c:val>
                  <c:numRef>
                    <c:extLst xmlns:c15="http://schemas.microsoft.com/office/drawing/2012/chart">
                      <c:ext xmlns:c15="http://schemas.microsoft.com/office/drawing/2012/chart" uri="{02D57815-91ED-43cb-92C2-25804820EDAC}">
                        <c15:formulaRef>
                          <c15:sqref>'3.3 laadgedrag algemeen'!$C$340:$AX$340</c15:sqref>
                        </c15:formulaRef>
                      </c:ext>
                    </c:extLst>
                    <c:numCache>
                      <c:formatCode>0%</c:formatCode>
                      <c:ptCount val="48"/>
                      <c:pt idx="0">
                        <c:v>3.629764065335753E-3</c:v>
                      </c:pt>
                      <c:pt idx="1">
                        <c:v>0</c:v>
                      </c:pt>
                      <c:pt idx="2">
                        <c:v>7.2595281306715061E-3</c:v>
                      </c:pt>
                      <c:pt idx="3">
                        <c:v>1.8148820326678765E-3</c:v>
                      </c:pt>
                      <c:pt idx="4">
                        <c:v>5.4446460980036296E-3</c:v>
                      </c:pt>
                      <c:pt idx="5">
                        <c:v>0</c:v>
                      </c:pt>
                      <c:pt idx="6">
                        <c:v>1.8148820326678765E-3</c:v>
                      </c:pt>
                      <c:pt idx="7">
                        <c:v>0</c:v>
                      </c:pt>
                      <c:pt idx="8">
                        <c:v>0</c:v>
                      </c:pt>
                      <c:pt idx="9">
                        <c:v>0</c:v>
                      </c:pt>
                      <c:pt idx="10">
                        <c:v>1.8148820326678765E-3</c:v>
                      </c:pt>
                      <c:pt idx="11">
                        <c:v>0</c:v>
                      </c:pt>
                      <c:pt idx="12">
                        <c:v>3.629764065335753E-3</c:v>
                      </c:pt>
                      <c:pt idx="13">
                        <c:v>3.629764065335753E-3</c:v>
                      </c:pt>
                      <c:pt idx="14">
                        <c:v>3.629764065335753E-3</c:v>
                      </c:pt>
                      <c:pt idx="15">
                        <c:v>1.2704174228675136E-2</c:v>
                      </c:pt>
                      <c:pt idx="16">
                        <c:v>3.8112522686025406E-2</c:v>
                      </c:pt>
                      <c:pt idx="17">
                        <c:v>1.9963702359346643E-2</c:v>
                      </c:pt>
                      <c:pt idx="18">
                        <c:v>4.7186932849364795E-2</c:v>
                      </c:pt>
                      <c:pt idx="19">
                        <c:v>9.0744101633393835E-3</c:v>
                      </c:pt>
                      <c:pt idx="20">
                        <c:v>4.3557168784029036E-2</c:v>
                      </c:pt>
                      <c:pt idx="21">
                        <c:v>1.8148820326678765E-3</c:v>
                      </c:pt>
                      <c:pt idx="22">
                        <c:v>2.1778584392014518E-2</c:v>
                      </c:pt>
                      <c:pt idx="23">
                        <c:v>1.8148820326678765E-3</c:v>
                      </c:pt>
                      <c:pt idx="24">
                        <c:v>1.8148820326678767E-2</c:v>
                      </c:pt>
                      <c:pt idx="25">
                        <c:v>1.8148820326678765E-3</c:v>
                      </c:pt>
                      <c:pt idx="26">
                        <c:v>3.4482758620689655E-2</c:v>
                      </c:pt>
                      <c:pt idx="27">
                        <c:v>5.4446460980036296E-3</c:v>
                      </c:pt>
                      <c:pt idx="28">
                        <c:v>1.6333938294010888E-2</c:v>
                      </c:pt>
                      <c:pt idx="29">
                        <c:v>5.4446460980036296E-3</c:v>
                      </c:pt>
                      <c:pt idx="30">
                        <c:v>9.0744101633393835E-3</c:v>
                      </c:pt>
                      <c:pt idx="31">
                        <c:v>7.2595281306715061E-3</c:v>
                      </c:pt>
                      <c:pt idx="32">
                        <c:v>4.1742286751361164E-2</c:v>
                      </c:pt>
                      <c:pt idx="33">
                        <c:v>2.9038112522686024E-2</c:v>
                      </c:pt>
                      <c:pt idx="34">
                        <c:v>9.8003629764065334E-2</c:v>
                      </c:pt>
                      <c:pt idx="35">
                        <c:v>6.1705989110707807E-2</c:v>
                      </c:pt>
                      <c:pt idx="36">
                        <c:v>0.1397459165154265</c:v>
                      </c:pt>
                      <c:pt idx="37">
                        <c:v>5.8076225045372049E-2</c:v>
                      </c:pt>
                      <c:pt idx="38">
                        <c:v>7.6225045372050812E-2</c:v>
                      </c:pt>
                      <c:pt idx="39">
                        <c:v>1.8148820326678767E-2</c:v>
                      </c:pt>
                      <c:pt idx="40">
                        <c:v>5.4446460980036297E-2</c:v>
                      </c:pt>
                      <c:pt idx="41">
                        <c:v>7.2595281306715061E-3</c:v>
                      </c:pt>
                      <c:pt idx="42">
                        <c:v>3.8112522686025406E-2</c:v>
                      </c:pt>
                      <c:pt idx="43">
                        <c:v>5.4446460980036296E-3</c:v>
                      </c:pt>
                      <c:pt idx="44">
                        <c:v>2.1778584392014518E-2</c:v>
                      </c:pt>
                      <c:pt idx="45">
                        <c:v>1.8148820326678765E-3</c:v>
                      </c:pt>
                      <c:pt idx="46">
                        <c:v>1.4519056261343012E-2</c:v>
                      </c:pt>
                      <c:pt idx="47">
                        <c:v>7.2595281306715061E-3</c:v>
                      </c:pt>
                    </c:numCache>
                  </c:numRef>
                </c:val>
                <c:extLst xmlns:c15="http://schemas.microsoft.com/office/drawing/2012/chart">
                  <c:ext xmlns:c16="http://schemas.microsoft.com/office/drawing/2014/chart" uri="{C3380CC4-5D6E-409C-BE32-E72D297353CC}">
                    <c16:uniqueId val="{00000003-303F-4E13-8E12-52C34288E41C}"/>
                  </c:ext>
                </c:extLst>
              </c15:ser>
            </c15:filteredBarSeries>
          </c:ext>
        </c:extLst>
      </c:barChart>
      <c:catAx>
        <c:axId val="5047007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2C307E"/>
                </a:solidFill>
                <a:latin typeface="+mn-lt"/>
                <a:ea typeface="+mn-ea"/>
                <a:cs typeface="+mn-cs"/>
              </a:defRPr>
            </a:pPr>
            <a:endParaRPr lang="nl-NL"/>
          </a:p>
        </c:txPr>
        <c:crossAx val="504699672"/>
        <c:crosses val="autoZero"/>
        <c:auto val="1"/>
        <c:lblAlgn val="ctr"/>
        <c:lblOffset val="100"/>
        <c:noMultiLvlLbl val="0"/>
      </c:catAx>
      <c:valAx>
        <c:axId val="504699672"/>
        <c:scaling>
          <c:orientation val="minMax"/>
          <c:max val="0.16000000000000003"/>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2C307E"/>
                </a:solidFill>
                <a:latin typeface="+mn-lt"/>
                <a:ea typeface="+mn-ea"/>
                <a:cs typeface="+mn-cs"/>
              </a:defRPr>
            </a:pPr>
            <a:endParaRPr lang="nl-NL"/>
          </a:p>
        </c:txPr>
        <c:crossAx val="504700752"/>
        <c:crosses val="autoZero"/>
        <c:crossBetween val="between"/>
        <c:majorUnit val="4.0000000000000008E-2"/>
      </c:valAx>
      <c:spPr>
        <a:noFill/>
        <a:ln>
          <a:noFill/>
        </a:ln>
      </c:spPr>
    </c:plotArea>
    <c:legend>
      <c:legendPos val="b"/>
      <c:layout>
        <c:manualLayout>
          <c:xMode val="edge"/>
          <c:yMode val="edge"/>
          <c:x val="0.24257246203832061"/>
          <c:y val="0.86769801559987281"/>
          <c:w val="0.5280838737622795"/>
          <c:h val="0.13230198440012716"/>
        </c:manualLayout>
      </c:layout>
      <c:overlay val="0"/>
      <c:spPr>
        <a:noFill/>
        <a:ln>
          <a:noFill/>
        </a:ln>
        <a:effectLst/>
      </c:spPr>
      <c:txPr>
        <a:bodyPr rot="0" spcFirstLastPara="1" vertOverflow="ellipsis" vert="horz" wrap="square" anchor="ctr" anchorCtr="1"/>
        <a:lstStyle/>
        <a:p>
          <a:pPr>
            <a:defRPr sz="900" b="0" i="0" u="none" strike="noStrike" kern="1200" baseline="0">
              <a:solidFill>
                <a:srgbClr val="2C307E"/>
              </a:solidFill>
              <a:latin typeface="+mn-lt"/>
              <a:ea typeface="+mn-ea"/>
              <a:cs typeface="+mn-cs"/>
            </a:defRPr>
          </a:pPr>
          <a:endParaRPr lang="nl-NL"/>
        </a:p>
      </c:txPr>
    </c:legend>
    <c:plotVisOnly val="1"/>
    <c:dispBlanksAs val="gap"/>
    <c:showDLblsOverMax val="0"/>
    <c:extLst/>
  </c:chart>
  <c:spPr>
    <a:noFill/>
    <a:ln>
      <a:noFill/>
    </a:ln>
  </c:spPr>
  <c:txPr>
    <a:bodyPr/>
    <a:lstStyle/>
    <a:p>
      <a:pPr>
        <a:defRPr/>
      </a:pPr>
      <a:endParaRPr lang="nl-NL"/>
    </a:p>
  </c:tx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rgbClr val="2C307E"/>
                </a:solidFill>
                <a:latin typeface="+mn-lt"/>
                <a:ea typeface="+mn-ea"/>
                <a:cs typeface="+mn-cs"/>
              </a:defRPr>
            </a:pPr>
            <a:r>
              <a:rPr lang="nl-NL" sz="1100">
                <a:solidFill>
                  <a:srgbClr val="2C307E"/>
                </a:solidFill>
              </a:rPr>
              <a:t>Thuislader starten met laden </a:t>
            </a:r>
            <a:r>
              <a:rPr lang="nl-NL" sz="1100" b="0" i="0" u="none" strike="noStrike" kern="1200" spc="0" baseline="0">
                <a:solidFill>
                  <a:srgbClr val="2C307E"/>
                </a:solidFill>
              </a:rPr>
              <a:t>[N=1.103]</a:t>
            </a:r>
            <a:endParaRPr lang="nl-NL" sz="1100">
              <a:solidFill>
                <a:srgbClr val="2C307E"/>
              </a:solidFill>
            </a:endParaRPr>
          </a:p>
        </c:rich>
      </c:tx>
      <c:overlay val="0"/>
      <c:spPr>
        <a:noFill/>
        <a:ln>
          <a:noFill/>
        </a:ln>
        <a:effectLst/>
      </c:spPr>
    </c:title>
    <c:autoTitleDeleted val="0"/>
    <c:plotArea>
      <c:layout>
        <c:manualLayout>
          <c:layoutTarget val="inner"/>
          <c:xMode val="edge"/>
          <c:yMode val="edge"/>
          <c:x val="6.7043380878382478E-2"/>
          <c:y val="0.1680125441003528"/>
          <c:w val="0.90175971663960963"/>
          <c:h val="0.47559672445883505"/>
        </c:manualLayout>
      </c:layout>
      <c:barChart>
        <c:barDir val="col"/>
        <c:grouping val="clustered"/>
        <c:varyColors val="0"/>
        <c:ser>
          <c:idx val="0"/>
          <c:order val="0"/>
          <c:tx>
            <c:v>Starten met laden 2025</c:v>
          </c:tx>
          <c:spPr>
            <a:solidFill>
              <a:srgbClr val="2C307E"/>
            </a:solidFill>
            <a:ln>
              <a:noFill/>
            </a:ln>
            <a:effectLst/>
          </c:spPr>
          <c:invertIfNegative val="0"/>
          <c:cat>
            <c:strRef>
              <c:f>'3.3 laadgedrag algemeen'!$C$359:$AX$359</c:f>
              <c:strCache>
                <c:ptCount val="48"/>
                <c:pt idx="0">
                  <c:v>00:00</c:v>
                </c:pt>
                <c:pt idx="1">
                  <c:v>0:30</c:v>
                </c:pt>
                <c:pt idx="2">
                  <c:v>1:00</c:v>
                </c:pt>
                <c:pt idx="3">
                  <c:v>1:30</c:v>
                </c:pt>
                <c:pt idx="4">
                  <c:v>2:00</c:v>
                </c:pt>
                <c:pt idx="5">
                  <c:v>2:30</c:v>
                </c:pt>
                <c:pt idx="6">
                  <c:v>3:00</c:v>
                </c:pt>
                <c:pt idx="7">
                  <c:v>3:30</c:v>
                </c:pt>
                <c:pt idx="8">
                  <c:v>4:00</c:v>
                </c:pt>
                <c:pt idx="9">
                  <c:v>4:30</c:v>
                </c:pt>
                <c:pt idx="10">
                  <c:v>5:00</c:v>
                </c:pt>
                <c:pt idx="11">
                  <c:v>5:30</c:v>
                </c:pt>
                <c:pt idx="12">
                  <c:v>6:00</c:v>
                </c:pt>
                <c:pt idx="13">
                  <c:v>6:30</c:v>
                </c:pt>
                <c:pt idx="14">
                  <c:v>7:00</c:v>
                </c:pt>
                <c:pt idx="15">
                  <c:v>7:30</c:v>
                </c:pt>
                <c:pt idx="16">
                  <c:v>8:00</c:v>
                </c:pt>
                <c:pt idx="17">
                  <c:v>8:30</c:v>
                </c:pt>
                <c:pt idx="18">
                  <c:v>9:00</c:v>
                </c:pt>
                <c:pt idx="19">
                  <c:v>9:30</c:v>
                </c:pt>
                <c:pt idx="20">
                  <c:v>10:00</c:v>
                </c:pt>
                <c:pt idx="21">
                  <c:v>10:30</c:v>
                </c:pt>
                <c:pt idx="22">
                  <c:v>11:00</c:v>
                </c:pt>
                <c:pt idx="23">
                  <c:v>11:30</c:v>
                </c:pt>
                <c:pt idx="24">
                  <c:v>12:00</c:v>
                </c:pt>
                <c:pt idx="25">
                  <c:v>12:30</c:v>
                </c:pt>
                <c:pt idx="26">
                  <c:v>13:00</c:v>
                </c:pt>
                <c:pt idx="27">
                  <c:v>13:30</c:v>
                </c:pt>
                <c:pt idx="28">
                  <c:v>14:00</c:v>
                </c:pt>
                <c:pt idx="29">
                  <c:v>14:30</c:v>
                </c:pt>
                <c:pt idx="30">
                  <c:v>15:00</c:v>
                </c:pt>
                <c:pt idx="31">
                  <c:v>15:30</c:v>
                </c:pt>
                <c:pt idx="32">
                  <c:v>16:00</c:v>
                </c:pt>
                <c:pt idx="33">
                  <c:v>16:30</c:v>
                </c:pt>
                <c:pt idx="34">
                  <c:v>17:00</c:v>
                </c:pt>
                <c:pt idx="35">
                  <c:v>17:30</c:v>
                </c:pt>
                <c:pt idx="36">
                  <c:v>18:00</c:v>
                </c:pt>
                <c:pt idx="37">
                  <c:v>18:30</c:v>
                </c:pt>
                <c:pt idx="38">
                  <c:v>19:00</c:v>
                </c:pt>
                <c:pt idx="39">
                  <c:v>19:30</c:v>
                </c:pt>
                <c:pt idx="40">
                  <c:v>20:00</c:v>
                </c:pt>
                <c:pt idx="41">
                  <c:v>20:30</c:v>
                </c:pt>
                <c:pt idx="42">
                  <c:v>21:00</c:v>
                </c:pt>
                <c:pt idx="43">
                  <c:v>21:30</c:v>
                </c:pt>
                <c:pt idx="44">
                  <c:v>22:00</c:v>
                </c:pt>
                <c:pt idx="45">
                  <c:v>22:30</c:v>
                </c:pt>
                <c:pt idx="46">
                  <c:v>23:00</c:v>
                </c:pt>
                <c:pt idx="47">
                  <c:v>23:30</c:v>
                </c:pt>
              </c:strCache>
            </c:strRef>
          </c:cat>
          <c:val>
            <c:numRef>
              <c:f>'3.3 laadgedrag algemeen'!$C$303:$AX$303</c:f>
              <c:numCache>
                <c:formatCode>0%</c:formatCode>
                <c:ptCount val="48"/>
                <c:pt idx="0">
                  <c:v>2.5483304042179262E-2</c:v>
                </c:pt>
                <c:pt idx="1">
                  <c:v>7.0298769771528994E-3</c:v>
                </c:pt>
                <c:pt idx="2">
                  <c:v>1.7574692442882251E-2</c:v>
                </c:pt>
                <c:pt idx="3">
                  <c:v>2.6362038664323375E-3</c:v>
                </c:pt>
                <c:pt idx="4">
                  <c:v>9.6660808435852369E-3</c:v>
                </c:pt>
                <c:pt idx="5">
                  <c:v>8.7873462214411243E-4</c:v>
                </c:pt>
                <c:pt idx="6">
                  <c:v>6.1511423550087872E-3</c:v>
                </c:pt>
                <c:pt idx="7">
                  <c:v>0</c:v>
                </c:pt>
                <c:pt idx="8">
                  <c:v>8.7873462214411243E-4</c:v>
                </c:pt>
                <c:pt idx="9">
                  <c:v>0</c:v>
                </c:pt>
                <c:pt idx="10">
                  <c:v>0</c:v>
                </c:pt>
                <c:pt idx="11">
                  <c:v>0</c:v>
                </c:pt>
                <c:pt idx="12">
                  <c:v>0</c:v>
                </c:pt>
                <c:pt idx="13">
                  <c:v>2.6362038664323375E-3</c:v>
                </c:pt>
                <c:pt idx="14">
                  <c:v>1.054481546572935E-2</c:v>
                </c:pt>
                <c:pt idx="15">
                  <c:v>1.054481546572935E-2</c:v>
                </c:pt>
                <c:pt idx="16">
                  <c:v>2.7240773286467488E-2</c:v>
                </c:pt>
                <c:pt idx="17">
                  <c:v>2.5483304042179262E-2</c:v>
                </c:pt>
                <c:pt idx="18">
                  <c:v>5.5360281195079089E-2</c:v>
                </c:pt>
                <c:pt idx="19">
                  <c:v>1.4938488576449912E-2</c:v>
                </c:pt>
                <c:pt idx="20">
                  <c:v>0.11159929701230228</c:v>
                </c:pt>
                <c:pt idx="21">
                  <c:v>1.5817223198594025E-2</c:v>
                </c:pt>
                <c:pt idx="22">
                  <c:v>9.8418277680140595E-2</c:v>
                </c:pt>
                <c:pt idx="23">
                  <c:v>1.3181019332161687E-2</c:v>
                </c:pt>
                <c:pt idx="24">
                  <c:v>7.2934973637961337E-2</c:v>
                </c:pt>
                <c:pt idx="25">
                  <c:v>1.7574692442882251E-2</c:v>
                </c:pt>
                <c:pt idx="26">
                  <c:v>6.8541300527240778E-2</c:v>
                </c:pt>
                <c:pt idx="27">
                  <c:v>7.0298769771528994E-3</c:v>
                </c:pt>
                <c:pt idx="28">
                  <c:v>2.1968365553602813E-2</c:v>
                </c:pt>
                <c:pt idx="29">
                  <c:v>8.7873462214411243E-4</c:v>
                </c:pt>
                <c:pt idx="30">
                  <c:v>8.7873462214411256E-3</c:v>
                </c:pt>
                <c:pt idx="31">
                  <c:v>2.6362038664323375E-3</c:v>
                </c:pt>
                <c:pt idx="32">
                  <c:v>1.9332161687170474E-2</c:v>
                </c:pt>
                <c:pt idx="33">
                  <c:v>1.1423550087873463E-2</c:v>
                </c:pt>
                <c:pt idx="34">
                  <c:v>2.6362038664323375E-2</c:v>
                </c:pt>
                <c:pt idx="35">
                  <c:v>1.7574692442882251E-2</c:v>
                </c:pt>
                <c:pt idx="36">
                  <c:v>4.21792618629174E-2</c:v>
                </c:pt>
                <c:pt idx="37">
                  <c:v>1.5817223198594025E-2</c:v>
                </c:pt>
                <c:pt idx="38">
                  <c:v>3.2513181019332163E-2</c:v>
                </c:pt>
                <c:pt idx="39">
                  <c:v>7.0298769771528994E-3</c:v>
                </c:pt>
                <c:pt idx="40">
                  <c:v>1.9332161687170474E-2</c:v>
                </c:pt>
                <c:pt idx="41">
                  <c:v>1.7574692442882249E-3</c:v>
                </c:pt>
                <c:pt idx="42">
                  <c:v>3.8664323374340948E-2</c:v>
                </c:pt>
                <c:pt idx="43">
                  <c:v>7.0298769771528994E-3</c:v>
                </c:pt>
                <c:pt idx="44">
                  <c:v>3.3391915641476276E-2</c:v>
                </c:pt>
                <c:pt idx="45">
                  <c:v>7.0298769771528994E-3</c:v>
                </c:pt>
                <c:pt idx="46">
                  <c:v>6.1511423550087874E-2</c:v>
                </c:pt>
                <c:pt idx="47">
                  <c:v>2.6362038664323375E-3</c:v>
                </c:pt>
              </c:numCache>
            </c:numRef>
          </c:val>
          <c:extLst>
            <c:ext xmlns:c16="http://schemas.microsoft.com/office/drawing/2014/chart" uri="{C3380CC4-5D6E-409C-BE32-E72D297353CC}">
              <c16:uniqueId val="{00000000-55CF-49AA-B0AD-46430C2F042F}"/>
            </c:ext>
          </c:extLst>
        </c:ser>
        <c:ser>
          <c:idx val="2"/>
          <c:order val="2"/>
          <c:tx>
            <c:v>Starten met laden 2024</c:v>
          </c:tx>
          <c:spPr>
            <a:solidFill>
              <a:srgbClr val="08B466"/>
            </a:solidFill>
          </c:spPr>
          <c:invertIfNegative val="0"/>
          <c:val>
            <c:numRef>
              <c:f>'3.3 laadgedrag algemeen'!$C$337:$AX$337</c:f>
              <c:numCache>
                <c:formatCode>0%</c:formatCode>
                <c:ptCount val="48"/>
                <c:pt idx="0">
                  <c:v>3.1974921630094043E-2</c:v>
                </c:pt>
                <c:pt idx="1">
                  <c:v>3.761755485893417E-3</c:v>
                </c:pt>
                <c:pt idx="2">
                  <c:v>3.4482758620689655E-2</c:v>
                </c:pt>
                <c:pt idx="3">
                  <c:v>3.761755485893417E-3</c:v>
                </c:pt>
                <c:pt idx="4">
                  <c:v>3.1347962382445138E-2</c:v>
                </c:pt>
                <c:pt idx="5">
                  <c:v>1.8808777429467085E-3</c:v>
                </c:pt>
                <c:pt idx="6">
                  <c:v>7.5235109717868339E-3</c:v>
                </c:pt>
                <c:pt idx="7">
                  <c:v>1.2539184952978057E-3</c:v>
                </c:pt>
                <c:pt idx="8">
                  <c:v>1.2539184952978057E-3</c:v>
                </c:pt>
                <c:pt idx="9">
                  <c:v>0</c:v>
                </c:pt>
                <c:pt idx="10">
                  <c:v>6.2695924764890286E-4</c:v>
                </c:pt>
                <c:pt idx="11">
                  <c:v>6.2695924764890286E-4</c:v>
                </c:pt>
                <c:pt idx="12">
                  <c:v>6.2695924764890286E-4</c:v>
                </c:pt>
                <c:pt idx="13">
                  <c:v>6.2695924764890286E-4</c:v>
                </c:pt>
                <c:pt idx="14">
                  <c:v>5.642633228840125E-3</c:v>
                </c:pt>
                <c:pt idx="15">
                  <c:v>1.8808777429467085E-3</c:v>
                </c:pt>
                <c:pt idx="16">
                  <c:v>1.5673981191222569E-2</c:v>
                </c:pt>
                <c:pt idx="17">
                  <c:v>8.1504702194357369E-3</c:v>
                </c:pt>
                <c:pt idx="18">
                  <c:v>2.3197492163009405E-2</c:v>
                </c:pt>
                <c:pt idx="19">
                  <c:v>1.2539184952978056E-2</c:v>
                </c:pt>
                <c:pt idx="20">
                  <c:v>7.2100313479623826E-2</c:v>
                </c:pt>
                <c:pt idx="21">
                  <c:v>1.0658307210031349E-2</c:v>
                </c:pt>
                <c:pt idx="22">
                  <c:v>5.2037617554858931E-2</c:v>
                </c:pt>
                <c:pt idx="23">
                  <c:v>7.5235109717868339E-3</c:v>
                </c:pt>
                <c:pt idx="24">
                  <c:v>5.329153605015674E-2</c:v>
                </c:pt>
                <c:pt idx="25">
                  <c:v>7.5235109717868339E-3</c:v>
                </c:pt>
                <c:pt idx="26">
                  <c:v>4.4514106583072102E-2</c:v>
                </c:pt>
                <c:pt idx="27">
                  <c:v>3.761755485893417E-3</c:v>
                </c:pt>
                <c:pt idx="28">
                  <c:v>2.0689655172413793E-2</c:v>
                </c:pt>
                <c:pt idx="29">
                  <c:v>3.761755485893417E-3</c:v>
                </c:pt>
                <c:pt idx="30">
                  <c:v>1.6927899686520375E-2</c:v>
                </c:pt>
                <c:pt idx="31">
                  <c:v>5.0156739811912229E-3</c:v>
                </c:pt>
                <c:pt idx="32">
                  <c:v>3.0094043887147336E-2</c:v>
                </c:pt>
                <c:pt idx="33">
                  <c:v>1.0031347962382446E-2</c:v>
                </c:pt>
                <c:pt idx="34">
                  <c:v>5.0156739811912224E-2</c:v>
                </c:pt>
                <c:pt idx="35">
                  <c:v>3.0094043887147336E-2</c:v>
                </c:pt>
                <c:pt idx="36">
                  <c:v>6.9592476489028207E-2</c:v>
                </c:pt>
                <c:pt idx="37">
                  <c:v>2.0062695924764892E-2</c:v>
                </c:pt>
                <c:pt idx="38">
                  <c:v>4.0752351097178681E-2</c:v>
                </c:pt>
                <c:pt idx="39">
                  <c:v>5.0156739811912229E-3</c:v>
                </c:pt>
                <c:pt idx="40">
                  <c:v>3.0721003134796237E-2</c:v>
                </c:pt>
                <c:pt idx="41">
                  <c:v>3.134796238244514E-3</c:v>
                </c:pt>
                <c:pt idx="42">
                  <c:v>5.1410658307210033E-2</c:v>
                </c:pt>
                <c:pt idx="43">
                  <c:v>2.5078369905956114E-3</c:v>
                </c:pt>
                <c:pt idx="44">
                  <c:v>2.5705329153605017E-2</c:v>
                </c:pt>
                <c:pt idx="45">
                  <c:v>1.0031347962382446E-2</c:v>
                </c:pt>
                <c:pt idx="46">
                  <c:v>0.12351097178683386</c:v>
                </c:pt>
                <c:pt idx="47">
                  <c:v>1.2539184952978056E-2</c:v>
                </c:pt>
              </c:numCache>
            </c:numRef>
          </c:val>
          <c:extLst>
            <c:ext xmlns:c16="http://schemas.microsoft.com/office/drawing/2014/chart" uri="{C3380CC4-5D6E-409C-BE32-E72D297353CC}">
              <c16:uniqueId val="{00000001-55CF-49AA-B0AD-46430C2F042F}"/>
            </c:ext>
          </c:extLst>
        </c:ser>
        <c:dLbls>
          <c:showLegendKey val="0"/>
          <c:showVal val="0"/>
          <c:showCatName val="0"/>
          <c:showSerName val="0"/>
          <c:showPercent val="0"/>
          <c:showBubbleSize val="0"/>
        </c:dLbls>
        <c:gapWidth val="219"/>
        <c:overlap val="-27"/>
        <c:axId val="504700752"/>
        <c:axId val="504699672"/>
        <c:extLst>
          <c:ext xmlns:c15="http://schemas.microsoft.com/office/drawing/2012/chart" uri="{02D57815-91ED-43cb-92C2-25804820EDAC}">
            <c15:filteredBarSeries>
              <c15:ser>
                <c:idx val="1"/>
                <c:order val="1"/>
                <c:tx>
                  <c:v>Stoppen met laden 2025</c:v>
                </c:tx>
                <c:spPr>
                  <a:solidFill>
                    <a:srgbClr val="08B466"/>
                  </a:solidFill>
                  <a:ln>
                    <a:noFill/>
                  </a:ln>
                  <a:effectLst/>
                </c:spPr>
                <c:invertIfNegative val="0"/>
                <c:cat>
                  <c:strRef>
                    <c:extLst>
                      <c:ext uri="{02D57815-91ED-43cb-92C2-25804820EDAC}">
                        <c15:formulaRef>
                          <c15:sqref>'3.3 laadgedrag algemeen'!$C$359:$AX$359</c15:sqref>
                        </c15:formulaRef>
                      </c:ext>
                    </c:extLst>
                    <c:strCache>
                      <c:ptCount val="48"/>
                      <c:pt idx="0">
                        <c:v>00:00</c:v>
                      </c:pt>
                      <c:pt idx="1">
                        <c:v>0:30</c:v>
                      </c:pt>
                      <c:pt idx="2">
                        <c:v>1:00</c:v>
                      </c:pt>
                      <c:pt idx="3">
                        <c:v>1:30</c:v>
                      </c:pt>
                      <c:pt idx="4">
                        <c:v>2:00</c:v>
                      </c:pt>
                      <c:pt idx="5">
                        <c:v>2:30</c:v>
                      </c:pt>
                      <c:pt idx="6">
                        <c:v>3:00</c:v>
                      </c:pt>
                      <c:pt idx="7">
                        <c:v>3:30</c:v>
                      </c:pt>
                      <c:pt idx="8">
                        <c:v>4:00</c:v>
                      </c:pt>
                      <c:pt idx="9">
                        <c:v>4:30</c:v>
                      </c:pt>
                      <c:pt idx="10">
                        <c:v>5:00</c:v>
                      </c:pt>
                      <c:pt idx="11">
                        <c:v>5:30</c:v>
                      </c:pt>
                      <c:pt idx="12">
                        <c:v>6:00</c:v>
                      </c:pt>
                      <c:pt idx="13">
                        <c:v>6:30</c:v>
                      </c:pt>
                      <c:pt idx="14">
                        <c:v>7:00</c:v>
                      </c:pt>
                      <c:pt idx="15">
                        <c:v>7:30</c:v>
                      </c:pt>
                      <c:pt idx="16">
                        <c:v>8:00</c:v>
                      </c:pt>
                      <c:pt idx="17">
                        <c:v>8:30</c:v>
                      </c:pt>
                      <c:pt idx="18">
                        <c:v>9:00</c:v>
                      </c:pt>
                      <c:pt idx="19">
                        <c:v>9:30</c:v>
                      </c:pt>
                      <c:pt idx="20">
                        <c:v>10:00</c:v>
                      </c:pt>
                      <c:pt idx="21">
                        <c:v>10:30</c:v>
                      </c:pt>
                      <c:pt idx="22">
                        <c:v>11:00</c:v>
                      </c:pt>
                      <c:pt idx="23">
                        <c:v>11:30</c:v>
                      </c:pt>
                      <c:pt idx="24">
                        <c:v>12:00</c:v>
                      </c:pt>
                      <c:pt idx="25">
                        <c:v>12:30</c:v>
                      </c:pt>
                      <c:pt idx="26">
                        <c:v>13:00</c:v>
                      </c:pt>
                      <c:pt idx="27">
                        <c:v>13:30</c:v>
                      </c:pt>
                      <c:pt idx="28">
                        <c:v>14:00</c:v>
                      </c:pt>
                      <c:pt idx="29">
                        <c:v>14:30</c:v>
                      </c:pt>
                      <c:pt idx="30">
                        <c:v>15:00</c:v>
                      </c:pt>
                      <c:pt idx="31">
                        <c:v>15:30</c:v>
                      </c:pt>
                      <c:pt idx="32">
                        <c:v>16:00</c:v>
                      </c:pt>
                      <c:pt idx="33">
                        <c:v>16:30</c:v>
                      </c:pt>
                      <c:pt idx="34">
                        <c:v>17:00</c:v>
                      </c:pt>
                      <c:pt idx="35">
                        <c:v>17:30</c:v>
                      </c:pt>
                      <c:pt idx="36">
                        <c:v>18:00</c:v>
                      </c:pt>
                      <c:pt idx="37">
                        <c:v>18:30</c:v>
                      </c:pt>
                      <c:pt idx="38">
                        <c:v>19:00</c:v>
                      </c:pt>
                      <c:pt idx="39">
                        <c:v>19:30</c:v>
                      </c:pt>
                      <c:pt idx="40">
                        <c:v>20:00</c:v>
                      </c:pt>
                      <c:pt idx="41">
                        <c:v>20:30</c:v>
                      </c:pt>
                      <c:pt idx="42">
                        <c:v>21:00</c:v>
                      </c:pt>
                      <c:pt idx="43">
                        <c:v>21:30</c:v>
                      </c:pt>
                      <c:pt idx="44">
                        <c:v>22:00</c:v>
                      </c:pt>
                      <c:pt idx="45">
                        <c:v>22:30</c:v>
                      </c:pt>
                      <c:pt idx="46">
                        <c:v>23:00</c:v>
                      </c:pt>
                      <c:pt idx="47">
                        <c:v>23:30</c:v>
                      </c:pt>
                    </c:strCache>
                  </c:strRef>
                </c:cat>
                <c:val>
                  <c:numRef>
                    <c:extLst>
                      <c:ext uri="{02D57815-91ED-43cb-92C2-25804820EDAC}">
                        <c15:formulaRef>
                          <c15:sqref>'3.3 laadgedrag algemeen'!$C$304:$AX$304</c15:sqref>
                        </c15:formulaRef>
                      </c:ext>
                    </c:extLst>
                    <c:numCache>
                      <c:formatCode>0%</c:formatCode>
                      <c:ptCount val="48"/>
                      <c:pt idx="0">
                        <c:v>3.6264732547597461E-3</c:v>
                      </c:pt>
                      <c:pt idx="1">
                        <c:v>0</c:v>
                      </c:pt>
                      <c:pt idx="2">
                        <c:v>0</c:v>
                      </c:pt>
                      <c:pt idx="3">
                        <c:v>0</c:v>
                      </c:pt>
                      <c:pt idx="4">
                        <c:v>0</c:v>
                      </c:pt>
                      <c:pt idx="5">
                        <c:v>0</c:v>
                      </c:pt>
                      <c:pt idx="6">
                        <c:v>1.8132366273798731E-3</c:v>
                      </c:pt>
                      <c:pt idx="7">
                        <c:v>0</c:v>
                      </c:pt>
                      <c:pt idx="8">
                        <c:v>3.6264732547597461E-3</c:v>
                      </c:pt>
                      <c:pt idx="9">
                        <c:v>3.6264732547597461E-3</c:v>
                      </c:pt>
                      <c:pt idx="10">
                        <c:v>8.1595648232094288E-3</c:v>
                      </c:pt>
                      <c:pt idx="11">
                        <c:v>4.5330915684496827E-3</c:v>
                      </c:pt>
                      <c:pt idx="12">
                        <c:v>4.8957388939256573E-2</c:v>
                      </c:pt>
                      <c:pt idx="13">
                        <c:v>4.1704442429737081E-2</c:v>
                      </c:pt>
                      <c:pt idx="14">
                        <c:v>0.10698096101541252</c:v>
                      </c:pt>
                      <c:pt idx="15">
                        <c:v>5.8023572076155938E-2</c:v>
                      </c:pt>
                      <c:pt idx="16">
                        <c:v>9.7008159564823213E-2</c:v>
                      </c:pt>
                      <c:pt idx="17">
                        <c:v>2.7198549410698096E-2</c:v>
                      </c:pt>
                      <c:pt idx="18">
                        <c:v>2.9918404351767906E-2</c:v>
                      </c:pt>
                      <c:pt idx="19">
                        <c:v>5.4397098821396192E-3</c:v>
                      </c:pt>
                      <c:pt idx="20">
                        <c:v>1.5412511332728921E-2</c:v>
                      </c:pt>
                      <c:pt idx="21">
                        <c:v>0</c:v>
                      </c:pt>
                      <c:pt idx="22">
                        <c:v>8.1595648232094288E-3</c:v>
                      </c:pt>
                      <c:pt idx="23">
                        <c:v>3.6264732547597461E-3</c:v>
                      </c:pt>
                      <c:pt idx="24">
                        <c:v>9.0661831368993653E-3</c:v>
                      </c:pt>
                      <c:pt idx="25">
                        <c:v>3.6264732547597461E-3</c:v>
                      </c:pt>
                      <c:pt idx="26">
                        <c:v>9.9728014505893019E-3</c:v>
                      </c:pt>
                      <c:pt idx="27">
                        <c:v>9.0661831368993653E-4</c:v>
                      </c:pt>
                      <c:pt idx="28">
                        <c:v>1.5412511332728921E-2</c:v>
                      </c:pt>
                      <c:pt idx="29">
                        <c:v>7.2529465095194923E-3</c:v>
                      </c:pt>
                      <c:pt idx="30">
                        <c:v>4.1704442429737081E-2</c:v>
                      </c:pt>
                      <c:pt idx="31">
                        <c:v>2.085222121486854E-2</c:v>
                      </c:pt>
                      <c:pt idx="32">
                        <c:v>0.15231187669990934</c:v>
                      </c:pt>
                      <c:pt idx="33">
                        <c:v>3.0825022665457842E-2</c:v>
                      </c:pt>
                      <c:pt idx="34">
                        <c:v>0.1115140525838622</c:v>
                      </c:pt>
                      <c:pt idx="35">
                        <c:v>9.0661831368993653E-3</c:v>
                      </c:pt>
                      <c:pt idx="36">
                        <c:v>4.4424297370806894E-2</c:v>
                      </c:pt>
                      <c:pt idx="37">
                        <c:v>7.2529465095194923E-3</c:v>
                      </c:pt>
                      <c:pt idx="38">
                        <c:v>2.357207615593835E-2</c:v>
                      </c:pt>
                      <c:pt idx="39">
                        <c:v>9.0661831368993653E-4</c:v>
                      </c:pt>
                      <c:pt idx="40">
                        <c:v>9.0661831368993653E-3</c:v>
                      </c:pt>
                      <c:pt idx="41">
                        <c:v>9.0661831368993653E-4</c:v>
                      </c:pt>
                      <c:pt idx="42">
                        <c:v>1.0879419764279238E-2</c:v>
                      </c:pt>
                      <c:pt idx="43">
                        <c:v>3.6264732547597461E-3</c:v>
                      </c:pt>
                      <c:pt idx="44">
                        <c:v>7.2529465095194923E-3</c:v>
                      </c:pt>
                      <c:pt idx="45">
                        <c:v>0</c:v>
                      </c:pt>
                      <c:pt idx="46">
                        <c:v>7.2529465095194923E-3</c:v>
                      </c:pt>
                      <c:pt idx="47">
                        <c:v>4.5330915684496827E-3</c:v>
                      </c:pt>
                    </c:numCache>
                  </c:numRef>
                </c:val>
                <c:extLst>
                  <c:ext xmlns:c16="http://schemas.microsoft.com/office/drawing/2014/chart" uri="{C3380CC4-5D6E-409C-BE32-E72D297353CC}">
                    <c16:uniqueId val="{00000002-55CF-49AA-B0AD-46430C2F042F}"/>
                  </c:ext>
                </c:extLst>
              </c15:ser>
            </c15:filteredBarSeries>
            <c15:filteredBarSeries>
              <c15:ser>
                <c:idx val="3"/>
                <c:order val="3"/>
                <c:tx>
                  <c:v>Stoppen met laden 2024</c:v>
                </c:tx>
                <c:spPr>
                  <a:solidFill>
                    <a:srgbClr val="C9C743"/>
                  </a:solidFill>
                </c:spPr>
                <c:invertIfNegative val="0"/>
                <c:val>
                  <c:numRef>
                    <c:extLst xmlns:c15="http://schemas.microsoft.com/office/drawing/2012/chart">
                      <c:ext xmlns:c15="http://schemas.microsoft.com/office/drawing/2012/chart" uri="{02D57815-91ED-43cb-92C2-25804820EDAC}">
                        <c15:formulaRef>
                          <c15:sqref>'3.3 laadgedrag algemeen'!$C$351:$AX$351</c15:sqref>
                        </c15:formulaRef>
                      </c:ext>
                    </c:extLst>
                    <c:numCache>
                      <c:formatCode>0%</c:formatCode>
                      <c:ptCount val="48"/>
                      <c:pt idx="0">
                        <c:v>3.2446463335496431E-3</c:v>
                      </c:pt>
                      <c:pt idx="1">
                        <c:v>0</c:v>
                      </c:pt>
                      <c:pt idx="2">
                        <c:v>0</c:v>
                      </c:pt>
                      <c:pt idx="3">
                        <c:v>6.4892926670992858E-4</c:v>
                      </c:pt>
                      <c:pt idx="4">
                        <c:v>1.2978585334198572E-3</c:v>
                      </c:pt>
                      <c:pt idx="5">
                        <c:v>6.4892926670992858E-4</c:v>
                      </c:pt>
                      <c:pt idx="6">
                        <c:v>1.9467878001297859E-3</c:v>
                      </c:pt>
                      <c:pt idx="7">
                        <c:v>1.9467878001297859E-3</c:v>
                      </c:pt>
                      <c:pt idx="8">
                        <c:v>6.4892926670992858E-4</c:v>
                      </c:pt>
                      <c:pt idx="9">
                        <c:v>1.9467878001297859E-3</c:v>
                      </c:pt>
                      <c:pt idx="10">
                        <c:v>9.7339390006489293E-3</c:v>
                      </c:pt>
                      <c:pt idx="11">
                        <c:v>6.4892926670992862E-3</c:v>
                      </c:pt>
                      <c:pt idx="12">
                        <c:v>5.191434133679429E-2</c:v>
                      </c:pt>
                      <c:pt idx="13">
                        <c:v>4.1531473069435429E-2</c:v>
                      </c:pt>
                      <c:pt idx="14">
                        <c:v>0.16223231667748214</c:v>
                      </c:pt>
                      <c:pt idx="15">
                        <c:v>0.10188189487345879</c:v>
                      </c:pt>
                      <c:pt idx="16">
                        <c:v>0.15704088254380272</c:v>
                      </c:pt>
                      <c:pt idx="17">
                        <c:v>3.17975340687865E-2</c:v>
                      </c:pt>
                      <c:pt idx="18">
                        <c:v>4.4776119402985072E-2</c:v>
                      </c:pt>
                      <c:pt idx="19">
                        <c:v>3.8935756002595719E-3</c:v>
                      </c:pt>
                      <c:pt idx="20">
                        <c:v>1.8818948734587931E-2</c:v>
                      </c:pt>
                      <c:pt idx="21">
                        <c:v>1.2978585334198572E-3</c:v>
                      </c:pt>
                      <c:pt idx="22">
                        <c:v>3.2446463335496431E-3</c:v>
                      </c:pt>
                      <c:pt idx="23">
                        <c:v>6.4892926670992858E-4</c:v>
                      </c:pt>
                      <c:pt idx="24">
                        <c:v>6.4892926670992862E-3</c:v>
                      </c:pt>
                      <c:pt idx="25">
                        <c:v>1.9467878001297859E-3</c:v>
                      </c:pt>
                      <c:pt idx="26">
                        <c:v>4.5425048669695007E-3</c:v>
                      </c:pt>
                      <c:pt idx="27">
                        <c:v>1.9467878001297859E-3</c:v>
                      </c:pt>
                      <c:pt idx="28">
                        <c:v>1.8170019467878003E-2</c:v>
                      </c:pt>
                      <c:pt idx="29">
                        <c:v>3.2446463335496431E-3</c:v>
                      </c:pt>
                      <c:pt idx="30">
                        <c:v>2.7903958468526932E-2</c:v>
                      </c:pt>
                      <c:pt idx="31">
                        <c:v>1.1680726800778715E-2</c:v>
                      </c:pt>
                      <c:pt idx="32">
                        <c:v>6.8137573004542498E-2</c:v>
                      </c:pt>
                      <c:pt idx="33">
                        <c:v>1.6223231667748216E-2</c:v>
                      </c:pt>
                      <c:pt idx="34">
                        <c:v>7.0733290071382224E-2</c:v>
                      </c:pt>
                      <c:pt idx="35">
                        <c:v>7.138221933809215E-3</c:v>
                      </c:pt>
                      <c:pt idx="36">
                        <c:v>2.5308241401687217E-2</c:v>
                      </c:pt>
                      <c:pt idx="37">
                        <c:v>5.8403634003893574E-3</c:v>
                      </c:pt>
                      <c:pt idx="38">
                        <c:v>1.4925373134328358E-2</c:v>
                      </c:pt>
                      <c:pt idx="39">
                        <c:v>5.1914341336794286E-3</c:v>
                      </c:pt>
                      <c:pt idx="40">
                        <c:v>1.8818948734587931E-2</c:v>
                      </c:pt>
                      <c:pt idx="41">
                        <c:v>3.8935756002595719E-3</c:v>
                      </c:pt>
                      <c:pt idx="42">
                        <c:v>8.4360804672290717E-3</c:v>
                      </c:pt>
                      <c:pt idx="43">
                        <c:v>2.5957170668397143E-3</c:v>
                      </c:pt>
                      <c:pt idx="44">
                        <c:v>9.7339390006489293E-3</c:v>
                      </c:pt>
                      <c:pt idx="45">
                        <c:v>3.2446463335496431E-3</c:v>
                      </c:pt>
                      <c:pt idx="46">
                        <c:v>1.0382868267358857E-2</c:v>
                      </c:pt>
                      <c:pt idx="47">
                        <c:v>5.8403634003893574E-3</c:v>
                      </c:pt>
                    </c:numCache>
                  </c:numRef>
                </c:val>
                <c:extLst xmlns:c15="http://schemas.microsoft.com/office/drawing/2012/chart">
                  <c:ext xmlns:c16="http://schemas.microsoft.com/office/drawing/2014/chart" uri="{C3380CC4-5D6E-409C-BE32-E72D297353CC}">
                    <c16:uniqueId val="{00000003-55CF-49AA-B0AD-46430C2F042F}"/>
                  </c:ext>
                </c:extLst>
              </c15:ser>
            </c15:filteredBarSeries>
          </c:ext>
        </c:extLst>
      </c:barChart>
      <c:catAx>
        <c:axId val="5047007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2C307E"/>
                </a:solidFill>
                <a:latin typeface="+mn-lt"/>
                <a:ea typeface="+mn-ea"/>
                <a:cs typeface="+mn-cs"/>
              </a:defRPr>
            </a:pPr>
            <a:endParaRPr lang="nl-NL"/>
          </a:p>
        </c:txPr>
        <c:crossAx val="504699672"/>
        <c:crosses val="autoZero"/>
        <c:auto val="1"/>
        <c:lblAlgn val="ctr"/>
        <c:lblOffset val="100"/>
        <c:noMultiLvlLbl val="0"/>
      </c:catAx>
      <c:valAx>
        <c:axId val="504699672"/>
        <c:scaling>
          <c:orientation val="minMax"/>
          <c:max val="0.16000000000000003"/>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2C307E"/>
                </a:solidFill>
                <a:latin typeface="+mn-lt"/>
                <a:ea typeface="+mn-ea"/>
                <a:cs typeface="+mn-cs"/>
              </a:defRPr>
            </a:pPr>
            <a:endParaRPr lang="nl-NL"/>
          </a:p>
        </c:txPr>
        <c:crossAx val="504700752"/>
        <c:crosses val="autoZero"/>
        <c:crossBetween val="between"/>
        <c:majorUnit val="4.0000000000000008E-2"/>
      </c:valAx>
      <c:spPr>
        <a:noFill/>
        <a:ln>
          <a:noFill/>
        </a:ln>
      </c:spPr>
    </c:plotArea>
    <c:legend>
      <c:legendPos val="b"/>
      <c:layout>
        <c:manualLayout>
          <c:xMode val="edge"/>
          <c:yMode val="edge"/>
          <c:x val="0.24803045429685125"/>
          <c:y val="0.86769801559987281"/>
          <c:w val="0.50834923473595572"/>
          <c:h val="0.13230198440012716"/>
        </c:manualLayout>
      </c:layout>
      <c:overlay val="0"/>
      <c:spPr>
        <a:noFill/>
        <a:ln>
          <a:noFill/>
        </a:ln>
        <a:effectLst/>
      </c:spPr>
      <c:txPr>
        <a:bodyPr rot="0" spcFirstLastPara="1" vertOverflow="ellipsis" vert="horz" wrap="square" anchor="ctr" anchorCtr="1"/>
        <a:lstStyle/>
        <a:p>
          <a:pPr>
            <a:defRPr sz="900" b="0" i="0" u="none" strike="noStrike" kern="1200" baseline="0">
              <a:solidFill>
                <a:srgbClr val="2C307E"/>
              </a:solidFill>
              <a:latin typeface="+mn-lt"/>
              <a:ea typeface="+mn-ea"/>
              <a:cs typeface="+mn-cs"/>
            </a:defRPr>
          </a:pPr>
          <a:endParaRPr lang="nl-NL"/>
        </a:p>
      </c:txPr>
    </c:legend>
    <c:plotVisOnly val="1"/>
    <c:dispBlanksAs val="gap"/>
    <c:showDLblsOverMax val="0"/>
    <c:extLst/>
  </c:chart>
  <c:spPr>
    <a:noFill/>
    <a:ln>
      <a:noFill/>
    </a:ln>
  </c:spPr>
  <c:txPr>
    <a:bodyPr/>
    <a:lstStyle/>
    <a:p>
      <a:pPr>
        <a:defRPr/>
      </a:pPr>
      <a:endParaRPr lang="nl-NL"/>
    </a:p>
  </c:tx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nl-NL" sz="1100" b="0" i="0" u="none" strike="noStrike" kern="1200" spc="0" baseline="0">
                <a:solidFill>
                  <a:srgbClr val="2C307E"/>
                </a:solidFill>
              </a:rPr>
              <a:t>Ga je weleens met je elektrische auto naar het buitenland? </a:t>
            </a:r>
            <a:endParaRPr lang="nl-NL" sz="1100"/>
          </a:p>
        </c:rich>
      </c:tx>
      <c:overlay val="0"/>
    </c:title>
    <c:autoTitleDeleted val="0"/>
    <c:plotArea>
      <c:layout/>
      <c:barChart>
        <c:barDir val="col"/>
        <c:grouping val="clustered"/>
        <c:varyColors val="0"/>
        <c:ser>
          <c:idx val="0"/>
          <c:order val="0"/>
          <c:spPr>
            <a:solidFill>
              <a:srgbClr val="C9C743"/>
            </a:solidFill>
            <a:ln>
              <a:noFill/>
            </a:ln>
            <a:effectLst/>
          </c:spPr>
          <c:invertIfNegative val="0"/>
          <c:dLbls>
            <c:spPr>
              <a:noFill/>
              <a:ln>
                <a:noFill/>
              </a:ln>
              <a:effectLst/>
            </c:spPr>
            <c:txPr>
              <a:bodyPr wrap="square" lIns="38100" tIns="19050" rIns="38100" bIns="19050" anchor="ctr" anchorCtr="0">
                <a:spAutoFit/>
              </a:bodyPr>
              <a:lstStyle/>
              <a:p>
                <a:pPr algn="ctr">
                  <a:defRPr lang="en-US" sz="800" b="1" i="0" u="none" strike="noStrike" kern="1200" baseline="0">
                    <a:solidFill>
                      <a:srgbClr val="4EAFAA"/>
                    </a:solidFill>
                    <a:latin typeface="+mn-lt"/>
                    <a:ea typeface="+mn-ea"/>
                    <a:cs typeface="+mn-cs"/>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'3.3 laadgedrag algemeen'!$D$398:$G$398</c:f>
              <c:numCache>
                <c:formatCode>General</c:formatCode>
                <c:ptCount val="4"/>
                <c:pt idx="0">
                  <c:v>2022</c:v>
                </c:pt>
                <c:pt idx="1">
                  <c:v>2023</c:v>
                </c:pt>
                <c:pt idx="2">
                  <c:v>2024</c:v>
                </c:pt>
                <c:pt idx="3">
                  <c:v>2025</c:v>
                </c:pt>
              </c:numCache>
            </c:numRef>
          </c:cat>
          <c:val>
            <c:numRef>
              <c:f>'3.3 laadgedrag algemeen'!$D$399:$G$399</c:f>
              <c:numCache>
                <c:formatCode>0%</c:formatCode>
                <c:ptCount val="4"/>
                <c:pt idx="0">
                  <c:v>0.63332035811599841</c:v>
                </c:pt>
                <c:pt idx="1">
                  <c:v>0.64</c:v>
                </c:pt>
                <c:pt idx="2">
                  <c:v>0.69</c:v>
                </c:pt>
                <c:pt idx="3">
                  <c:v>0.78</c:v>
                </c:pt>
              </c:numCache>
            </c:numRef>
          </c:val>
          <c:extLst>
            <c:ext xmlns:c16="http://schemas.microsoft.com/office/drawing/2014/chart" uri="{C3380CC4-5D6E-409C-BE32-E72D297353CC}">
              <c16:uniqueId val="{00000000-22CA-4DE1-8A24-D92F322649DD}"/>
            </c:ext>
          </c:extLst>
        </c:ser>
        <c:dLbls>
          <c:showLegendKey val="0"/>
          <c:showVal val="0"/>
          <c:showCatName val="0"/>
          <c:showSerName val="0"/>
          <c:showPercent val="0"/>
          <c:showBubbleSize val="0"/>
        </c:dLbls>
        <c:gapWidth val="219"/>
        <c:overlap val="-27"/>
        <c:axId val="656388416"/>
        <c:axId val="656385896"/>
      </c:barChart>
      <c:catAx>
        <c:axId val="6563884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2C307E"/>
                </a:solidFill>
                <a:latin typeface="+mn-lt"/>
                <a:ea typeface="+mn-ea"/>
                <a:cs typeface="+mn-cs"/>
              </a:defRPr>
            </a:pPr>
            <a:endParaRPr lang="nl-NL"/>
          </a:p>
        </c:txPr>
        <c:crossAx val="656385896"/>
        <c:crosses val="autoZero"/>
        <c:auto val="1"/>
        <c:lblAlgn val="ctr"/>
        <c:lblOffset val="100"/>
        <c:noMultiLvlLbl val="0"/>
      </c:catAx>
      <c:valAx>
        <c:axId val="656385896"/>
        <c:scaling>
          <c:orientation val="minMax"/>
          <c:max val="1"/>
        </c:scaling>
        <c:delete val="0"/>
        <c:axPos val="l"/>
        <c:majorGridlines>
          <c:spPr>
            <a:ln w="9525" cap="flat" cmpd="sng" algn="ctr">
              <a:solidFill>
                <a:srgbClr val="D9D9D9"/>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2C307E"/>
                </a:solidFill>
                <a:latin typeface="+mn-lt"/>
                <a:ea typeface="+mn-ea"/>
                <a:cs typeface="+mn-cs"/>
              </a:defRPr>
            </a:pPr>
            <a:endParaRPr lang="nl-NL"/>
          </a:p>
        </c:txPr>
        <c:crossAx val="656388416"/>
        <c:crosses val="autoZero"/>
        <c:crossBetween val="between"/>
      </c:valAx>
    </c:plotArea>
    <c:plotVisOnly val="1"/>
    <c:dispBlanksAs val="gap"/>
    <c:showDLblsOverMax val="0"/>
    <c:extLst/>
  </c:chart>
  <c:spPr>
    <a:noFill/>
    <a:ln>
      <a:noFill/>
    </a:ln>
  </c:spPr>
  <c:txPr>
    <a:bodyPr/>
    <a:lstStyle/>
    <a:p>
      <a:pPr>
        <a:defRPr/>
      </a:pPr>
      <a:endParaRPr lang="nl-NL"/>
    </a:p>
  </c:txPr>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nl-NL" sz="1100" b="0" i="0" u="none" strike="noStrike" kern="1200" spc="0" baseline="0">
                <a:solidFill>
                  <a:srgbClr val="2C307E"/>
                </a:solidFill>
              </a:rPr>
              <a:t>Ga je weleens met je elektrische auto op vakantie? </a:t>
            </a:r>
            <a:endParaRPr lang="nl-NL" sz="1100"/>
          </a:p>
        </c:rich>
      </c:tx>
      <c:overlay val="0"/>
    </c:title>
    <c:autoTitleDeleted val="0"/>
    <c:plotArea>
      <c:layout>
        <c:manualLayout>
          <c:layoutTarget val="inner"/>
          <c:xMode val="edge"/>
          <c:yMode val="edge"/>
          <c:x val="0.27869647570954637"/>
          <c:y val="0.1843419888137339"/>
          <c:w val="0.4374966579679691"/>
          <c:h val="0.31355801604490952"/>
        </c:manualLayout>
      </c:layout>
      <c:pieChart>
        <c:varyColors val="1"/>
        <c:ser>
          <c:idx val="0"/>
          <c:order val="0"/>
          <c:spPr>
            <a:solidFill>
              <a:srgbClr val="08B466"/>
            </a:solidFill>
            <a:ln>
              <a:noFill/>
            </a:ln>
          </c:spPr>
          <c:dPt>
            <c:idx val="0"/>
            <c:bubble3D val="0"/>
            <c:spPr>
              <a:solidFill>
                <a:srgbClr val="2C307E"/>
              </a:solidFill>
              <a:ln w="19050">
                <a:noFill/>
              </a:ln>
              <a:effectLst/>
            </c:spPr>
            <c:extLst>
              <c:ext xmlns:c16="http://schemas.microsoft.com/office/drawing/2014/chart" uri="{C3380CC4-5D6E-409C-BE32-E72D297353CC}">
                <c16:uniqueId val="{00000001-D661-45F1-84C9-EAAE4B66F2B6}"/>
              </c:ext>
            </c:extLst>
          </c:dPt>
          <c:dPt>
            <c:idx val="1"/>
            <c:bubble3D val="0"/>
            <c:spPr>
              <a:solidFill>
                <a:srgbClr val="08B466"/>
              </a:solidFill>
              <a:ln w="19050">
                <a:noFill/>
              </a:ln>
              <a:effectLst/>
            </c:spPr>
            <c:extLst>
              <c:ext xmlns:c16="http://schemas.microsoft.com/office/drawing/2014/chart" uri="{C3380CC4-5D6E-409C-BE32-E72D297353CC}">
                <c16:uniqueId val="{00000003-D661-45F1-84C9-EAAE4B66F2B6}"/>
              </c:ext>
            </c:extLst>
          </c:dPt>
          <c:dPt>
            <c:idx val="2"/>
            <c:bubble3D val="0"/>
            <c:spPr>
              <a:solidFill>
                <a:srgbClr val="C9C743"/>
              </a:solidFill>
              <a:ln>
                <a:noFill/>
              </a:ln>
            </c:spPr>
            <c:extLst>
              <c:ext xmlns:c16="http://schemas.microsoft.com/office/drawing/2014/chart" uri="{C3380CC4-5D6E-409C-BE32-E72D297353CC}">
                <c16:uniqueId val="{00000005-D661-45F1-84C9-EAAE4B66F2B6}"/>
              </c:ext>
            </c:extLst>
          </c:dPt>
          <c:dPt>
            <c:idx val="3"/>
            <c:bubble3D val="0"/>
            <c:spPr>
              <a:solidFill>
                <a:srgbClr val="BAD6ED"/>
              </a:solidFill>
              <a:ln>
                <a:noFill/>
              </a:ln>
            </c:spPr>
            <c:extLst>
              <c:ext xmlns:c16="http://schemas.microsoft.com/office/drawing/2014/chart" uri="{C3380CC4-5D6E-409C-BE32-E72D297353CC}">
                <c16:uniqueId val="{00000007-D661-45F1-84C9-EAAE4B66F2B6}"/>
              </c:ext>
            </c:extLst>
          </c:dPt>
          <c:dPt>
            <c:idx val="4"/>
            <c:bubble3D val="0"/>
            <c:spPr>
              <a:solidFill>
                <a:srgbClr val="4EAFAA"/>
              </a:solidFill>
              <a:ln>
                <a:noFill/>
              </a:ln>
            </c:spPr>
            <c:extLst>
              <c:ext xmlns:c16="http://schemas.microsoft.com/office/drawing/2014/chart" uri="{C3380CC4-5D6E-409C-BE32-E72D297353CC}">
                <c16:uniqueId val="{00000009-D661-45F1-84C9-EAAE4B66F2B6}"/>
              </c:ext>
            </c:extLst>
          </c:dPt>
          <c:dPt>
            <c:idx val="5"/>
            <c:bubble3D val="0"/>
            <c:spPr>
              <a:solidFill>
                <a:srgbClr val="696969"/>
              </a:solidFill>
              <a:ln>
                <a:noFill/>
              </a:ln>
            </c:spPr>
            <c:extLst>
              <c:ext xmlns:c16="http://schemas.microsoft.com/office/drawing/2014/chart" uri="{C3380CC4-5D6E-409C-BE32-E72D297353CC}">
                <c16:uniqueId val="{0000000B-D661-45F1-84C9-EAAE4B66F2B6}"/>
              </c:ext>
            </c:extLst>
          </c:dPt>
          <c:dLbls>
            <c:dLbl>
              <c:idx val="0"/>
              <c:spPr>
                <a:noFill/>
                <a:ln>
                  <a:noFill/>
                </a:ln>
                <a:effectLst/>
              </c:spPr>
              <c:txPr>
                <a:bodyPr/>
                <a:lstStyle/>
                <a:p>
                  <a:pPr>
                    <a:defRPr sz="800" b="1">
                      <a:solidFill>
                        <a:schemeClr val="bg1"/>
                      </a:solidFill>
                    </a:defRPr>
                  </a:pPr>
                  <a:endParaRPr lang="nl-NL"/>
                </a:p>
              </c:txPr>
              <c:showLegendKey val="0"/>
              <c:showVal val="1"/>
              <c:showCatName val="0"/>
              <c:showSerName val="0"/>
              <c:showPercent val="0"/>
              <c:showBubbleSize val="0"/>
              <c:extLst>
                <c:ext xmlns:c16="http://schemas.microsoft.com/office/drawing/2014/chart" uri="{C3380CC4-5D6E-409C-BE32-E72D297353CC}">
                  <c16:uniqueId val="{00000001-D661-45F1-84C9-EAAE4B66F2B6}"/>
                </c:ext>
              </c:extLst>
            </c:dLbl>
            <c:dLbl>
              <c:idx val="1"/>
              <c:spPr>
                <a:noFill/>
                <a:ln>
                  <a:noFill/>
                </a:ln>
                <a:effectLst/>
              </c:spPr>
              <c:txPr>
                <a:bodyPr/>
                <a:lstStyle/>
                <a:p>
                  <a:pPr>
                    <a:defRPr sz="800" b="1">
                      <a:solidFill>
                        <a:schemeClr val="bg1"/>
                      </a:solidFill>
                    </a:defRPr>
                  </a:pPr>
                  <a:endParaRPr lang="nl-NL"/>
                </a:p>
              </c:txPr>
              <c:showLegendKey val="0"/>
              <c:showVal val="1"/>
              <c:showCatName val="0"/>
              <c:showSerName val="0"/>
              <c:showPercent val="0"/>
              <c:showBubbleSize val="0"/>
              <c:extLst>
                <c:ext xmlns:c16="http://schemas.microsoft.com/office/drawing/2014/chart" uri="{C3380CC4-5D6E-409C-BE32-E72D297353CC}">
                  <c16:uniqueId val="{00000003-D661-45F1-84C9-EAAE4B66F2B6}"/>
                </c:ext>
              </c:extLst>
            </c:dLbl>
            <c:dLbl>
              <c:idx val="4"/>
              <c:layout>
                <c:manualLayout>
                  <c:x val="1.0752870381876584E-2"/>
                  <c:y val="1.274312041873249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D661-45F1-84C9-EAAE4B66F2B6}"/>
                </c:ext>
              </c:extLst>
            </c:dLbl>
            <c:dLbl>
              <c:idx val="5"/>
              <c:layout>
                <c:manualLayout>
                  <c:x val="2.2356029025783541E-2"/>
                  <c:y val="-1.363835307014802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D661-45F1-84C9-EAAE4B66F2B6}"/>
                </c:ext>
              </c:extLst>
            </c:dLbl>
            <c:spPr>
              <a:noFill/>
              <a:ln>
                <a:noFill/>
              </a:ln>
              <a:effectLst/>
            </c:spPr>
            <c:txPr>
              <a:bodyPr/>
              <a:lstStyle/>
              <a:p>
                <a:pPr>
                  <a:defRPr sz="800" b="1">
                    <a:solidFill>
                      <a:srgbClr val="002060"/>
                    </a:solidFill>
                  </a:defRPr>
                </a:pPr>
                <a:endParaRPr lang="nl-NL"/>
              </a:p>
            </c:txPr>
            <c:showLegendKey val="0"/>
            <c:showVal val="1"/>
            <c:showCatName val="0"/>
            <c:showSerName val="0"/>
            <c:showPercent val="0"/>
            <c:showBubbleSize val="0"/>
            <c:showLeaderLines val="1"/>
            <c:extLst>
              <c:ext xmlns:c15="http://schemas.microsoft.com/office/drawing/2012/chart" uri="{CE6537A1-D6FC-4f65-9D91-7224C49458BB}"/>
            </c:extLst>
          </c:dLbls>
          <c:cat>
            <c:strRef>
              <c:f>'3.3 laadgedrag algemeen'!$C$388:$C$393</c:f>
              <c:strCache>
                <c:ptCount val="6"/>
                <c:pt idx="0">
                  <c:v>Ja</c:v>
                </c:pt>
                <c:pt idx="1">
                  <c:v>Nee, ik ga met een brandstofauto</c:v>
                </c:pt>
                <c:pt idx="2">
                  <c:v>Nee, ik ga nooit naar het buitenland</c:v>
                </c:pt>
                <c:pt idx="3">
                  <c:v>Nee, ik heb de mogelijkheid nog niet gehad om met mijn elektrische auto naar het buitenland te gaan  </c:v>
                </c:pt>
                <c:pt idx="4">
                  <c:v>Nee, ik ga niet met een auto naar het buitenland</c:v>
                </c:pt>
                <c:pt idx="5">
                  <c:v>Nee, andere reden</c:v>
                </c:pt>
              </c:strCache>
            </c:strRef>
          </c:cat>
          <c:val>
            <c:numRef>
              <c:f>'3.3 laadgedrag algemeen'!$G$388:$G$393</c:f>
              <c:numCache>
                <c:formatCode>0%</c:formatCode>
                <c:ptCount val="6"/>
                <c:pt idx="0">
                  <c:v>0.77987109568666335</c:v>
                </c:pt>
                <c:pt idx="1">
                  <c:v>7.8829945463559745E-2</c:v>
                </c:pt>
                <c:pt idx="2">
                  <c:v>2.4789291026276649E-2</c:v>
                </c:pt>
                <c:pt idx="3">
                  <c:v>7.1888943976202282E-2</c:v>
                </c:pt>
                <c:pt idx="4">
                  <c:v>3.2226078334159643E-2</c:v>
                </c:pt>
                <c:pt idx="5">
                  <c:v>1.2394645513138325E-2</c:v>
                </c:pt>
              </c:numCache>
            </c:numRef>
          </c:val>
          <c:extLst>
            <c:ext xmlns:c16="http://schemas.microsoft.com/office/drawing/2014/chart" uri="{C3380CC4-5D6E-409C-BE32-E72D297353CC}">
              <c16:uniqueId val="{0000000C-D661-45F1-84C9-EAAE4B66F2B6}"/>
            </c:ext>
          </c:extLst>
        </c:ser>
        <c:dLbls>
          <c:showLegendKey val="0"/>
          <c:showVal val="0"/>
          <c:showCatName val="0"/>
          <c:showSerName val="0"/>
          <c:showPercent val="0"/>
          <c:showBubbleSize val="0"/>
          <c:showLeaderLines val="1"/>
        </c:dLbls>
        <c:firstSliceAng val="0"/>
      </c:pieChart>
      <c:spPr>
        <a:noFill/>
        <a:ln>
          <a:noFill/>
        </a:ln>
      </c:spPr>
    </c:plotArea>
    <c:legend>
      <c:legendPos val="b"/>
      <c:legendEntry>
        <c:idx val="3"/>
        <c:txPr>
          <a:bodyPr rot="0" vert="horz"/>
          <a:lstStyle/>
          <a:p>
            <a:pPr>
              <a:defRPr sz="900">
                <a:solidFill>
                  <a:srgbClr val="002060"/>
                </a:solidFill>
              </a:defRPr>
            </a:pPr>
            <a:endParaRPr lang="nl-NL"/>
          </a:p>
        </c:txPr>
      </c:legendEntry>
      <c:layout>
        <c:manualLayout>
          <c:xMode val="edge"/>
          <c:yMode val="edge"/>
          <c:x val="2.9942347593925223E-2"/>
          <c:y val="0.5388499767355488"/>
          <c:w val="0.97005765240607478"/>
          <c:h val="0.46002670234342746"/>
        </c:manualLayout>
      </c:layout>
      <c:overlay val="0"/>
      <c:spPr>
        <a:noFill/>
        <a:ln>
          <a:noFill/>
        </a:ln>
        <a:effectLst/>
      </c:spPr>
      <c:txPr>
        <a:bodyPr rot="0" vert="horz"/>
        <a:lstStyle/>
        <a:p>
          <a:pPr>
            <a:defRPr>
              <a:solidFill>
                <a:srgbClr val="002060"/>
              </a:solidFill>
            </a:defRPr>
          </a:pPr>
          <a:endParaRPr lang="nl-NL"/>
        </a:p>
      </c:txPr>
    </c:legend>
    <c:plotVisOnly val="1"/>
    <c:dispBlanksAs val="gap"/>
    <c:showDLblsOverMax val="0"/>
    <c:extLst/>
  </c:chart>
  <c:spPr>
    <a:noFill/>
    <a:ln>
      <a:noFill/>
    </a:ln>
  </c:spPr>
  <c:txPr>
    <a:bodyPr/>
    <a:lstStyle/>
    <a:p>
      <a:pPr>
        <a:defRPr/>
      </a:pPr>
      <a:endParaRPr lang="nl-NL"/>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b="0">
                <a:solidFill>
                  <a:srgbClr val="2C307E"/>
                </a:solidFill>
              </a:defRPr>
            </a:pPr>
            <a:r>
              <a:rPr lang="nl-NL" sz="1100" b="0">
                <a:solidFill>
                  <a:srgbClr val="2C307E"/>
                </a:solidFill>
              </a:rPr>
              <a:t>Geografische spreiding</a:t>
            </a:r>
          </a:p>
        </c:rich>
      </c:tx>
      <c:overlay val="0"/>
    </c:title>
    <c:autoTitleDeleted val="0"/>
    <c:plotArea>
      <c:layout/>
      <c:barChart>
        <c:barDir val="bar"/>
        <c:grouping val="clustered"/>
        <c:varyColors val="0"/>
        <c:ser>
          <c:idx val="1"/>
          <c:order val="0"/>
          <c:tx>
            <c:strRef>
              <c:f>provincie!$E$1</c:f>
              <c:strCache>
                <c:ptCount val="1"/>
                <c:pt idx="0">
                  <c:v>Laadonderzoek</c:v>
                </c:pt>
              </c:strCache>
            </c:strRef>
          </c:tx>
          <c:spPr>
            <a:solidFill>
              <a:srgbClr val="08B466"/>
            </a:solidFill>
          </c:spPr>
          <c:invertIfNegative val="0"/>
          <c:dLbls>
            <c:dLbl>
              <c:idx val="0"/>
              <c:layout>
                <c:manualLayout>
                  <c:x val="-9.5648015303682454E-3"/>
                  <c:y val="1.460120459937944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CBFA-4D27-98DA-FF1B55CB5DC5}"/>
                </c:ext>
              </c:extLst>
            </c:dLbl>
            <c:dLbl>
              <c:idx val="1"/>
              <c:layout>
                <c:manualLayout>
                  <c:x val="0"/>
                  <c:y val="1.825150574922417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CBFA-4D27-98DA-FF1B55CB5DC5}"/>
                </c:ext>
              </c:extLst>
            </c:dLbl>
            <c:dLbl>
              <c:idx val="2"/>
              <c:layout>
                <c:manualLayout>
                  <c:x val="0"/>
                  <c:y val="7.300602299689724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CBFA-4D27-98DA-FF1B55CB5DC5}"/>
                </c:ext>
              </c:extLst>
            </c:dLbl>
            <c:dLbl>
              <c:idx val="3"/>
              <c:layout>
                <c:manualLayout>
                  <c:x val="-1.9129603060736491E-2"/>
                  <c:y val="3.650301149844862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CBFA-4D27-98DA-FF1B55CB5DC5}"/>
                </c:ext>
              </c:extLst>
            </c:dLbl>
            <c:dLbl>
              <c:idx val="4"/>
              <c:layout>
                <c:manualLayout>
                  <c:x val="-4.7824007651841227E-3"/>
                  <c:y val="1.0950903449534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CBFA-4D27-98DA-FF1B55CB5DC5}"/>
                </c:ext>
              </c:extLst>
            </c:dLbl>
            <c:dLbl>
              <c:idx val="5"/>
              <c:layout>
                <c:manualLayout>
                  <c:x val="-4.7824007651842103E-3"/>
                  <c:y val="7.300602299689657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CBFA-4D27-98DA-FF1B55CB5DC5}"/>
                </c:ext>
              </c:extLst>
            </c:dLbl>
            <c:dLbl>
              <c:idx val="6"/>
              <c:layout>
                <c:manualLayout>
                  <c:x val="-4.7824007651842103E-3"/>
                  <c:y val="7.300602299689657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CBFA-4D27-98DA-FF1B55CB5DC5}"/>
                </c:ext>
              </c:extLst>
            </c:dLbl>
            <c:dLbl>
              <c:idx val="7"/>
              <c:layout>
                <c:manualLayout>
                  <c:x val="-9.5648015303682454E-3"/>
                  <c:y val="3.650301149844862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CBFA-4D27-98DA-FF1B55CB5DC5}"/>
                </c:ext>
              </c:extLst>
            </c:dLbl>
            <c:dLbl>
              <c:idx val="8"/>
              <c:layout>
                <c:manualLayout>
                  <c:x val="-4.7824007651841227E-3"/>
                  <c:y val="1.0950903449534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BFA-4D27-98DA-FF1B55CB5DC5}"/>
                </c:ext>
              </c:extLst>
            </c:dLbl>
            <c:dLbl>
              <c:idx val="9"/>
              <c:layout>
                <c:manualLayout>
                  <c:x val="0"/>
                  <c:y val="7.300602299689724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BFA-4D27-98DA-FF1B55CB5DC5}"/>
                </c:ext>
              </c:extLst>
            </c:dLbl>
            <c:dLbl>
              <c:idx val="10"/>
              <c:layout>
                <c:manualLayout>
                  <c:x val="-4.7824007651842103E-3"/>
                  <c:y val="1.095090344953458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BFA-4D27-98DA-FF1B55CB5DC5}"/>
                </c:ext>
              </c:extLst>
            </c:dLbl>
            <c:dLbl>
              <c:idx val="11"/>
              <c:layout>
                <c:manualLayout>
                  <c:x val="-8.7676334517210861E-17"/>
                  <c:y val="7.300602299689707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BFA-4D27-98DA-FF1B55CB5DC5}"/>
                </c:ext>
              </c:extLst>
            </c:dLbl>
            <c:spPr>
              <a:noFill/>
              <a:ln>
                <a:noFill/>
              </a:ln>
              <a:effectLst/>
            </c:spPr>
            <c:txPr>
              <a:bodyPr wrap="square" lIns="38100" tIns="19050" rIns="38100" bIns="19050" anchor="ctr">
                <a:spAutoFit/>
              </a:bodyPr>
              <a:lstStyle/>
              <a:p>
                <a:pPr>
                  <a:defRPr sz="800">
                    <a:solidFill>
                      <a:srgbClr val="2C307E"/>
                    </a:solidFill>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provincie!$D$2:$D$13</c:f>
              <c:strCache>
                <c:ptCount val="12"/>
                <c:pt idx="0">
                  <c:v>Drenthe</c:v>
                </c:pt>
                <c:pt idx="1">
                  <c:v>Flevoland</c:v>
                </c:pt>
                <c:pt idx="2">
                  <c:v>Friesland</c:v>
                </c:pt>
                <c:pt idx="3">
                  <c:v>Gelderland</c:v>
                </c:pt>
                <c:pt idx="4">
                  <c:v>Groningen</c:v>
                </c:pt>
                <c:pt idx="5">
                  <c:v>Limburg</c:v>
                </c:pt>
                <c:pt idx="6">
                  <c:v>Noord-Brabant</c:v>
                </c:pt>
                <c:pt idx="7">
                  <c:v>Noord-Holland</c:v>
                </c:pt>
                <c:pt idx="8">
                  <c:v>Overijssel</c:v>
                </c:pt>
                <c:pt idx="9">
                  <c:v>Utrecht</c:v>
                </c:pt>
                <c:pt idx="10">
                  <c:v>Zeeland</c:v>
                </c:pt>
                <c:pt idx="11">
                  <c:v>Zuid-Holland</c:v>
                </c:pt>
              </c:strCache>
            </c:strRef>
          </c:cat>
          <c:val>
            <c:numRef>
              <c:f>provincie!$F$2:$F$13</c:f>
              <c:numCache>
                <c:formatCode>0%</c:formatCode>
                <c:ptCount val="12"/>
                <c:pt idx="0">
                  <c:v>3.2683328755836308E-2</c:v>
                </c:pt>
                <c:pt idx="1">
                  <c:v>3.5979126613567704E-2</c:v>
                </c:pt>
                <c:pt idx="2">
                  <c:v>4.0648173578687177E-2</c:v>
                </c:pt>
                <c:pt idx="3">
                  <c:v>0.13265586377368854</c:v>
                </c:pt>
                <c:pt idx="4">
                  <c:v>3.0211480362537766E-2</c:v>
                </c:pt>
                <c:pt idx="5">
                  <c:v>5.9324361439165064E-2</c:v>
                </c:pt>
                <c:pt idx="6">
                  <c:v>0.15737434770667399</c:v>
                </c:pt>
                <c:pt idx="7">
                  <c:v>0.13210656413073332</c:v>
                </c:pt>
                <c:pt idx="8">
                  <c:v>6.5915957154627849E-2</c:v>
                </c:pt>
                <c:pt idx="9">
                  <c:v>9.6951386981598456E-2</c:v>
                </c:pt>
                <c:pt idx="10">
                  <c:v>2.4718483932985445E-2</c:v>
                </c:pt>
                <c:pt idx="11">
                  <c:v>0.19143092556989838</c:v>
                </c:pt>
              </c:numCache>
            </c:numRef>
          </c:val>
          <c:extLst>
            <c:ext xmlns:c16="http://schemas.microsoft.com/office/drawing/2014/chart" uri="{C3380CC4-5D6E-409C-BE32-E72D297353CC}">
              <c16:uniqueId val="{00000000-6C2B-4F1D-9EF9-489CA11334ED}"/>
            </c:ext>
          </c:extLst>
        </c:ser>
        <c:ser>
          <c:idx val="0"/>
          <c:order val="1"/>
          <c:tx>
            <c:strRef>
              <c:f>provincie!$G$1</c:f>
              <c:strCache>
                <c:ptCount val="1"/>
                <c:pt idx="0">
                  <c:v>Totaal wagenpark</c:v>
                </c:pt>
              </c:strCache>
            </c:strRef>
          </c:tx>
          <c:spPr>
            <a:solidFill>
              <a:srgbClr val="2C307E"/>
            </a:solidFill>
            <a:ln>
              <a:noFill/>
            </a:ln>
            <a:effectLst/>
          </c:spPr>
          <c:invertIfNegative val="0"/>
          <c:dLbls>
            <c:dLbl>
              <c:idx val="3"/>
              <c:layout>
                <c:manualLayout>
                  <c:x val="-9.5648015303682454E-3"/>
                  <c:y val="-1.095090344953458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CBFA-4D27-98DA-FF1B55CB5DC5}"/>
                </c:ext>
              </c:extLst>
            </c:dLbl>
            <c:dLbl>
              <c:idx val="6"/>
              <c:layout>
                <c:manualLayout>
                  <c:x val="-1.9129603060736401E-2"/>
                  <c:y val="-7.30060229968979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CBFA-4D27-98DA-FF1B55CB5DC5}"/>
                </c:ext>
              </c:extLst>
            </c:dLbl>
            <c:dLbl>
              <c:idx val="7"/>
              <c:layout>
                <c:manualLayout>
                  <c:x val="-9.5648015303683321E-3"/>
                  <c:y val="-7.300602299689724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CBFA-4D27-98DA-FF1B55CB5DC5}"/>
                </c:ext>
              </c:extLst>
            </c:dLbl>
            <c:dLbl>
              <c:idx val="9"/>
              <c:layout>
                <c:manualLayout>
                  <c:x val="-9.5648015303682454E-3"/>
                  <c:y val="-3.650301149844895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BFA-4D27-98DA-FF1B55CB5DC5}"/>
                </c:ext>
              </c:extLst>
            </c:dLbl>
            <c:spPr>
              <a:noFill/>
              <a:ln>
                <a:noFill/>
              </a:ln>
              <a:effectLst/>
            </c:spPr>
            <c:txPr>
              <a:bodyPr wrap="square" lIns="38100" tIns="19050" rIns="38100" bIns="19050" anchor="ctr">
                <a:spAutoFit/>
              </a:bodyPr>
              <a:lstStyle/>
              <a:p>
                <a:pPr>
                  <a:defRPr sz="800">
                    <a:solidFill>
                      <a:srgbClr val="2C307E"/>
                    </a:solidFill>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provincie!$D$2:$D$13</c:f>
              <c:strCache>
                <c:ptCount val="12"/>
                <c:pt idx="0">
                  <c:v>Drenthe</c:v>
                </c:pt>
                <c:pt idx="1">
                  <c:v>Flevoland</c:v>
                </c:pt>
                <c:pt idx="2">
                  <c:v>Friesland</c:v>
                </c:pt>
                <c:pt idx="3">
                  <c:v>Gelderland</c:v>
                </c:pt>
                <c:pt idx="4">
                  <c:v>Groningen</c:v>
                </c:pt>
                <c:pt idx="5">
                  <c:v>Limburg</c:v>
                </c:pt>
                <c:pt idx="6">
                  <c:v>Noord-Brabant</c:v>
                </c:pt>
                <c:pt idx="7">
                  <c:v>Noord-Holland</c:v>
                </c:pt>
                <c:pt idx="8">
                  <c:v>Overijssel</c:v>
                </c:pt>
                <c:pt idx="9">
                  <c:v>Utrecht</c:v>
                </c:pt>
                <c:pt idx="10">
                  <c:v>Zeeland</c:v>
                </c:pt>
                <c:pt idx="11">
                  <c:v>Zuid-Holland</c:v>
                </c:pt>
              </c:strCache>
            </c:strRef>
          </c:cat>
          <c:val>
            <c:numRef>
              <c:f>provincie!$H$2:$H$13</c:f>
              <c:numCache>
                <c:formatCode>0%</c:formatCode>
                <c:ptCount val="12"/>
                <c:pt idx="0">
                  <c:v>2.3115779733929146E-2</c:v>
                </c:pt>
                <c:pt idx="1">
                  <c:v>3.0847937224636031E-2</c:v>
                </c:pt>
                <c:pt idx="2">
                  <c:v>2.9474367503420477E-2</c:v>
                </c:pt>
                <c:pt idx="3">
                  <c:v>0.12442999546327495</c:v>
                </c:pt>
                <c:pt idx="4">
                  <c:v>2.0946041662557313E-2</c:v>
                </c:pt>
                <c:pt idx="5">
                  <c:v>4.792072745400066E-2</c:v>
                </c:pt>
                <c:pt idx="6">
                  <c:v>0.16325754790907185</c:v>
                </c:pt>
                <c:pt idx="7">
                  <c:v>0.17166035171274821</c:v>
                </c:pt>
                <c:pt idx="8">
                  <c:v>5.2903952330316618E-2</c:v>
                </c:pt>
                <c:pt idx="9">
                  <c:v>0.10366506416865859</c:v>
                </c:pt>
                <c:pt idx="10">
                  <c:v>1.7915581050475998E-2</c:v>
                </c:pt>
                <c:pt idx="11">
                  <c:v>0.21386265378691019</c:v>
                </c:pt>
              </c:numCache>
            </c:numRef>
          </c:val>
          <c:extLst>
            <c:ext xmlns:c16="http://schemas.microsoft.com/office/drawing/2014/chart" uri="{C3380CC4-5D6E-409C-BE32-E72D297353CC}">
              <c16:uniqueId val="{00000001-6C2B-4F1D-9EF9-489CA11334ED}"/>
            </c:ext>
          </c:extLst>
        </c:ser>
        <c:dLbls>
          <c:showLegendKey val="0"/>
          <c:showVal val="0"/>
          <c:showCatName val="0"/>
          <c:showSerName val="0"/>
          <c:showPercent val="0"/>
          <c:showBubbleSize val="0"/>
        </c:dLbls>
        <c:gapWidth val="219"/>
        <c:axId val="488549280"/>
        <c:axId val="488558136"/>
      </c:barChart>
      <c:catAx>
        <c:axId val="48854928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sz="900" b="0" i="0" u="none" strike="noStrike" kern="1200" baseline="0">
                <a:solidFill>
                  <a:srgbClr val="2C307E"/>
                </a:solidFill>
                <a:latin typeface="+mn-lt"/>
                <a:ea typeface="+mn-ea"/>
                <a:cs typeface="+mn-cs"/>
              </a:defRPr>
            </a:pPr>
            <a:endParaRPr lang="nl-NL"/>
          </a:p>
        </c:txPr>
        <c:crossAx val="488558136"/>
        <c:crosses val="autoZero"/>
        <c:auto val="1"/>
        <c:lblAlgn val="ctr"/>
        <c:lblOffset val="100"/>
        <c:noMultiLvlLbl val="0"/>
      </c:catAx>
      <c:valAx>
        <c:axId val="488558136"/>
        <c:scaling>
          <c:orientation val="minMax"/>
        </c:scaling>
        <c:delete val="0"/>
        <c:axPos val="b"/>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2C307E"/>
                </a:solidFill>
                <a:latin typeface="+mn-lt"/>
                <a:ea typeface="+mn-ea"/>
                <a:cs typeface="+mn-cs"/>
              </a:defRPr>
            </a:pPr>
            <a:endParaRPr lang="nl-NL"/>
          </a:p>
        </c:txPr>
        <c:crossAx val="488549280"/>
        <c:crosses val="autoZero"/>
        <c:crossBetween val="between"/>
      </c:valAx>
      <c:spPr>
        <a:noFill/>
        <a:ln>
          <a:noFill/>
        </a:ln>
      </c:spPr>
    </c:plotArea>
    <c:legend>
      <c:legendPos val="b"/>
      <c:overlay val="0"/>
      <c:txPr>
        <a:bodyPr/>
        <a:lstStyle/>
        <a:p>
          <a:pPr>
            <a:defRPr sz="900">
              <a:solidFill>
                <a:srgbClr val="2C307E"/>
              </a:solidFill>
            </a:defRPr>
          </a:pPr>
          <a:endParaRPr lang="nl-NL"/>
        </a:p>
      </c:txPr>
    </c:legend>
    <c:plotVisOnly val="1"/>
    <c:dispBlanksAs val="gap"/>
    <c:showDLblsOverMax val="0"/>
    <c:extLst/>
  </c:chart>
  <c:spPr>
    <a:noFill/>
    <a:ln w="9525" cap="flat" cmpd="sng" algn="ctr">
      <a:noFill/>
      <a:round/>
    </a:ln>
    <a:effectLst/>
  </c:spPr>
  <c:txPr>
    <a:bodyPr/>
    <a:lstStyle/>
    <a:p>
      <a:pPr>
        <a:defRPr/>
      </a:pPr>
      <a:endParaRPr lang="nl-NL"/>
    </a:p>
  </c:txPr>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lgn="ctr" rtl="0">
              <a:defRPr lang="nl-NL" sz="1100" b="0" i="0" u="none" strike="noStrike" kern="1200" spc="0" baseline="0">
                <a:solidFill>
                  <a:srgbClr val="2C307E"/>
                </a:solidFill>
                <a:latin typeface="+mn-lt"/>
                <a:ea typeface="+mn-ea"/>
                <a:cs typeface="+mn-cs"/>
              </a:defRPr>
            </a:pPr>
            <a:r>
              <a:rPr lang="en-US" sz="1100" b="0" i="0" u="none" strike="noStrike" kern="1200" spc="0" baseline="0">
                <a:solidFill>
                  <a:srgbClr val="2C307E"/>
                </a:solidFill>
                <a:latin typeface="+mn-lt"/>
                <a:ea typeface="+mn-ea"/>
                <a:cs typeface="+mn-cs"/>
              </a:rPr>
              <a:t>Hoe ver gaat je reis met de elektrische auto naar het buitenland?</a:t>
            </a:r>
          </a:p>
        </c:rich>
      </c:tx>
      <c:overlay val="0"/>
    </c:title>
    <c:autoTitleDeleted val="0"/>
    <c:plotArea>
      <c:layout>
        <c:manualLayout>
          <c:layoutTarget val="inner"/>
          <c:xMode val="edge"/>
          <c:yMode val="edge"/>
          <c:x val="0.30075443641217203"/>
          <c:y val="0.24639478685853927"/>
          <c:w val="0.34909175602196479"/>
          <c:h val="0.40111327260563012"/>
        </c:manualLayout>
      </c:layout>
      <c:pieChart>
        <c:varyColors val="1"/>
        <c:ser>
          <c:idx val="0"/>
          <c:order val="0"/>
          <c:spPr>
            <a:solidFill>
              <a:srgbClr val="08B466"/>
            </a:solidFill>
          </c:spPr>
          <c:dPt>
            <c:idx val="0"/>
            <c:bubble3D val="0"/>
            <c:spPr>
              <a:solidFill>
                <a:srgbClr val="2C307E"/>
              </a:solidFill>
              <a:ln w="19050">
                <a:noFill/>
              </a:ln>
              <a:effectLst/>
            </c:spPr>
            <c:extLst>
              <c:ext xmlns:c16="http://schemas.microsoft.com/office/drawing/2014/chart" uri="{C3380CC4-5D6E-409C-BE32-E72D297353CC}">
                <c16:uniqueId val="{00000001-AF88-44D2-81EA-0369DDAC36F8}"/>
              </c:ext>
            </c:extLst>
          </c:dPt>
          <c:dPt>
            <c:idx val="1"/>
            <c:bubble3D val="0"/>
            <c:spPr>
              <a:solidFill>
                <a:srgbClr val="08B466"/>
              </a:solidFill>
              <a:ln w="19050">
                <a:noFill/>
              </a:ln>
              <a:effectLst/>
            </c:spPr>
            <c:extLst>
              <c:ext xmlns:c16="http://schemas.microsoft.com/office/drawing/2014/chart" uri="{C3380CC4-5D6E-409C-BE32-E72D297353CC}">
                <c16:uniqueId val="{00000003-AF88-44D2-81EA-0369DDAC36F8}"/>
              </c:ext>
            </c:extLst>
          </c:dPt>
          <c:dPt>
            <c:idx val="2"/>
            <c:bubble3D val="0"/>
            <c:spPr>
              <a:solidFill>
                <a:srgbClr val="C9C743"/>
              </a:solidFill>
            </c:spPr>
            <c:extLst>
              <c:ext xmlns:c16="http://schemas.microsoft.com/office/drawing/2014/chart" uri="{C3380CC4-5D6E-409C-BE32-E72D297353CC}">
                <c16:uniqueId val="{00000005-AF88-44D2-81EA-0369DDAC36F8}"/>
              </c:ext>
            </c:extLst>
          </c:dPt>
          <c:dPt>
            <c:idx val="3"/>
            <c:bubble3D val="0"/>
            <c:spPr>
              <a:solidFill>
                <a:srgbClr val="BAD6ED"/>
              </a:solidFill>
            </c:spPr>
            <c:extLst>
              <c:ext xmlns:c16="http://schemas.microsoft.com/office/drawing/2014/chart" uri="{C3380CC4-5D6E-409C-BE32-E72D297353CC}">
                <c16:uniqueId val="{00000007-AF88-44D2-81EA-0369DDAC36F8}"/>
              </c:ext>
            </c:extLst>
          </c:dPt>
          <c:dPt>
            <c:idx val="4"/>
            <c:bubble3D val="0"/>
            <c:spPr>
              <a:solidFill>
                <a:srgbClr val="4EAFAA"/>
              </a:solidFill>
            </c:spPr>
            <c:extLst>
              <c:ext xmlns:c16="http://schemas.microsoft.com/office/drawing/2014/chart" uri="{C3380CC4-5D6E-409C-BE32-E72D297353CC}">
                <c16:uniqueId val="{00000009-AF88-44D2-81EA-0369DDAC36F8}"/>
              </c:ext>
            </c:extLst>
          </c:dPt>
          <c:dPt>
            <c:idx val="5"/>
            <c:bubble3D val="0"/>
            <c:spPr>
              <a:solidFill>
                <a:srgbClr val="696969"/>
              </a:solidFill>
            </c:spPr>
            <c:extLst>
              <c:ext xmlns:c16="http://schemas.microsoft.com/office/drawing/2014/chart" uri="{C3380CC4-5D6E-409C-BE32-E72D297353CC}">
                <c16:uniqueId val="{0000000B-AF88-44D2-81EA-0369DDAC36F8}"/>
              </c:ext>
            </c:extLst>
          </c:dPt>
          <c:dLbls>
            <c:dLbl>
              <c:idx val="0"/>
              <c:spPr>
                <a:noFill/>
                <a:ln>
                  <a:noFill/>
                </a:ln>
                <a:effectLst/>
              </c:spPr>
              <c:txPr>
                <a:bodyPr wrap="square" lIns="38100" tIns="19050" rIns="38100" bIns="19050" anchor="ctr">
                  <a:spAutoFit/>
                </a:bodyPr>
                <a:lstStyle/>
                <a:p>
                  <a:pPr>
                    <a:defRPr sz="800" b="1">
                      <a:solidFill>
                        <a:schemeClr val="bg1"/>
                      </a:solidFill>
                    </a:defRPr>
                  </a:pPr>
                  <a:endParaRPr lang="nl-NL"/>
                </a:p>
              </c:txPr>
              <c:showLegendKey val="0"/>
              <c:showVal val="1"/>
              <c:showCatName val="0"/>
              <c:showSerName val="0"/>
              <c:showPercent val="0"/>
              <c:showBubbleSize val="0"/>
              <c:extLst>
                <c:ext xmlns:c16="http://schemas.microsoft.com/office/drawing/2014/chart" uri="{C3380CC4-5D6E-409C-BE32-E72D297353CC}">
                  <c16:uniqueId val="{00000001-AF88-44D2-81EA-0369DDAC36F8}"/>
                </c:ext>
              </c:extLst>
            </c:dLbl>
            <c:dLbl>
              <c:idx val="1"/>
              <c:spPr>
                <a:noFill/>
                <a:ln>
                  <a:noFill/>
                </a:ln>
                <a:effectLst/>
              </c:spPr>
              <c:txPr>
                <a:bodyPr wrap="square" lIns="38100" tIns="19050" rIns="38100" bIns="19050" anchor="ctr">
                  <a:spAutoFit/>
                </a:bodyPr>
                <a:lstStyle/>
                <a:p>
                  <a:pPr>
                    <a:defRPr sz="800" b="1">
                      <a:solidFill>
                        <a:schemeClr val="bg1"/>
                      </a:solidFill>
                    </a:defRPr>
                  </a:pPr>
                  <a:endParaRPr lang="nl-NL"/>
                </a:p>
              </c:txPr>
              <c:showLegendKey val="0"/>
              <c:showVal val="1"/>
              <c:showCatName val="0"/>
              <c:showSerName val="0"/>
              <c:showPercent val="0"/>
              <c:showBubbleSize val="0"/>
              <c:extLst>
                <c:ext xmlns:c16="http://schemas.microsoft.com/office/drawing/2014/chart" uri="{C3380CC4-5D6E-409C-BE32-E72D297353CC}">
                  <c16:uniqueId val="{00000003-AF88-44D2-81EA-0369DDAC36F8}"/>
                </c:ext>
              </c:extLst>
            </c:dLbl>
            <c:spPr>
              <a:noFill/>
              <a:ln>
                <a:noFill/>
              </a:ln>
              <a:effectLst/>
            </c:spPr>
            <c:txPr>
              <a:bodyPr wrap="square" lIns="38100" tIns="19050" rIns="38100" bIns="19050" anchor="ctr">
                <a:spAutoFit/>
              </a:bodyPr>
              <a:lstStyle/>
              <a:p>
                <a:pPr>
                  <a:defRPr sz="800" b="1">
                    <a:solidFill>
                      <a:sysClr val="windowText" lastClr="000000"/>
                    </a:solidFill>
                  </a:defRPr>
                </a:pPr>
                <a:endParaRPr lang="nl-NL"/>
              </a:p>
            </c:txPr>
            <c:showLegendKey val="0"/>
            <c:showVal val="1"/>
            <c:showCatName val="0"/>
            <c:showSerName val="0"/>
            <c:showPercent val="0"/>
            <c:showBubbleSize val="0"/>
            <c:showLeaderLines val="1"/>
            <c:extLst>
              <c:ext xmlns:c15="http://schemas.microsoft.com/office/drawing/2012/chart" uri="{CE6537A1-D6FC-4f65-9D91-7224C49458BB}"/>
            </c:extLst>
          </c:dLbls>
          <c:cat>
            <c:strRef>
              <c:f>'3.3 laadgedrag algemeen'!$C$404:$C$406</c:f>
              <c:strCache>
                <c:ptCount val="3"/>
                <c:pt idx="0">
                  <c:v>Niet verder dan een halve actieradius, zonder bijladen dus (+/- 200 km)</c:v>
                </c:pt>
                <c:pt idx="1">
                  <c:v>1–2 keer bijladen onderweg (+/- 500km)</c:v>
                </c:pt>
                <c:pt idx="2">
                  <c:v>Meer dan 2 keer bijladen onderweg ( &gt; 500 km)</c:v>
                </c:pt>
              </c:strCache>
            </c:strRef>
          </c:cat>
          <c:val>
            <c:numRef>
              <c:f>'3.3 laadgedrag algemeen'!$F$404:$F$406</c:f>
              <c:numCache>
                <c:formatCode>0%</c:formatCode>
                <c:ptCount val="3"/>
                <c:pt idx="0">
                  <c:v>9.2934436664544873E-2</c:v>
                </c:pt>
                <c:pt idx="1">
                  <c:v>0.21514958625079567</c:v>
                </c:pt>
                <c:pt idx="2">
                  <c:v>0.69191597708465946</c:v>
                </c:pt>
              </c:numCache>
            </c:numRef>
          </c:val>
          <c:extLst>
            <c:ext xmlns:c16="http://schemas.microsoft.com/office/drawing/2014/chart" uri="{C3380CC4-5D6E-409C-BE32-E72D297353CC}">
              <c16:uniqueId val="{0000000C-AF88-44D2-81EA-0369DDAC36F8}"/>
            </c:ext>
          </c:extLst>
        </c:ser>
        <c:dLbls>
          <c:showLegendKey val="0"/>
          <c:showVal val="0"/>
          <c:showCatName val="0"/>
          <c:showSerName val="0"/>
          <c:showPercent val="0"/>
          <c:showBubbleSize val="0"/>
          <c:showLeaderLines val="1"/>
        </c:dLbls>
        <c:firstSliceAng val="0"/>
      </c:pieChart>
      <c:spPr>
        <a:noFill/>
        <a:ln>
          <a:noFill/>
        </a:ln>
      </c:spPr>
    </c:plotArea>
    <c:legend>
      <c:legendPos val="b"/>
      <c:layout>
        <c:manualLayout>
          <c:xMode val="edge"/>
          <c:yMode val="edge"/>
          <c:x val="7.776635524576643E-2"/>
          <c:y val="0.69727219391693684"/>
          <c:w val="0.90185609869067662"/>
          <c:h val="0.30272780608306316"/>
        </c:manualLayout>
      </c:layout>
      <c:overlay val="0"/>
      <c:spPr>
        <a:noFill/>
        <a:ln>
          <a:noFill/>
        </a:ln>
        <a:effectLst/>
      </c:spPr>
      <c:txPr>
        <a:bodyPr rot="0" spcFirstLastPara="1" vertOverflow="ellipsis" vert="horz" wrap="square" anchor="ctr" anchorCtr="1"/>
        <a:lstStyle/>
        <a:p>
          <a:pPr>
            <a:defRPr sz="900" b="0" i="0" u="none" strike="noStrike" kern="1200" baseline="0">
              <a:solidFill>
                <a:srgbClr val="2C307E"/>
              </a:solidFill>
              <a:latin typeface="+mn-lt"/>
              <a:ea typeface="+mn-ea"/>
              <a:cs typeface="+mn-cs"/>
            </a:defRPr>
          </a:pPr>
          <a:endParaRPr lang="nl-NL"/>
        </a:p>
      </c:txPr>
    </c:legend>
    <c:plotVisOnly val="1"/>
    <c:dispBlanksAs val="gap"/>
    <c:showDLblsOverMax val="0"/>
    <c:extLst/>
  </c:chart>
  <c:spPr>
    <a:noFill/>
    <a:ln>
      <a:noFill/>
    </a:ln>
  </c:spPr>
  <c:txPr>
    <a:bodyPr/>
    <a:lstStyle/>
    <a:p>
      <a:pPr>
        <a:defRPr/>
      </a:pPr>
      <a:endParaRPr lang="nl-NL"/>
    </a:p>
  </c:txPr>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rtl="0">
              <a:defRPr lang="nl-NL" sz="1100" b="0" i="0" u="none" strike="noStrike" kern="1200" spc="0" baseline="0">
                <a:solidFill>
                  <a:srgbClr val="2C307E"/>
                </a:solidFill>
                <a:latin typeface="+mn-lt"/>
                <a:ea typeface="+mn-ea"/>
                <a:cs typeface="+mn-cs"/>
              </a:defRPr>
            </a:pPr>
            <a:r>
              <a:rPr lang="nl-NL" sz="1100" b="0" i="0" u="none" strike="noStrike" kern="1200" spc="0" baseline="0">
                <a:solidFill>
                  <a:srgbClr val="2C307E"/>
                </a:solidFill>
                <a:latin typeface="+mn-lt"/>
                <a:ea typeface="+mn-ea"/>
                <a:cs typeface="+mn-cs"/>
              </a:rPr>
              <a:t>Ga je weleens met je elektrische auto op vakantie?</a:t>
            </a:r>
          </a:p>
        </c:rich>
      </c:tx>
      <c:overlay val="0"/>
      <c:spPr>
        <a:noFill/>
        <a:ln>
          <a:noFill/>
        </a:ln>
        <a:effectLst/>
      </c:spPr>
    </c:title>
    <c:autoTitleDeleted val="0"/>
    <c:plotArea>
      <c:layout>
        <c:manualLayout>
          <c:layoutTarget val="inner"/>
          <c:xMode val="edge"/>
          <c:yMode val="edge"/>
          <c:x val="0.1672126888012743"/>
          <c:y val="0.27339556592765463"/>
          <c:w val="0.8087608310080322"/>
          <c:h val="0.31954082055532534"/>
        </c:manualLayout>
      </c:layout>
      <c:barChart>
        <c:barDir val="col"/>
        <c:grouping val="stacked"/>
        <c:varyColors val="0"/>
        <c:ser>
          <c:idx val="0"/>
          <c:order val="0"/>
          <c:tx>
            <c:strRef>
              <c:f>'3.3 laadgedrag algemeen'!$I$517</c:f>
              <c:strCache>
                <c:ptCount val="1"/>
                <c:pt idx="0">
                  <c:v>Ja </c:v>
                </c:pt>
              </c:strCache>
            </c:strRef>
          </c:tx>
          <c:spPr>
            <a:solidFill>
              <a:srgbClr val="2C307E"/>
            </a:solidFill>
          </c:spPr>
          <c:invertIfNegative val="0"/>
          <c:dLbls>
            <c:spPr>
              <a:noFill/>
              <a:ln>
                <a:noFill/>
              </a:ln>
              <a:effectLst/>
            </c:spPr>
            <c:txPr>
              <a:bodyPr wrap="square" lIns="38100" tIns="19050" rIns="38100" bIns="19050" anchor="ctr">
                <a:spAutoFit/>
              </a:bodyPr>
              <a:lstStyle/>
              <a:p>
                <a:pPr>
                  <a:defRPr sz="800" b="1">
                    <a:solidFill>
                      <a:schemeClr val="bg1"/>
                    </a:solidFill>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multiLvlStrRef>
              <c:f>'3.3 laadgedrag algemeen'!$B$518:$C$522</c:f>
              <c:multiLvlStrCache>
                <c:ptCount val="5"/>
                <c:lvl>
                  <c:pt idx="0">
                    <c:v>100-199 km</c:v>
                  </c:pt>
                  <c:pt idx="1">
                    <c:v>200-299 km</c:v>
                  </c:pt>
                  <c:pt idx="2">
                    <c:v>300-399 km</c:v>
                  </c:pt>
                  <c:pt idx="3">
                    <c:v>400-499 km</c:v>
                  </c:pt>
                  <c:pt idx="4">
                    <c:v>&gt;500 km</c:v>
                  </c:pt>
                </c:lvl>
                <c:lvl>
                  <c:pt idx="0">
                    <c:v>Actieradius</c:v>
                  </c:pt>
                </c:lvl>
              </c:multiLvlStrCache>
            </c:multiLvlStrRef>
          </c:cat>
          <c:val>
            <c:numRef>
              <c:f>'3.3 laadgedrag algemeen'!$I$518:$I$522</c:f>
              <c:numCache>
                <c:formatCode>0%</c:formatCode>
                <c:ptCount val="5"/>
                <c:pt idx="0">
                  <c:v>0.40540540540540543</c:v>
                </c:pt>
                <c:pt idx="1">
                  <c:v>0.71938775510204078</c:v>
                </c:pt>
                <c:pt idx="2">
                  <c:v>0.91977611940298509</c:v>
                </c:pt>
                <c:pt idx="3">
                  <c:v>0.97304964539007088</c:v>
                </c:pt>
                <c:pt idx="4">
                  <c:v>0.96585365853658534</c:v>
                </c:pt>
              </c:numCache>
            </c:numRef>
          </c:val>
          <c:extLst>
            <c:ext xmlns:c16="http://schemas.microsoft.com/office/drawing/2014/chart" uri="{C3380CC4-5D6E-409C-BE32-E72D297353CC}">
              <c16:uniqueId val="{00000000-921A-4654-AC51-AF8ACFC61BB5}"/>
            </c:ext>
          </c:extLst>
        </c:ser>
        <c:ser>
          <c:idx val="1"/>
          <c:order val="1"/>
          <c:tx>
            <c:strRef>
              <c:f>'3.3 laadgedrag algemeen'!$J$517</c:f>
              <c:strCache>
                <c:ptCount val="1"/>
                <c:pt idx="0">
                  <c:v>Nee, ik ga met een brandstofauto</c:v>
                </c:pt>
              </c:strCache>
            </c:strRef>
          </c:tx>
          <c:spPr>
            <a:solidFill>
              <a:srgbClr val="08B466"/>
            </a:solidFill>
          </c:spPr>
          <c:invertIfNegative val="0"/>
          <c:dLbls>
            <c:dLbl>
              <c:idx val="3"/>
              <c:layout>
                <c:manualLayout>
                  <c:x val="0"/>
                  <c:y val="1.044113808405111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21A-4654-AC51-AF8ACFC61BB5}"/>
                </c:ext>
              </c:extLst>
            </c:dLbl>
            <c:dLbl>
              <c:idx val="4"/>
              <c:layout>
                <c:manualLayout>
                  <c:x val="0"/>
                  <c:y val="1.044113808405116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21A-4654-AC51-AF8ACFC61BB5}"/>
                </c:ext>
              </c:extLst>
            </c:dLbl>
            <c:spPr>
              <a:noFill/>
              <a:ln>
                <a:noFill/>
              </a:ln>
              <a:effectLst/>
            </c:spPr>
            <c:txPr>
              <a:bodyPr wrap="square" lIns="38100" tIns="19050" rIns="38100" bIns="19050" anchor="ctr" anchorCtr="0">
                <a:spAutoFit/>
              </a:bodyPr>
              <a:lstStyle/>
              <a:p>
                <a:pPr algn="ctr">
                  <a:defRPr lang="en-US" sz="800" b="1" i="0" u="none" strike="noStrike" kern="1200" baseline="0">
                    <a:solidFill>
                      <a:schemeClr val="bg1"/>
                    </a:solidFill>
                    <a:latin typeface="+mn-lt"/>
                    <a:ea typeface="+mn-ea"/>
                    <a:cs typeface="+mn-cs"/>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multiLvlStrRef>
              <c:f>'3.3 laadgedrag algemeen'!$B$518:$C$522</c:f>
              <c:multiLvlStrCache>
                <c:ptCount val="5"/>
                <c:lvl>
                  <c:pt idx="0">
                    <c:v>100-199 km</c:v>
                  </c:pt>
                  <c:pt idx="1">
                    <c:v>200-299 km</c:v>
                  </c:pt>
                  <c:pt idx="2">
                    <c:v>300-399 km</c:v>
                  </c:pt>
                  <c:pt idx="3">
                    <c:v>400-499 km</c:v>
                  </c:pt>
                  <c:pt idx="4">
                    <c:v>&gt;500 km</c:v>
                  </c:pt>
                </c:lvl>
                <c:lvl>
                  <c:pt idx="0">
                    <c:v>Actieradius</c:v>
                  </c:pt>
                </c:lvl>
              </c:multiLvlStrCache>
            </c:multiLvlStrRef>
          </c:cat>
          <c:val>
            <c:numRef>
              <c:f>'3.3 laadgedrag algemeen'!$J$518:$J$522</c:f>
              <c:numCache>
                <c:formatCode>0%</c:formatCode>
                <c:ptCount val="5"/>
                <c:pt idx="0">
                  <c:v>0.59459459459459463</c:v>
                </c:pt>
                <c:pt idx="1">
                  <c:v>0.28061224489795916</c:v>
                </c:pt>
                <c:pt idx="2">
                  <c:v>8.0223880597014921E-2</c:v>
                </c:pt>
                <c:pt idx="3">
                  <c:v>2.6950354609929079E-2</c:v>
                </c:pt>
                <c:pt idx="4">
                  <c:v>3.4146341463414637E-2</c:v>
                </c:pt>
              </c:numCache>
            </c:numRef>
          </c:val>
          <c:extLst>
            <c:ext xmlns:c16="http://schemas.microsoft.com/office/drawing/2014/chart" uri="{C3380CC4-5D6E-409C-BE32-E72D297353CC}">
              <c16:uniqueId val="{00000001-921A-4654-AC51-AF8ACFC61BB5}"/>
            </c:ext>
          </c:extLst>
        </c:ser>
        <c:dLbls>
          <c:showLegendKey val="0"/>
          <c:showVal val="0"/>
          <c:showCatName val="0"/>
          <c:showSerName val="0"/>
          <c:showPercent val="0"/>
          <c:showBubbleSize val="0"/>
        </c:dLbls>
        <c:gapWidth val="100"/>
        <c:overlap val="100"/>
        <c:axId val="504700752"/>
        <c:axId val="504699672"/>
      </c:barChart>
      <c:catAx>
        <c:axId val="5047007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lgn="ctr">
              <a:defRPr lang="en-US" sz="900" b="0" i="0" u="none" strike="noStrike" kern="1200" baseline="0">
                <a:solidFill>
                  <a:srgbClr val="2C307E"/>
                </a:solidFill>
                <a:latin typeface="+mn-lt"/>
                <a:ea typeface="+mn-ea"/>
                <a:cs typeface="+mn-cs"/>
              </a:defRPr>
            </a:pPr>
            <a:endParaRPr lang="nl-NL"/>
          </a:p>
        </c:txPr>
        <c:crossAx val="504699672"/>
        <c:crosses val="autoZero"/>
        <c:auto val="1"/>
        <c:lblAlgn val="ctr"/>
        <c:lblOffset val="100"/>
        <c:noMultiLvlLbl val="0"/>
      </c:catAx>
      <c:valAx>
        <c:axId val="504699672"/>
        <c:scaling>
          <c:orientation val="minMax"/>
          <c:max val="1"/>
        </c:scaling>
        <c:delete val="0"/>
        <c:axPos val="l"/>
        <c:majorGridlines>
          <c:spPr>
            <a:ln w="9525" cap="flat" cmpd="sng" algn="ctr">
              <a:no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lgn="ctr">
              <a:defRPr lang="en-US" sz="900" b="0" i="0" u="none" strike="noStrike" kern="1200" baseline="0">
                <a:solidFill>
                  <a:srgbClr val="2C307E"/>
                </a:solidFill>
                <a:latin typeface="+mn-lt"/>
                <a:ea typeface="+mn-ea"/>
                <a:cs typeface="+mn-cs"/>
              </a:defRPr>
            </a:pPr>
            <a:endParaRPr lang="nl-NL"/>
          </a:p>
        </c:txPr>
        <c:crossAx val="504700752"/>
        <c:crosses val="autoZero"/>
        <c:crossBetween val="between"/>
        <c:majorUnit val="0.25"/>
      </c:valAx>
      <c:spPr>
        <a:noFill/>
        <a:ln>
          <a:noFill/>
        </a:ln>
      </c:spPr>
    </c:plotArea>
    <c:legend>
      <c:legendPos val="b"/>
      <c:layout>
        <c:manualLayout>
          <c:xMode val="edge"/>
          <c:yMode val="edge"/>
          <c:x val="6.4652409840448552E-2"/>
          <c:y val="0.90154540192394272"/>
          <c:w val="0.87069518031910287"/>
          <c:h val="9.845459807605729E-2"/>
        </c:manualLayout>
      </c:layout>
      <c:overlay val="0"/>
      <c:spPr>
        <a:noFill/>
        <a:ln>
          <a:noFill/>
        </a:ln>
        <a:effectLst/>
      </c:spPr>
      <c:txPr>
        <a:bodyPr rot="0" spcFirstLastPara="1" vertOverflow="ellipsis" vert="horz" wrap="square" anchor="ctr" anchorCtr="1"/>
        <a:lstStyle/>
        <a:p>
          <a:pPr algn="ctr">
            <a:defRPr lang="en-US" sz="900" b="0" i="0" u="none" strike="noStrike" kern="1200" baseline="0">
              <a:solidFill>
                <a:srgbClr val="2C307E"/>
              </a:solidFill>
              <a:latin typeface="+mn-lt"/>
              <a:ea typeface="+mn-ea"/>
              <a:cs typeface="+mn-cs"/>
            </a:defRPr>
          </a:pPr>
          <a:endParaRPr lang="nl-NL"/>
        </a:p>
      </c:txPr>
    </c:legend>
    <c:plotVisOnly val="1"/>
    <c:dispBlanksAs val="gap"/>
    <c:showDLblsOverMax val="0"/>
    <c:extLst/>
  </c:chart>
  <c:spPr>
    <a:noFill/>
    <a:ln>
      <a:noFill/>
    </a:ln>
  </c:spPr>
  <c:txPr>
    <a:bodyPr/>
    <a:lstStyle/>
    <a:p>
      <a:pPr>
        <a:defRPr/>
      </a:pPr>
      <a:endParaRPr lang="nl-NL"/>
    </a:p>
  </c:txPr>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rgbClr val="C9C743"/>
            </a:solidFill>
            <a:ln>
              <a:noFill/>
            </a:ln>
            <a:effectLst/>
          </c:spPr>
          <c:invertIfNegative val="0"/>
          <c:dLbls>
            <c:spPr>
              <a:noFill/>
              <a:ln>
                <a:noFill/>
              </a:ln>
              <a:effectLst/>
            </c:spPr>
            <c:txPr>
              <a:bodyPr wrap="square" lIns="38100" tIns="19050" rIns="38100" bIns="19050" anchor="ctr" anchorCtr="0">
                <a:spAutoFit/>
              </a:bodyPr>
              <a:lstStyle/>
              <a:p>
                <a:pPr algn="ctr">
                  <a:defRPr lang="en-US" sz="800" b="1" i="0" u="none" strike="noStrike" kern="1200" baseline="0">
                    <a:solidFill>
                      <a:srgbClr val="4EAFAA"/>
                    </a:solidFill>
                    <a:latin typeface="+mn-lt"/>
                    <a:ea typeface="+mn-ea"/>
                    <a:cs typeface="+mn-cs"/>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'3.3 laadgedrag algemeen'!$G$429:$J$429</c:f>
              <c:numCache>
                <c:formatCode>General</c:formatCode>
                <c:ptCount val="4"/>
                <c:pt idx="0">
                  <c:v>2022</c:v>
                </c:pt>
                <c:pt idx="1">
                  <c:v>2023</c:v>
                </c:pt>
                <c:pt idx="2">
                  <c:v>2024</c:v>
                </c:pt>
                <c:pt idx="3">
                  <c:v>2025</c:v>
                </c:pt>
              </c:numCache>
            </c:numRef>
          </c:cat>
          <c:val>
            <c:numRef>
              <c:f>'3.3 laadgedrag algemeen'!$G$430:$J$430</c:f>
              <c:numCache>
                <c:formatCode>0%</c:formatCode>
                <c:ptCount val="4"/>
                <c:pt idx="0">
                  <c:v>0.56000000000000005</c:v>
                </c:pt>
                <c:pt idx="1">
                  <c:v>0.47</c:v>
                </c:pt>
                <c:pt idx="2">
                  <c:v>0.38400000000000001</c:v>
                </c:pt>
                <c:pt idx="3">
                  <c:v>0.39957865168539325</c:v>
                </c:pt>
              </c:numCache>
            </c:numRef>
          </c:val>
          <c:extLst>
            <c:ext xmlns:c16="http://schemas.microsoft.com/office/drawing/2014/chart" uri="{C3380CC4-5D6E-409C-BE32-E72D297353CC}">
              <c16:uniqueId val="{00000000-46B6-4B0A-B61E-AF2D08D75443}"/>
            </c:ext>
          </c:extLst>
        </c:ser>
        <c:dLbls>
          <c:showLegendKey val="0"/>
          <c:showVal val="0"/>
          <c:showCatName val="0"/>
          <c:showSerName val="0"/>
          <c:showPercent val="0"/>
          <c:showBubbleSize val="0"/>
        </c:dLbls>
        <c:gapWidth val="219"/>
        <c:overlap val="-27"/>
        <c:axId val="656388416"/>
        <c:axId val="656385896"/>
      </c:barChart>
      <c:catAx>
        <c:axId val="6563884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2C307E"/>
                </a:solidFill>
                <a:latin typeface="+mn-lt"/>
                <a:ea typeface="+mn-ea"/>
                <a:cs typeface="+mn-cs"/>
              </a:defRPr>
            </a:pPr>
            <a:endParaRPr lang="nl-NL"/>
          </a:p>
        </c:txPr>
        <c:crossAx val="656385896"/>
        <c:crosses val="autoZero"/>
        <c:auto val="1"/>
        <c:lblAlgn val="ctr"/>
        <c:lblOffset val="100"/>
        <c:noMultiLvlLbl val="0"/>
      </c:catAx>
      <c:valAx>
        <c:axId val="65638589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2C307E"/>
                </a:solidFill>
                <a:latin typeface="+mn-lt"/>
                <a:ea typeface="+mn-ea"/>
                <a:cs typeface="+mn-cs"/>
              </a:defRPr>
            </a:pPr>
            <a:endParaRPr lang="nl-NL"/>
          </a:p>
        </c:txPr>
        <c:crossAx val="656388416"/>
        <c:crosses val="autoZero"/>
        <c:crossBetween val="between"/>
      </c:valAx>
      <c:spPr>
        <a:noFill/>
        <a:ln>
          <a:noFill/>
        </a:ln>
      </c:spPr>
    </c:plotArea>
    <c:plotVisOnly val="1"/>
    <c:dispBlanksAs val="gap"/>
    <c:showDLblsOverMax val="0"/>
    <c:extLst/>
  </c:chart>
  <c:spPr>
    <a:noFill/>
    <a:ln>
      <a:noFill/>
    </a:ln>
  </c:spPr>
  <c:txPr>
    <a:bodyPr/>
    <a:lstStyle/>
    <a:p>
      <a:pPr>
        <a:defRPr/>
      </a:pPr>
      <a:endParaRPr lang="nl-NL"/>
    </a:p>
  </c:txPr>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lgn="ctr" rtl="0">
              <a:defRPr lang="nl-NL" sz="1100" b="0" i="0" u="none" strike="noStrike" kern="1200" spc="0" baseline="0">
                <a:solidFill>
                  <a:srgbClr val="2C307E"/>
                </a:solidFill>
                <a:latin typeface="+mn-lt"/>
                <a:ea typeface="+mn-ea"/>
                <a:cs typeface="+mn-cs"/>
              </a:defRPr>
            </a:pPr>
            <a:r>
              <a:rPr lang="en-US" sz="1100" b="0" i="0" u="none" strike="noStrike" kern="1200" spc="0" baseline="0">
                <a:solidFill>
                  <a:srgbClr val="2C307E"/>
                </a:solidFill>
                <a:latin typeface="+mn-lt"/>
                <a:ea typeface="+mn-ea"/>
                <a:cs typeface="+mn-cs"/>
              </a:rPr>
              <a:t>Maak je weleens gebruik van een aanhanger, fietsdrager, of iets dergelijks  achter de auto?</a:t>
            </a:r>
          </a:p>
        </c:rich>
      </c:tx>
      <c:overlay val="0"/>
    </c:title>
    <c:autoTitleDeleted val="0"/>
    <c:plotArea>
      <c:layout>
        <c:manualLayout>
          <c:layoutTarget val="inner"/>
          <c:xMode val="edge"/>
          <c:yMode val="edge"/>
          <c:x val="0.37290826451571601"/>
          <c:y val="0.23448452664347189"/>
          <c:w val="0.49488546715017867"/>
          <c:h val="0.67290331441128004"/>
        </c:manualLayout>
      </c:layout>
      <c:barChart>
        <c:barDir val="bar"/>
        <c:grouping val="clustered"/>
        <c:varyColors val="0"/>
        <c:ser>
          <c:idx val="0"/>
          <c:order val="0"/>
          <c:spPr>
            <a:solidFill>
              <a:srgbClr val="08B466"/>
            </a:solidFill>
          </c:spPr>
          <c:invertIfNegative val="0"/>
          <c:dPt>
            <c:idx val="0"/>
            <c:invertIfNegative val="0"/>
            <c:bubble3D val="0"/>
            <c:spPr>
              <a:solidFill>
                <a:srgbClr val="4EAFAA"/>
              </a:solidFill>
            </c:spPr>
            <c:extLst>
              <c:ext xmlns:c16="http://schemas.microsoft.com/office/drawing/2014/chart" uri="{C3380CC4-5D6E-409C-BE32-E72D297353CC}">
                <c16:uniqueId val="{00000001-AA0E-4DC2-AE94-148F789175E9}"/>
              </c:ext>
            </c:extLst>
          </c:dPt>
          <c:dPt>
            <c:idx val="1"/>
            <c:invertIfNegative val="0"/>
            <c:bubble3D val="0"/>
            <c:spPr>
              <a:solidFill>
                <a:srgbClr val="BAD6ED"/>
              </a:solidFill>
            </c:spPr>
            <c:extLst>
              <c:ext xmlns:c16="http://schemas.microsoft.com/office/drawing/2014/chart" uri="{C3380CC4-5D6E-409C-BE32-E72D297353CC}">
                <c16:uniqueId val="{00000003-AA0E-4DC2-AE94-148F789175E9}"/>
              </c:ext>
            </c:extLst>
          </c:dPt>
          <c:dPt>
            <c:idx val="2"/>
            <c:invertIfNegative val="0"/>
            <c:bubble3D val="0"/>
            <c:spPr>
              <a:solidFill>
                <a:srgbClr val="C9C743"/>
              </a:solidFill>
              <a:ln w="19050">
                <a:noFill/>
              </a:ln>
              <a:effectLst/>
            </c:spPr>
            <c:extLst>
              <c:ext xmlns:c16="http://schemas.microsoft.com/office/drawing/2014/chart" uri="{C3380CC4-5D6E-409C-BE32-E72D297353CC}">
                <c16:uniqueId val="{00000005-AA0E-4DC2-AE94-148F789175E9}"/>
              </c:ext>
            </c:extLst>
          </c:dPt>
          <c:dPt>
            <c:idx val="3"/>
            <c:invertIfNegative val="0"/>
            <c:bubble3D val="0"/>
            <c:extLst>
              <c:ext xmlns:c16="http://schemas.microsoft.com/office/drawing/2014/chart" uri="{C3380CC4-5D6E-409C-BE32-E72D297353CC}">
                <c16:uniqueId val="{00000006-AA0E-4DC2-AE94-148F789175E9}"/>
              </c:ext>
            </c:extLst>
          </c:dPt>
          <c:dPt>
            <c:idx val="4"/>
            <c:invertIfNegative val="0"/>
            <c:bubble3D val="0"/>
            <c:spPr>
              <a:solidFill>
                <a:srgbClr val="2C307E"/>
              </a:solidFill>
              <a:ln w="19050">
                <a:noFill/>
              </a:ln>
              <a:effectLst/>
            </c:spPr>
            <c:extLst>
              <c:ext xmlns:c16="http://schemas.microsoft.com/office/drawing/2014/chart" uri="{C3380CC4-5D6E-409C-BE32-E72D297353CC}">
                <c16:uniqueId val="{00000008-AA0E-4DC2-AE94-148F789175E9}"/>
              </c:ext>
            </c:extLst>
          </c:dPt>
          <c:dPt>
            <c:idx val="5"/>
            <c:invertIfNegative val="0"/>
            <c:bubble3D val="0"/>
            <c:spPr>
              <a:solidFill>
                <a:srgbClr val="696969"/>
              </a:solidFill>
            </c:spPr>
            <c:extLst>
              <c:ext xmlns:c16="http://schemas.microsoft.com/office/drawing/2014/chart" uri="{C3380CC4-5D6E-409C-BE32-E72D297353CC}">
                <c16:uniqueId val="{0000000A-AA0E-4DC2-AE94-148F789175E9}"/>
              </c:ext>
            </c:extLst>
          </c:dPt>
          <c:dLbls>
            <c:dLbl>
              <c:idx val="0"/>
              <c:layout>
                <c:manualLayout>
                  <c:x val="7.1807224754800384E-4"/>
                  <c:y val="8.8582677165362819E-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A0E-4DC2-AE94-148F789175E9}"/>
                </c:ext>
              </c:extLst>
            </c:dLbl>
            <c:spPr>
              <a:noFill/>
              <a:ln>
                <a:noFill/>
              </a:ln>
              <a:effectLst/>
            </c:spPr>
            <c:txPr>
              <a:bodyPr wrap="square" lIns="38100" tIns="19050" rIns="38100" bIns="19050" anchor="ctr">
                <a:spAutoFit/>
              </a:bodyPr>
              <a:lstStyle/>
              <a:p>
                <a:pPr>
                  <a:defRPr sz="800" b="1">
                    <a:solidFill>
                      <a:srgbClr val="2C307E"/>
                    </a:solidFill>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'3.3 laadgedrag algemeen'!$C$465:$C$469</c:f>
              <c:strCache>
                <c:ptCount val="5"/>
                <c:pt idx="0">
                  <c:v>Trekhaakkoffer</c:v>
                </c:pt>
                <c:pt idx="1">
                  <c:v>Anders</c:v>
                </c:pt>
                <c:pt idx="2">
                  <c:v>Caravan</c:v>
                </c:pt>
                <c:pt idx="3">
                  <c:v>Aanhanger</c:v>
                </c:pt>
                <c:pt idx="4">
                  <c:v>Fietsdrager</c:v>
                </c:pt>
              </c:strCache>
            </c:strRef>
          </c:cat>
          <c:val>
            <c:numRef>
              <c:f>'3.3 laadgedrag algemeen'!$E$465:$E$469</c:f>
              <c:numCache>
                <c:formatCode>0%</c:formatCode>
                <c:ptCount val="5"/>
                <c:pt idx="0">
                  <c:v>1.3923421183490801E-2</c:v>
                </c:pt>
                <c:pt idx="1">
                  <c:v>2.6852312282446545E-2</c:v>
                </c:pt>
                <c:pt idx="2">
                  <c:v>3.8786673296867233E-2</c:v>
                </c:pt>
                <c:pt idx="3">
                  <c:v>0.16310293386374938</c:v>
                </c:pt>
                <c:pt idx="4">
                  <c:v>0.30880159124813528</c:v>
                </c:pt>
              </c:numCache>
            </c:numRef>
          </c:val>
          <c:extLst>
            <c:ext xmlns:c16="http://schemas.microsoft.com/office/drawing/2014/chart" uri="{C3380CC4-5D6E-409C-BE32-E72D297353CC}">
              <c16:uniqueId val="{0000000B-AA0E-4DC2-AE94-148F789175E9}"/>
            </c:ext>
          </c:extLst>
        </c:ser>
        <c:dLbls>
          <c:showLegendKey val="0"/>
          <c:showVal val="0"/>
          <c:showCatName val="0"/>
          <c:showSerName val="0"/>
          <c:showPercent val="0"/>
          <c:showBubbleSize val="0"/>
        </c:dLbls>
        <c:gapWidth val="100"/>
        <c:axId val="640345368"/>
        <c:axId val="640351128"/>
      </c:barChart>
      <c:catAx>
        <c:axId val="640345368"/>
        <c:scaling>
          <c:orientation val="minMax"/>
        </c:scaling>
        <c:delete val="0"/>
        <c:axPos val="l"/>
        <c:numFmt formatCode="General" sourceLinked="1"/>
        <c:majorTickMark val="out"/>
        <c:minorTickMark val="none"/>
        <c:tickLblPos val="nextTo"/>
        <c:txPr>
          <a:bodyPr/>
          <a:lstStyle/>
          <a:p>
            <a:pPr>
              <a:defRPr sz="900">
                <a:solidFill>
                  <a:srgbClr val="2C307E"/>
                </a:solidFill>
              </a:defRPr>
            </a:pPr>
            <a:endParaRPr lang="nl-NL"/>
          </a:p>
        </c:txPr>
        <c:crossAx val="640351128"/>
        <c:crosses val="autoZero"/>
        <c:auto val="1"/>
        <c:lblAlgn val="ctr"/>
        <c:lblOffset val="100"/>
        <c:noMultiLvlLbl val="0"/>
      </c:catAx>
      <c:valAx>
        <c:axId val="640351128"/>
        <c:scaling>
          <c:orientation val="minMax"/>
        </c:scaling>
        <c:delete val="0"/>
        <c:axPos val="b"/>
        <c:majorGridlines>
          <c:spPr>
            <a:ln>
              <a:solidFill>
                <a:srgbClr val="D9D9D9"/>
              </a:solidFill>
            </a:ln>
          </c:spPr>
        </c:majorGridlines>
        <c:numFmt formatCode="0%" sourceLinked="1"/>
        <c:majorTickMark val="out"/>
        <c:minorTickMark val="none"/>
        <c:tickLblPos val="nextTo"/>
        <c:txPr>
          <a:bodyPr/>
          <a:lstStyle/>
          <a:p>
            <a:pPr>
              <a:defRPr sz="900">
                <a:solidFill>
                  <a:srgbClr val="2C307E"/>
                </a:solidFill>
              </a:defRPr>
            </a:pPr>
            <a:endParaRPr lang="nl-NL"/>
          </a:p>
        </c:txPr>
        <c:crossAx val="640345368"/>
        <c:crosses val="autoZero"/>
        <c:crossBetween val="between"/>
        <c:majorUnit val="0.1"/>
      </c:valAx>
      <c:spPr>
        <a:noFill/>
        <a:ln>
          <a:noFill/>
        </a:ln>
      </c:spPr>
    </c:plotArea>
    <c:plotVisOnly val="1"/>
    <c:dispBlanksAs val="gap"/>
    <c:showDLblsOverMax val="0"/>
    <c:extLst/>
  </c:chart>
  <c:spPr>
    <a:noFill/>
    <a:ln>
      <a:noFill/>
    </a:ln>
  </c:spPr>
  <c:txPr>
    <a:bodyPr/>
    <a:lstStyle/>
    <a:p>
      <a:pPr>
        <a:defRPr/>
      </a:pPr>
      <a:endParaRPr lang="nl-NL"/>
    </a:p>
  </c:txPr>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lgn="ctr" rtl="0">
              <a:defRPr lang="nl-NL" sz="1100" b="0" i="0" u="none" strike="noStrike" kern="1200" spc="0" baseline="0">
                <a:solidFill>
                  <a:srgbClr val="2C307E"/>
                </a:solidFill>
                <a:latin typeface="+mn-lt"/>
                <a:ea typeface="+mn-ea"/>
                <a:cs typeface="+mn-cs"/>
              </a:defRPr>
            </a:pPr>
            <a:r>
              <a:rPr lang="en-US" sz="1100" b="0" i="0" u="none" strike="noStrike" kern="1200" spc="0" baseline="0">
                <a:solidFill>
                  <a:srgbClr val="2C307E"/>
                </a:solidFill>
                <a:latin typeface="+mn-lt"/>
                <a:ea typeface="+mn-ea"/>
                <a:cs typeface="+mn-cs"/>
              </a:rPr>
              <a:t>In wat voor soort parkeergarage had je geen toegang met je EV?</a:t>
            </a:r>
          </a:p>
        </c:rich>
      </c:tx>
      <c:overlay val="0"/>
    </c:title>
    <c:autoTitleDeleted val="0"/>
    <c:plotArea>
      <c:layout>
        <c:manualLayout>
          <c:layoutTarget val="inner"/>
          <c:xMode val="edge"/>
          <c:yMode val="edge"/>
          <c:x val="0.59768110047936984"/>
          <c:y val="0.21413958390336343"/>
          <c:w val="0.32552559337543358"/>
          <c:h val="0.64869688586224006"/>
        </c:manualLayout>
      </c:layout>
      <c:barChart>
        <c:barDir val="bar"/>
        <c:grouping val="clustered"/>
        <c:varyColors val="0"/>
        <c:ser>
          <c:idx val="0"/>
          <c:order val="0"/>
          <c:spPr>
            <a:solidFill>
              <a:srgbClr val="08B466"/>
            </a:solidFill>
          </c:spPr>
          <c:invertIfNegative val="0"/>
          <c:dPt>
            <c:idx val="0"/>
            <c:invertIfNegative val="0"/>
            <c:bubble3D val="0"/>
            <c:spPr>
              <a:solidFill>
                <a:srgbClr val="4EAFAA"/>
              </a:solidFill>
            </c:spPr>
            <c:extLst>
              <c:ext xmlns:c16="http://schemas.microsoft.com/office/drawing/2014/chart" uri="{C3380CC4-5D6E-409C-BE32-E72D297353CC}">
                <c16:uniqueId val="{00000001-F0AE-4B9D-BF1A-8BC9B4360727}"/>
              </c:ext>
            </c:extLst>
          </c:dPt>
          <c:dPt>
            <c:idx val="1"/>
            <c:invertIfNegative val="0"/>
            <c:bubble3D val="0"/>
            <c:spPr>
              <a:solidFill>
                <a:srgbClr val="BAD6ED"/>
              </a:solidFill>
            </c:spPr>
            <c:extLst>
              <c:ext xmlns:c16="http://schemas.microsoft.com/office/drawing/2014/chart" uri="{C3380CC4-5D6E-409C-BE32-E72D297353CC}">
                <c16:uniqueId val="{00000003-F0AE-4B9D-BF1A-8BC9B4360727}"/>
              </c:ext>
            </c:extLst>
          </c:dPt>
          <c:dPt>
            <c:idx val="2"/>
            <c:invertIfNegative val="0"/>
            <c:bubble3D val="0"/>
            <c:spPr>
              <a:solidFill>
                <a:srgbClr val="C9C743"/>
              </a:solidFill>
              <a:ln w="19050">
                <a:noFill/>
              </a:ln>
              <a:effectLst/>
            </c:spPr>
            <c:extLst>
              <c:ext xmlns:c16="http://schemas.microsoft.com/office/drawing/2014/chart" uri="{C3380CC4-5D6E-409C-BE32-E72D297353CC}">
                <c16:uniqueId val="{00000005-F0AE-4B9D-BF1A-8BC9B4360727}"/>
              </c:ext>
            </c:extLst>
          </c:dPt>
          <c:dPt>
            <c:idx val="3"/>
            <c:invertIfNegative val="0"/>
            <c:bubble3D val="0"/>
            <c:extLst>
              <c:ext xmlns:c16="http://schemas.microsoft.com/office/drawing/2014/chart" uri="{C3380CC4-5D6E-409C-BE32-E72D297353CC}">
                <c16:uniqueId val="{00000006-F0AE-4B9D-BF1A-8BC9B4360727}"/>
              </c:ext>
            </c:extLst>
          </c:dPt>
          <c:dPt>
            <c:idx val="4"/>
            <c:invertIfNegative val="0"/>
            <c:bubble3D val="0"/>
            <c:spPr>
              <a:solidFill>
                <a:srgbClr val="2C307E"/>
              </a:solidFill>
              <a:ln w="19050">
                <a:noFill/>
              </a:ln>
              <a:effectLst/>
            </c:spPr>
            <c:extLst>
              <c:ext xmlns:c16="http://schemas.microsoft.com/office/drawing/2014/chart" uri="{C3380CC4-5D6E-409C-BE32-E72D297353CC}">
                <c16:uniqueId val="{00000008-F0AE-4B9D-BF1A-8BC9B4360727}"/>
              </c:ext>
            </c:extLst>
          </c:dPt>
          <c:dPt>
            <c:idx val="5"/>
            <c:invertIfNegative val="0"/>
            <c:bubble3D val="0"/>
            <c:spPr>
              <a:solidFill>
                <a:srgbClr val="696969"/>
              </a:solidFill>
            </c:spPr>
            <c:extLst>
              <c:ext xmlns:c16="http://schemas.microsoft.com/office/drawing/2014/chart" uri="{C3380CC4-5D6E-409C-BE32-E72D297353CC}">
                <c16:uniqueId val="{0000000A-F0AE-4B9D-BF1A-8BC9B4360727}"/>
              </c:ext>
            </c:extLst>
          </c:dPt>
          <c:dLbls>
            <c:dLbl>
              <c:idx val="0"/>
              <c:layout>
                <c:manualLayout>
                  <c:x val="7.1807224754800384E-4"/>
                  <c:y val="8.8582677165362819E-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0AE-4B9D-BF1A-8BC9B4360727}"/>
                </c:ext>
              </c:extLst>
            </c:dLbl>
            <c:spPr>
              <a:noFill/>
              <a:ln>
                <a:noFill/>
              </a:ln>
              <a:effectLst/>
            </c:spPr>
            <c:txPr>
              <a:bodyPr wrap="square" lIns="38100" tIns="19050" rIns="38100" bIns="19050" anchor="ctr">
                <a:spAutoFit/>
              </a:bodyPr>
              <a:lstStyle/>
              <a:p>
                <a:pPr>
                  <a:defRPr sz="800" b="1">
                    <a:solidFill>
                      <a:srgbClr val="2C307E"/>
                    </a:solidFill>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'3.3 laadgedrag algemeen'!$C$492:$C$496</c:f>
              <c:strCache>
                <c:ptCount val="5"/>
                <c:pt idx="0">
                  <c:v>VvE parkeergarage </c:v>
                </c:pt>
                <c:pt idx="1">
                  <c:v>Ander soort parkeergarage</c:v>
                </c:pt>
                <c:pt idx="2">
                  <c:v>Openbare parkeergarage (privaat) </c:v>
                </c:pt>
                <c:pt idx="3">
                  <c:v>Bedrijfsparkeergarage </c:v>
                </c:pt>
                <c:pt idx="4">
                  <c:v>Openbare parkeergarage (publiek) </c:v>
                </c:pt>
              </c:strCache>
            </c:strRef>
          </c:cat>
          <c:val>
            <c:numRef>
              <c:f>'3.3 laadgedrag algemeen'!$F$492:$F$496</c:f>
              <c:numCache>
                <c:formatCode>0%</c:formatCode>
                <c:ptCount val="5"/>
                <c:pt idx="0">
                  <c:v>8.2191780821917804E-2</c:v>
                </c:pt>
                <c:pt idx="1">
                  <c:v>0.12328767123287671</c:v>
                </c:pt>
                <c:pt idx="2">
                  <c:v>0.20547945205479451</c:v>
                </c:pt>
                <c:pt idx="3">
                  <c:v>0.32876712328767121</c:v>
                </c:pt>
                <c:pt idx="4">
                  <c:v>0.56164383561643838</c:v>
                </c:pt>
              </c:numCache>
            </c:numRef>
          </c:val>
          <c:extLst>
            <c:ext xmlns:c16="http://schemas.microsoft.com/office/drawing/2014/chart" uri="{C3380CC4-5D6E-409C-BE32-E72D297353CC}">
              <c16:uniqueId val="{0000000B-F0AE-4B9D-BF1A-8BC9B4360727}"/>
            </c:ext>
          </c:extLst>
        </c:ser>
        <c:dLbls>
          <c:showLegendKey val="0"/>
          <c:showVal val="0"/>
          <c:showCatName val="0"/>
          <c:showSerName val="0"/>
          <c:showPercent val="0"/>
          <c:showBubbleSize val="0"/>
        </c:dLbls>
        <c:gapWidth val="100"/>
        <c:axId val="640345368"/>
        <c:axId val="640351128"/>
      </c:barChart>
      <c:catAx>
        <c:axId val="640345368"/>
        <c:scaling>
          <c:orientation val="minMax"/>
        </c:scaling>
        <c:delete val="0"/>
        <c:axPos val="l"/>
        <c:numFmt formatCode="General" sourceLinked="1"/>
        <c:majorTickMark val="out"/>
        <c:minorTickMark val="none"/>
        <c:tickLblPos val="nextTo"/>
        <c:txPr>
          <a:bodyPr/>
          <a:lstStyle/>
          <a:p>
            <a:pPr>
              <a:defRPr sz="900">
                <a:solidFill>
                  <a:srgbClr val="2C307E"/>
                </a:solidFill>
              </a:defRPr>
            </a:pPr>
            <a:endParaRPr lang="nl-NL"/>
          </a:p>
        </c:txPr>
        <c:crossAx val="640351128"/>
        <c:crosses val="autoZero"/>
        <c:auto val="1"/>
        <c:lblAlgn val="ctr"/>
        <c:lblOffset val="100"/>
        <c:noMultiLvlLbl val="0"/>
      </c:catAx>
      <c:valAx>
        <c:axId val="640351128"/>
        <c:scaling>
          <c:orientation val="minMax"/>
        </c:scaling>
        <c:delete val="0"/>
        <c:axPos val="b"/>
        <c:majorGridlines>
          <c:spPr>
            <a:ln>
              <a:solidFill>
                <a:srgbClr val="D9D9D9"/>
              </a:solidFill>
            </a:ln>
          </c:spPr>
        </c:majorGridlines>
        <c:numFmt formatCode="0%" sourceLinked="1"/>
        <c:majorTickMark val="out"/>
        <c:minorTickMark val="none"/>
        <c:tickLblPos val="nextTo"/>
        <c:txPr>
          <a:bodyPr/>
          <a:lstStyle/>
          <a:p>
            <a:pPr>
              <a:defRPr sz="900">
                <a:solidFill>
                  <a:srgbClr val="2C307E"/>
                </a:solidFill>
              </a:defRPr>
            </a:pPr>
            <a:endParaRPr lang="nl-NL"/>
          </a:p>
        </c:txPr>
        <c:crossAx val="640345368"/>
        <c:crosses val="autoZero"/>
        <c:crossBetween val="between"/>
        <c:majorUnit val="0.2"/>
      </c:valAx>
      <c:spPr>
        <a:noFill/>
        <a:ln>
          <a:noFill/>
        </a:ln>
      </c:spPr>
    </c:plotArea>
    <c:plotVisOnly val="1"/>
    <c:dispBlanksAs val="gap"/>
    <c:showDLblsOverMax val="0"/>
    <c:extLst/>
  </c:chart>
  <c:spPr>
    <a:noFill/>
    <a:ln>
      <a:noFill/>
    </a:ln>
  </c:spPr>
  <c:txPr>
    <a:bodyPr/>
    <a:lstStyle/>
    <a:p>
      <a:pPr>
        <a:defRPr/>
      </a:pPr>
      <a:endParaRPr lang="nl-NL"/>
    </a:p>
  </c:txPr>
  <c:externalData r:id="rId1">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rgbClr val="2C307E"/>
                </a:solidFill>
                <a:latin typeface="+mn-lt"/>
                <a:ea typeface="+mn-ea"/>
                <a:cs typeface="+mn-cs"/>
              </a:defRPr>
            </a:pPr>
            <a:r>
              <a:rPr lang="nl-NL" sz="1100" b="0" i="0" u="none" strike="noStrike" kern="1200" spc="0" baseline="0">
                <a:solidFill>
                  <a:srgbClr val="2C307E"/>
                </a:solidFill>
              </a:rPr>
              <a:t>Welke betaalwijze gebruik je meestal?</a:t>
            </a:r>
          </a:p>
        </c:rich>
      </c:tx>
      <c:overlay val="0"/>
      <c:spPr>
        <a:noFill/>
        <a:ln>
          <a:noFill/>
        </a:ln>
        <a:effectLst/>
      </c:spPr>
    </c:title>
    <c:autoTitleDeleted val="0"/>
    <c:plotArea>
      <c:layout>
        <c:manualLayout>
          <c:layoutTarget val="inner"/>
          <c:xMode val="edge"/>
          <c:yMode val="edge"/>
          <c:x val="0.11832207522283066"/>
          <c:y val="0.17192672691675043"/>
          <c:w val="0.84445288247598493"/>
          <c:h val="0.34949607319823844"/>
        </c:manualLayout>
      </c:layout>
      <c:barChart>
        <c:barDir val="col"/>
        <c:grouping val="stacked"/>
        <c:varyColors val="0"/>
        <c:ser>
          <c:idx val="0"/>
          <c:order val="0"/>
          <c:tx>
            <c:strRef>
              <c:f>'3.3b betaalmethodes'!$B$198</c:f>
              <c:strCache>
                <c:ptCount val="1"/>
                <c:pt idx="0">
                  <c:v>Via een laadpas</c:v>
                </c:pt>
              </c:strCache>
            </c:strRef>
          </c:tx>
          <c:spPr>
            <a:solidFill>
              <a:srgbClr val="2C307E"/>
            </a:solidFill>
            <a:ln>
              <a:noFill/>
            </a:ln>
            <a:effectLst/>
          </c:spPr>
          <c:invertIfNegative val="0"/>
          <c:dLbls>
            <c:spPr>
              <a:noFill/>
              <a:ln>
                <a:noFill/>
              </a:ln>
              <a:effectLst/>
            </c:spPr>
            <c:txPr>
              <a:bodyPr wrap="square" lIns="38100" tIns="19050" rIns="38100" bIns="19050" anchor="ctr" anchorCtr="0">
                <a:spAutoFit/>
              </a:bodyPr>
              <a:lstStyle/>
              <a:p>
                <a:pPr algn="ctr">
                  <a:defRPr lang="en-US" sz="800" b="1" i="0" u="none" strike="noStrike" kern="1200" baseline="0">
                    <a:solidFill>
                      <a:schemeClr val="bg1"/>
                    </a:solidFill>
                    <a:latin typeface="+mn-lt"/>
                    <a:ea typeface="+mn-ea"/>
                    <a:cs typeface="+mn-cs"/>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'3.3b betaalmethodes'!$E$197:$F$197</c:f>
              <c:strCache>
                <c:ptCount val="2"/>
                <c:pt idx="0">
                  <c:v>bij de openbare laadpaal [N=1.118]</c:v>
                </c:pt>
                <c:pt idx="1">
                  <c:v>bij de snellader [N=1.372]</c:v>
                </c:pt>
              </c:strCache>
            </c:strRef>
          </c:cat>
          <c:val>
            <c:numRef>
              <c:f>'3.3b betaalmethodes'!$E$198:$F$198</c:f>
              <c:numCache>
                <c:formatCode>0%</c:formatCode>
                <c:ptCount val="2"/>
                <c:pt idx="0">
                  <c:v>0.89982110912343471</c:v>
                </c:pt>
                <c:pt idx="1">
                  <c:v>0.56559766763848396</c:v>
                </c:pt>
              </c:numCache>
            </c:numRef>
          </c:val>
          <c:extLst>
            <c:ext xmlns:c16="http://schemas.microsoft.com/office/drawing/2014/chart" uri="{C3380CC4-5D6E-409C-BE32-E72D297353CC}">
              <c16:uniqueId val="{00000000-6047-4A4F-B850-B4FDCAAE9589}"/>
            </c:ext>
          </c:extLst>
        </c:ser>
        <c:ser>
          <c:idx val="1"/>
          <c:order val="1"/>
          <c:tx>
            <c:strRef>
              <c:f>'3.3b betaalmethodes'!$B$199</c:f>
              <c:strCache>
                <c:ptCount val="1"/>
                <c:pt idx="0">
                  <c:v>Via een laadapp</c:v>
                </c:pt>
              </c:strCache>
            </c:strRef>
          </c:tx>
          <c:spPr>
            <a:solidFill>
              <a:srgbClr val="08B466"/>
            </a:solidFill>
            <a:ln>
              <a:noFill/>
            </a:ln>
            <a:effectLst/>
          </c:spPr>
          <c:invertIfNegative val="0"/>
          <c:dLbls>
            <c:spPr>
              <a:noFill/>
              <a:ln>
                <a:noFill/>
              </a:ln>
              <a:effectLst/>
            </c:spPr>
            <c:txPr>
              <a:bodyPr wrap="square" lIns="38100" tIns="19050" rIns="38100" bIns="19050" anchor="ctr" anchorCtr="0">
                <a:spAutoFit/>
              </a:bodyPr>
              <a:lstStyle/>
              <a:p>
                <a:pPr algn="ctr">
                  <a:defRPr lang="en-US" sz="800" b="1" i="0" u="none" strike="noStrike" kern="1200" baseline="0">
                    <a:solidFill>
                      <a:schemeClr val="bg1"/>
                    </a:solidFill>
                    <a:latin typeface="+mn-lt"/>
                    <a:ea typeface="+mn-ea"/>
                    <a:cs typeface="+mn-cs"/>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'3.3b betaalmethodes'!$E$197:$F$197</c:f>
              <c:strCache>
                <c:ptCount val="2"/>
                <c:pt idx="0">
                  <c:v>bij de openbare laadpaal [N=1.118]</c:v>
                </c:pt>
                <c:pt idx="1">
                  <c:v>bij de snellader [N=1.372]</c:v>
                </c:pt>
              </c:strCache>
            </c:strRef>
          </c:cat>
          <c:val>
            <c:numRef>
              <c:f>'3.3b betaalmethodes'!$E$199:$F$199</c:f>
              <c:numCache>
                <c:formatCode>0%</c:formatCode>
                <c:ptCount val="2"/>
                <c:pt idx="0">
                  <c:v>7.4239713774597496E-2</c:v>
                </c:pt>
                <c:pt idx="1">
                  <c:v>0.17274052478134111</c:v>
                </c:pt>
              </c:numCache>
            </c:numRef>
          </c:val>
          <c:extLst>
            <c:ext xmlns:c16="http://schemas.microsoft.com/office/drawing/2014/chart" uri="{C3380CC4-5D6E-409C-BE32-E72D297353CC}">
              <c16:uniqueId val="{00000001-6047-4A4F-B850-B4FDCAAE9589}"/>
            </c:ext>
          </c:extLst>
        </c:ser>
        <c:ser>
          <c:idx val="6"/>
          <c:order val="2"/>
          <c:tx>
            <c:strRef>
              <c:f>'3.3b betaalmethodes'!$B$205</c:f>
              <c:strCache>
                <c:ptCount val="1"/>
                <c:pt idx="0">
                  <c:v>Autocharge / plug and charge  </c:v>
                </c:pt>
              </c:strCache>
            </c:strRef>
          </c:tx>
          <c:spPr>
            <a:solidFill>
              <a:srgbClr val="C9C743"/>
            </a:solidFill>
            <a:ln>
              <a:noFill/>
            </a:ln>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2-6047-4A4F-B850-B4FDCAAE9589}"/>
                </c:ext>
              </c:extLst>
            </c:dLbl>
            <c:spPr>
              <a:noFill/>
              <a:ln>
                <a:noFill/>
              </a:ln>
              <a:effectLst/>
            </c:spPr>
            <c:txPr>
              <a:bodyPr wrap="square" lIns="38100" tIns="19050" rIns="38100" bIns="19050" anchor="ctr" anchorCtr="0">
                <a:spAutoFit/>
              </a:bodyPr>
              <a:lstStyle/>
              <a:p>
                <a:pPr algn="ctr">
                  <a:defRPr lang="en-US" sz="800" b="1" i="0" u="none" strike="noStrike" kern="1200" baseline="0">
                    <a:solidFill>
                      <a:schemeClr val="bg1"/>
                    </a:solidFill>
                    <a:latin typeface="+mn-lt"/>
                    <a:ea typeface="+mn-ea"/>
                    <a:cs typeface="+mn-cs"/>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'3.3b betaalmethodes'!$E$197:$F$197</c:f>
              <c:strCache>
                <c:ptCount val="2"/>
                <c:pt idx="0">
                  <c:v>bij de openbare laadpaal [N=1.118]</c:v>
                </c:pt>
                <c:pt idx="1">
                  <c:v>bij de snellader [N=1.372]</c:v>
                </c:pt>
              </c:strCache>
            </c:strRef>
          </c:cat>
          <c:val>
            <c:numRef>
              <c:f>'3.3b betaalmethodes'!$E$205:$F$205</c:f>
              <c:numCache>
                <c:formatCode>0%</c:formatCode>
                <c:ptCount val="2"/>
                <c:pt idx="0">
                  <c:v>1.4311270125223614E-2</c:v>
                </c:pt>
                <c:pt idx="1">
                  <c:v>0.21428571428571427</c:v>
                </c:pt>
              </c:numCache>
            </c:numRef>
          </c:val>
          <c:extLst>
            <c:ext xmlns:c16="http://schemas.microsoft.com/office/drawing/2014/chart" uri="{C3380CC4-5D6E-409C-BE32-E72D297353CC}">
              <c16:uniqueId val="{00000003-6047-4A4F-B850-B4FDCAAE9589}"/>
            </c:ext>
          </c:extLst>
        </c:ser>
        <c:ser>
          <c:idx val="4"/>
          <c:order val="5"/>
          <c:tx>
            <c:strRef>
              <c:f>'3.3b betaalmethodes'!$B$203</c:f>
              <c:strCache>
                <c:ptCount val="1"/>
                <c:pt idx="0">
                  <c:v>Via contactloos betalen (pinpas of telefoon)</c:v>
                </c:pt>
              </c:strCache>
            </c:strRef>
          </c:tx>
          <c:spPr>
            <a:solidFill>
              <a:srgbClr val="4EAFAA"/>
            </a:solidFill>
          </c:spPr>
          <c:invertIfNegative val="0"/>
          <c:cat>
            <c:strRef>
              <c:f>'3.3b betaalmethodes'!$E$197:$F$197</c:f>
              <c:strCache>
                <c:ptCount val="2"/>
                <c:pt idx="0">
                  <c:v>bij de openbare laadpaal [N=1.118]</c:v>
                </c:pt>
                <c:pt idx="1">
                  <c:v>bij de snellader [N=1.372]</c:v>
                </c:pt>
              </c:strCache>
            </c:strRef>
          </c:cat>
          <c:val>
            <c:numRef>
              <c:f>'3.3b betaalmethodes'!$E$203:$F$203</c:f>
              <c:numCache>
                <c:formatCode>0%</c:formatCode>
                <c:ptCount val="2"/>
                <c:pt idx="0">
                  <c:v>1.7889087656529517E-3</c:v>
                </c:pt>
                <c:pt idx="1">
                  <c:v>1.0932944606413994E-2</c:v>
                </c:pt>
              </c:numCache>
            </c:numRef>
          </c:val>
          <c:extLst>
            <c:ext xmlns:c16="http://schemas.microsoft.com/office/drawing/2014/chart" uri="{C3380CC4-5D6E-409C-BE32-E72D297353CC}">
              <c16:uniqueId val="{00000004-6047-4A4F-B850-B4FDCAAE9589}"/>
            </c:ext>
          </c:extLst>
        </c:ser>
        <c:ser>
          <c:idx val="5"/>
          <c:order val="6"/>
          <c:tx>
            <c:strRef>
              <c:f>'3.3b betaalmethodes'!$B$204</c:f>
              <c:strCache>
                <c:ptCount val="1"/>
                <c:pt idx="0">
                  <c:v>Via een pinpad  </c:v>
                </c:pt>
              </c:strCache>
            </c:strRef>
          </c:tx>
          <c:spPr>
            <a:solidFill>
              <a:srgbClr val="BAD6ED"/>
            </a:solidFill>
          </c:spPr>
          <c:invertIfNegative val="0"/>
          <c:cat>
            <c:strRef>
              <c:f>'3.3b betaalmethodes'!$E$197:$F$197</c:f>
              <c:strCache>
                <c:ptCount val="2"/>
                <c:pt idx="0">
                  <c:v>bij de openbare laadpaal [N=1.118]</c:v>
                </c:pt>
                <c:pt idx="1">
                  <c:v>bij de snellader [N=1.372]</c:v>
                </c:pt>
              </c:strCache>
            </c:strRef>
          </c:cat>
          <c:val>
            <c:numRef>
              <c:f>'3.3b betaalmethodes'!$E$204:$F$204</c:f>
              <c:numCache>
                <c:formatCode>0%</c:formatCode>
                <c:ptCount val="2"/>
                <c:pt idx="0">
                  <c:v>0</c:v>
                </c:pt>
                <c:pt idx="1">
                  <c:v>7.2886297376093293E-4</c:v>
                </c:pt>
              </c:numCache>
            </c:numRef>
          </c:val>
          <c:extLst>
            <c:ext xmlns:c16="http://schemas.microsoft.com/office/drawing/2014/chart" uri="{C3380CC4-5D6E-409C-BE32-E72D297353CC}">
              <c16:uniqueId val="{00000005-6047-4A4F-B850-B4FDCAAE9589}"/>
            </c:ext>
          </c:extLst>
        </c:ser>
        <c:ser>
          <c:idx val="7"/>
          <c:order val="7"/>
          <c:tx>
            <c:strRef>
              <c:f>'3.3b betaalmethodes'!$B$206</c:f>
              <c:strCache>
                <c:ptCount val="1"/>
                <c:pt idx="0">
                  <c:v>Anders</c:v>
                </c:pt>
              </c:strCache>
            </c:strRef>
          </c:tx>
          <c:spPr>
            <a:solidFill>
              <a:srgbClr val="696969"/>
            </a:solidFill>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6-6047-4A4F-B850-B4FDCAAE9589}"/>
                </c:ext>
              </c:extLst>
            </c:dLbl>
            <c:spPr>
              <a:noFill/>
              <a:ln>
                <a:noFill/>
              </a:ln>
              <a:effectLst/>
            </c:spPr>
            <c:txPr>
              <a:bodyPr wrap="square" lIns="38100" tIns="19050" rIns="38100" bIns="19050" anchor="ctr" anchorCtr="0">
                <a:spAutoFit/>
              </a:bodyPr>
              <a:lstStyle/>
              <a:p>
                <a:pPr algn="ctr">
                  <a:defRPr lang="en-US" sz="800" b="1" i="0" u="none" strike="noStrike" kern="1200" baseline="0">
                    <a:solidFill>
                      <a:schemeClr val="bg1"/>
                    </a:solidFill>
                    <a:latin typeface="+mn-lt"/>
                    <a:ea typeface="+mn-ea"/>
                    <a:cs typeface="+mn-cs"/>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'3.3b betaalmethodes'!$E$197:$F$197</c:f>
              <c:strCache>
                <c:ptCount val="2"/>
                <c:pt idx="0">
                  <c:v>bij de openbare laadpaal [N=1.118]</c:v>
                </c:pt>
                <c:pt idx="1">
                  <c:v>bij de snellader [N=1.372]</c:v>
                </c:pt>
              </c:strCache>
            </c:strRef>
          </c:cat>
          <c:val>
            <c:numRef>
              <c:f>'3.3b betaalmethodes'!$E$206:$F$206</c:f>
              <c:numCache>
                <c:formatCode>0%</c:formatCode>
                <c:ptCount val="2"/>
                <c:pt idx="0">
                  <c:v>8.0500894454382833E-3</c:v>
                </c:pt>
                <c:pt idx="1">
                  <c:v>3.0612244897959183E-2</c:v>
                </c:pt>
              </c:numCache>
            </c:numRef>
          </c:val>
          <c:extLst>
            <c:ext xmlns:c16="http://schemas.microsoft.com/office/drawing/2014/chart" uri="{C3380CC4-5D6E-409C-BE32-E72D297353CC}">
              <c16:uniqueId val="{00000007-6047-4A4F-B850-B4FDCAAE9589}"/>
            </c:ext>
          </c:extLst>
        </c:ser>
        <c:ser>
          <c:idx val="8"/>
          <c:order val="8"/>
          <c:tx>
            <c:strRef>
              <c:f>'3.3b betaalmethodes'!$B$202</c:f>
              <c:strCache>
                <c:ptCount val="1"/>
                <c:pt idx="0">
                  <c:v>Via een QR-code</c:v>
                </c:pt>
              </c:strCache>
            </c:strRef>
          </c:tx>
          <c:spPr>
            <a:solidFill>
              <a:schemeClr val="bg2"/>
            </a:solidFill>
            <a:ln>
              <a:solidFill>
                <a:schemeClr val="bg2"/>
              </a:solidFill>
            </a:ln>
          </c:spPr>
          <c:invertIfNegative val="0"/>
          <c:val>
            <c:numRef>
              <c:f>'3.3b betaalmethodes'!$E$202:$F$202</c:f>
              <c:numCache>
                <c:formatCode>0%</c:formatCode>
                <c:ptCount val="2"/>
                <c:pt idx="0">
                  <c:v>1.7889087656529517E-3</c:v>
                </c:pt>
                <c:pt idx="1">
                  <c:v>5.1020408163265302E-3</c:v>
                </c:pt>
              </c:numCache>
            </c:numRef>
          </c:val>
          <c:extLst>
            <c:ext xmlns:c16="http://schemas.microsoft.com/office/drawing/2014/chart" uri="{C3380CC4-5D6E-409C-BE32-E72D297353CC}">
              <c16:uniqueId val="{00000008-6047-4A4F-B850-B4FDCAAE9589}"/>
            </c:ext>
          </c:extLst>
        </c:ser>
        <c:dLbls>
          <c:showLegendKey val="0"/>
          <c:showVal val="0"/>
          <c:showCatName val="0"/>
          <c:showSerName val="0"/>
          <c:showPercent val="0"/>
          <c:showBubbleSize val="0"/>
        </c:dLbls>
        <c:gapWidth val="219"/>
        <c:overlap val="100"/>
        <c:axId val="859086912"/>
        <c:axId val="859090872"/>
        <c:extLst>
          <c:ext xmlns:c15="http://schemas.microsoft.com/office/drawing/2012/chart" uri="{02D57815-91ED-43cb-92C2-25804820EDAC}">
            <c15:filteredBarSeries>
              <c15:ser>
                <c:idx val="2"/>
                <c:order val="3"/>
                <c:tx>
                  <c:strRef>
                    <c:extLst>
                      <c:ext uri="{02D57815-91ED-43cb-92C2-25804820EDAC}">
                        <c15:formulaRef>
                          <c15:sqref>'3.3b betaalmethodes'!$B$200</c15:sqref>
                        </c15:formulaRef>
                      </c:ext>
                    </c:extLst>
                    <c:strCache>
                      <c:ptCount val="1"/>
                      <c:pt idx="0">
                        <c:v>Via een QR-code die verwijst naar een mobiele toepassing (app)  </c:v>
                      </c:pt>
                    </c:strCache>
                  </c:strRef>
                </c:tx>
                <c:spPr>
                  <a:solidFill>
                    <a:srgbClr val="C9C743"/>
                  </a:solidFill>
                </c:spPr>
                <c:invertIfNegative val="0"/>
                <c:cat>
                  <c:strRef>
                    <c:extLst>
                      <c:ext uri="{02D57815-91ED-43cb-92C2-25804820EDAC}">
                        <c15:formulaRef>
                          <c15:sqref>'3.3b betaalmethodes'!$E$197:$F$197</c15:sqref>
                        </c15:formulaRef>
                      </c:ext>
                    </c:extLst>
                    <c:strCache>
                      <c:ptCount val="2"/>
                      <c:pt idx="0">
                        <c:v>bij de openbare laadpaal [N=1.118]</c:v>
                      </c:pt>
                      <c:pt idx="1">
                        <c:v>bij de snellader [N=1.372]</c:v>
                      </c:pt>
                    </c:strCache>
                  </c:strRef>
                </c:cat>
                <c:val>
                  <c:numRef>
                    <c:extLst>
                      <c:ext uri="{02D57815-91ED-43cb-92C2-25804820EDAC}">
                        <c15:formulaRef>
                          <c15:sqref>'3.3b betaalmethodes'!$E$200:$F$200</c15:sqref>
                        </c15:formulaRef>
                      </c:ext>
                    </c:extLst>
                    <c:numCache>
                      <c:formatCode>0%</c:formatCode>
                      <c:ptCount val="2"/>
                      <c:pt idx="0">
                        <c:v>1.7889087656529517E-3</c:v>
                      </c:pt>
                      <c:pt idx="1">
                        <c:v>5.1020408163265302E-3</c:v>
                      </c:pt>
                    </c:numCache>
                  </c:numRef>
                </c:val>
                <c:extLst>
                  <c:ext xmlns:c16="http://schemas.microsoft.com/office/drawing/2014/chart" uri="{C3380CC4-5D6E-409C-BE32-E72D297353CC}">
                    <c16:uniqueId val="{00000009-6047-4A4F-B850-B4FDCAAE9589}"/>
                  </c:ext>
                </c:extLst>
              </c15:ser>
            </c15:filteredBarSeries>
            <c15:filteredBarSeries>
              <c15:ser>
                <c:idx val="3"/>
                <c:order val="4"/>
                <c:tx>
                  <c:strRef>
                    <c:extLst xmlns:c15="http://schemas.microsoft.com/office/drawing/2012/chart">
                      <c:ext xmlns:c15="http://schemas.microsoft.com/office/drawing/2012/chart" uri="{02D57815-91ED-43cb-92C2-25804820EDAC}">
                        <c15:formulaRef>
                          <c15:sqref>'3.3b betaalmethodes'!$B$201</c15:sqref>
                        </c15:formulaRef>
                      </c:ext>
                    </c:extLst>
                    <c:strCache>
                      <c:ptCount val="1"/>
                      <c:pt idx="0">
                        <c:v>Via een QR-code die verwijst naar een betaal-website  </c:v>
                      </c:pt>
                    </c:strCache>
                  </c:strRef>
                </c:tx>
                <c:spPr>
                  <a:solidFill>
                    <a:srgbClr val="BAD6ED"/>
                  </a:solidFill>
                </c:spPr>
                <c:invertIfNegative val="0"/>
                <c:cat>
                  <c:strRef>
                    <c:extLst xmlns:c15="http://schemas.microsoft.com/office/drawing/2012/chart">
                      <c:ext xmlns:c15="http://schemas.microsoft.com/office/drawing/2012/chart" uri="{02D57815-91ED-43cb-92C2-25804820EDAC}">
                        <c15:formulaRef>
                          <c15:sqref>'3.3b betaalmethodes'!$E$197:$F$197</c15:sqref>
                        </c15:formulaRef>
                      </c:ext>
                    </c:extLst>
                    <c:strCache>
                      <c:ptCount val="2"/>
                      <c:pt idx="0">
                        <c:v>bij de openbare laadpaal [N=1.118]</c:v>
                      </c:pt>
                      <c:pt idx="1">
                        <c:v>bij de snellader [N=1.372]</c:v>
                      </c:pt>
                    </c:strCache>
                  </c:strRef>
                </c:cat>
                <c:val>
                  <c:numRef>
                    <c:extLst xmlns:c15="http://schemas.microsoft.com/office/drawing/2012/chart">
                      <c:ext xmlns:c15="http://schemas.microsoft.com/office/drawing/2012/chart" uri="{02D57815-91ED-43cb-92C2-25804820EDAC}">
                        <c15:formulaRef>
                          <c15:sqref>'3.3b betaalmethodes'!$E$201:$F$201</c15:sqref>
                        </c15:formulaRef>
                      </c:ext>
                    </c:extLst>
                    <c:numCache>
                      <c:formatCode>0%</c:formatCode>
                      <c:ptCount val="2"/>
                      <c:pt idx="0">
                        <c:v>0</c:v>
                      </c:pt>
                      <c:pt idx="1">
                        <c:v>0</c:v>
                      </c:pt>
                    </c:numCache>
                  </c:numRef>
                </c:val>
                <c:extLst xmlns:c15="http://schemas.microsoft.com/office/drawing/2012/chart">
                  <c:ext xmlns:c16="http://schemas.microsoft.com/office/drawing/2014/chart" uri="{C3380CC4-5D6E-409C-BE32-E72D297353CC}">
                    <c16:uniqueId val="{0000000A-6047-4A4F-B850-B4FDCAAE9589}"/>
                  </c:ext>
                </c:extLst>
              </c15:ser>
            </c15:filteredBarSeries>
          </c:ext>
        </c:extLst>
      </c:barChart>
      <c:catAx>
        <c:axId val="8590869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2C307E"/>
                </a:solidFill>
                <a:latin typeface="+mn-lt"/>
                <a:ea typeface="+mn-ea"/>
                <a:cs typeface="+mn-cs"/>
              </a:defRPr>
            </a:pPr>
            <a:endParaRPr lang="nl-NL"/>
          </a:p>
        </c:txPr>
        <c:crossAx val="859090872"/>
        <c:crosses val="autoZero"/>
        <c:auto val="1"/>
        <c:lblAlgn val="ctr"/>
        <c:lblOffset val="100"/>
        <c:noMultiLvlLbl val="0"/>
      </c:catAx>
      <c:valAx>
        <c:axId val="859090872"/>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2C307E"/>
                </a:solidFill>
                <a:latin typeface="+mn-lt"/>
                <a:ea typeface="+mn-ea"/>
                <a:cs typeface="+mn-cs"/>
              </a:defRPr>
            </a:pPr>
            <a:endParaRPr lang="nl-NL"/>
          </a:p>
        </c:txPr>
        <c:crossAx val="859086912"/>
        <c:crosses val="autoZero"/>
        <c:crossBetween val="between"/>
        <c:majorUnit val="0.2"/>
      </c:valAx>
      <c:spPr>
        <a:noFill/>
        <a:ln>
          <a:noFill/>
        </a:ln>
      </c:spPr>
    </c:plotArea>
    <c:legend>
      <c:legendPos val="b"/>
      <c:layout>
        <c:manualLayout>
          <c:xMode val="edge"/>
          <c:yMode val="edge"/>
          <c:x val="4.9195757115352921E-2"/>
          <c:y val="0.66157646563769656"/>
          <c:w val="0.89344105340584345"/>
          <c:h val="0.31566386899676685"/>
        </c:manualLayout>
      </c:layout>
      <c:overlay val="0"/>
      <c:txPr>
        <a:bodyPr/>
        <a:lstStyle/>
        <a:p>
          <a:pPr algn="ctr">
            <a:defRPr lang="en-US" sz="900" b="0" i="0" u="none" strike="noStrike" kern="1200" baseline="0">
              <a:solidFill>
                <a:srgbClr val="2C307E"/>
              </a:solidFill>
              <a:latin typeface="+mn-lt"/>
              <a:ea typeface="+mn-ea"/>
              <a:cs typeface="+mn-cs"/>
            </a:defRPr>
          </a:pPr>
          <a:endParaRPr lang="nl-NL"/>
        </a:p>
      </c:txPr>
    </c:legend>
    <c:plotVisOnly val="1"/>
    <c:dispBlanksAs val="gap"/>
    <c:showDLblsOverMax val="0"/>
    <c:extLst/>
  </c:chart>
  <c:spPr>
    <a:noFill/>
    <a:ln>
      <a:noFill/>
    </a:ln>
  </c:spPr>
  <c:txPr>
    <a:bodyPr/>
    <a:lstStyle/>
    <a:p>
      <a:pPr>
        <a:defRPr/>
      </a:pPr>
      <a:endParaRPr lang="nl-NL"/>
    </a:p>
  </c:txPr>
  <c:externalData r:id="rId1">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rgbClr val="2C307E"/>
                </a:solidFill>
                <a:latin typeface="+mn-lt"/>
                <a:ea typeface="+mn-ea"/>
                <a:cs typeface="+mn-cs"/>
              </a:defRPr>
            </a:pPr>
            <a:r>
              <a:rPr lang="nl-NL" sz="1100">
                <a:solidFill>
                  <a:srgbClr val="2C307E"/>
                </a:solidFill>
              </a:rPr>
              <a:t>Met welke aspecten heb je rekening gehouden bij je keuze voor een laadpas?  </a:t>
            </a:r>
          </a:p>
        </c:rich>
      </c:tx>
      <c:overlay val="0"/>
      <c:spPr>
        <a:noFill/>
        <a:ln>
          <a:noFill/>
        </a:ln>
        <a:effectLst/>
      </c:spPr>
    </c:title>
    <c:autoTitleDeleted val="0"/>
    <c:plotArea>
      <c:layout>
        <c:manualLayout>
          <c:layoutTarget val="inner"/>
          <c:xMode val="edge"/>
          <c:yMode val="edge"/>
          <c:x val="0.54208286733168398"/>
          <c:y val="0.25493894758395508"/>
          <c:w val="0.38566734276325698"/>
          <c:h val="0.54666693480124828"/>
        </c:manualLayout>
      </c:layout>
      <c:barChart>
        <c:barDir val="bar"/>
        <c:grouping val="clustered"/>
        <c:varyColors val="0"/>
        <c:ser>
          <c:idx val="0"/>
          <c:order val="0"/>
          <c:tx>
            <c:strRef>
              <c:f>'3.3 laadgedrag algemeen'!$E$183</c:f>
              <c:strCache>
                <c:ptCount val="1"/>
                <c:pt idx="0">
                  <c:v>2025</c:v>
                </c:pt>
              </c:strCache>
            </c:strRef>
          </c:tx>
          <c:spPr>
            <a:solidFill>
              <a:srgbClr val="C9C743"/>
            </a:solidFill>
            <a:ln>
              <a:noFill/>
            </a:ln>
            <a:effectLst/>
          </c:spPr>
          <c:invertIfNegative val="0"/>
          <c:dLbls>
            <c:spPr>
              <a:noFill/>
              <a:ln>
                <a:noFill/>
              </a:ln>
              <a:effectLst/>
            </c:spPr>
            <c:txPr>
              <a:bodyPr wrap="square" lIns="38100" tIns="19050" rIns="38100" bIns="19050" anchor="ctr">
                <a:spAutoFit/>
              </a:bodyPr>
              <a:lstStyle/>
              <a:p>
                <a:pPr>
                  <a:defRPr sz="800" b="1">
                    <a:solidFill>
                      <a:srgbClr val="2C307E"/>
                    </a:solidFill>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'3.3 laadgedrag algemeen'!$C$184:$C$188</c:f>
              <c:strCache>
                <c:ptCount val="5"/>
                <c:pt idx="0">
                  <c:v>Breedste dekking (ook internationaal)</c:v>
                </c:pt>
                <c:pt idx="1">
                  <c:v>Laagste kosten bij de paal die ik het meest gebruik   </c:v>
                </c:pt>
                <c:pt idx="2">
                  <c:v>Duurzaamheid aanbieder   </c:v>
                </c:pt>
                <c:pt idx="3">
                  <c:v>Goedkoopste tarieven in mix snel, werk en openbaar  </c:v>
                </c:pt>
                <c:pt idx="4">
                  <c:v>Één overzichtelijk vast tarief </c:v>
                </c:pt>
              </c:strCache>
            </c:strRef>
          </c:cat>
          <c:val>
            <c:numRef>
              <c:f>'3.3 laadgedrag algemeen'!$E$184:$E$188</c:f>
              <c:numCache>
                <c:formatCode>0%</c:formatCode>
                <c:ptCount val="5"/>
                <c:pt idx="0">
                  <c:v>0.53276955602537002</c:v>
                </c:pt>
                <c:pt idx="1">
                  <c:v>0.35835095137420719</c:v>
                </c:pt>
                <c:pt idx="2">
                  <c:v>0.10887949260042283</c:v>
                </c:pt>
                <c:pt idx="3">
                  <c:v>0.30021141649048627</c:v>
                </c:pt>
                <c:pt idx="4">
                  <c:v>0.10887949260042283</c:v>
                </c:pt>
              </c:numCache>
            </c:numRef>
          </c:val>
          <c:extLst>
            <c:ext xmlns:c16="http://schemas.microsoft.com/office/drawing/2014/chart" uri="{C3380CC4-5D6E-409C-BE32-E72D297353CC}">
              <c16:uniqueId val="{00000000-FFD6-4419-A5EB-013EB79A3EAA}"/>
            </c:ext>
          </c:extLst>
        </c:ser>
        <c:ser>
          <c:idx val="2"/>
          <c:order val="1"/>
          <c:tx>
            <c:strRef>
              <c:f>'3.3 laadgedrag algemeen'!$F$183</c:f>
              <c:strCache>
                <c:ptCount val="1"/>
                <c:pt idx="0">
                  <c:v>2024</c:v>
                </c:pt>
              </c:strCache>
            </c:strRef>
          </c:tx>
          <c:spPr>
            <a:solidFill>
              <a:srgbClr val="08B466"/>
            </a:solidFill>
          </c:spPr>
          <c:invertIfNegative val="0"/>
          <c:val>
            <c:numRef>
              <c:f>'3.3 laadgedrag algemeen'!$F$184:$F$188</c:f>
              <c:numCache>
                <c:formatCode>0%</c:formatCode>
                <c:ptCount val="5"/>
                <c:pt idx="0">
                  <c:v>0.69510061242344712</c:v>
                </c:pt>
                <c:pt idx="1">
                  <c:v>0.45231846019247596</c:v>
                </c:pt>
                <c:pt idx="2">
                  <c:v>0.10104986876640421</c:v>
                </c:pt>
                <c:pt idx="3">
                  <c:v>0.15923009623797024</c:v>
                </c:pt>
                <c:pt idx="4">
                  <c:v>0.12467191601049869</c:v>
                </c:pt>
              </c:numCache>
            </c:numRef>
          </c:val>
          <c:extLst>
            <c:ext xmlns:c16="http://schemas.microsoft.com/office/drawing/2014/chart" uri="{C3380CC4-5D6E-409C-BE32-E72D297353CC}">
              <c16:uniqueId val="{00000001-FFD6-4419-A5EB-013EB79A3EAA}"/>
            </c:ext>
          </c:extLst>
        </c:ser>
        <c:ser>
          <c:idx val="1"/>
          <c:order val="2"/>
          <c:tx>
            <c:strRef>
              <c:f>'3.3 laadgedrag algemeen'!$G$183</c:f>
              <c:strCache>
                <c:ptCount val="1"/>
                <c:pt idx="0">
                  <c:v>2023</c:v>
                </c:pt>
              </c:strCache>
            </c:strRef>
          </c:tx>
          <c:spPr>
            <a:solidFill>
              <a:srgbClr val="2C307E"/>
            </a:solidFill>
          </c:spPr>
          <c:invertIfNegative val="0"/>
          <c:cat>
            <c:strRef>
              <c:f>'3.3 laadgedrag algemeen'!$C$184:$C$188</c:f>
              <c:strCache>
                <c:ptCount val="5"/>
                <c:pt idx="0">
                  <c:v>Breedste dekking (ook internationaal)</c:v>
                </c:pt>
                <c:pt idx="1">
                  <c:v>Laagste kosten bij de paal die ik het meest gebruik   </c:v>
                </c:pt>
                <c:pt idx="2">
                  <c:v>Duurzaamheid aanbieder   </c:v>
                </c:pt>
                <c:pt idx="3">
                  <c:v>Goedkoopste tarieven in mix snel, werk en openbaar  </c:v>
                </c:pt>
                <c:pt idx="4">
                  <c:v>Één overzichtelijk vast tarief </c:v>
                </c:pt>
              </c:strCache>
            </c:strRef>
          </c:cat>
          <c:val>
            <c:numRef>
              <c:f>'3.3 laadgedrag algemeen'!$G$184:$G$188</c:f>
              <c:numCache>
                <c:formatCode>0%</c:formatCode>
                <c:ptCount val="5"/>
                <c:pt idx="0">
                  <c:v>0.65</c:v>
                </c:pt>
                <c:pt idx="1">
                  <c:v>0.46</c:v>
                </c:pt>
                <c:pt idx="2">
                  <c:v>0.11</c:v>
                </c:pt>
                <c:pt idx="3">
                  <c:v>0.19</c:v>
                </c:pt>
              </c:numCache>
            </c:numRef>
          </c:val>
          <c:extLst>
            <c:ext xmlns:c16="http://schemas.microsoft.com/office/drawing/2014/chart" uri="{C3380CC4-5D6E-409C-BE32-E72D297353CC}">
              <c16:uniqueId val="{00000002-FFD6-4419-A5EB-013EB79A3EAA}"/>
            </c:ext>
          </c:extLst>
        </c:ser>
        <c:dLbls>
          <c:showLegendKey val="0"/>
          <c:showVal val="0"/>
          <c:showCatName val="0"/>
          <c:showSerName val="0"/>
          <c:showPercent val="0"/>
          <c:showBubbleSize val="0"/>
        </c:dLbls>
        <c:gapWidth val="219"/>
        <c:axId val="656388416"/>
        <c:axId val="656385896"/>
      </c:barChart>
      <c:catAx>
        <c:axId val="65638841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2C307E"/>
                </a:solidFill>
                <a:latin typeface="+mn-lt"/>
                <a:ea typeface="+mn-ea"/>
                <a:cs typeface="+mn-cs"/>
              </a:defRPr>
            </a:pPr>
            <a:endParaRPr lang="nl-NL"/>
          </a:p>
        </c:txPr>
        <c:crossAx val="656385896"/>
        <c:crosses val="autoZero"/>
        <c:auto val="1"/>
        <c:lblAlgn val="ctr"/>
        <c:lblOffset val="100"/>
        <c:noMultiLvlLbl val="0"/>
      </c:catAx>
      <c:valAx>
        <c:axId val="656385896"/>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2C307E"/>
                </a:solidFill>
                <a:latin typeface="+mn-lt"/>
                <a:ea typeface="+mn-ea"/>
                <a:cs typeface="+mn-cs"/>
              </a:defRPr>
            </a:pPr>
            <a:endParaRPr lang="nl-NL"/>
          </a:p>
        </c:txPr>
        <c:crossAx val="656388416"/>
        <c:crosses val="autoZero"/>
        <c:crossBetween val="between"/>
      </c:valAx>
    </c:plotArea>
    <c:legend>
      <c:legendPos val="b"/>
      <c:layout>
        <c:manualLayout>
          <c:xMode val="edge"/>
          <c:yMode val="edge"/>
          <c:x val="0.26265999389961475"/>
          <c:y val="0.91055732744440221"/>
          <c:w val="0.48424443716414933"/>
          <c:h val="8.4438919740986842E-2"/>
        </c:manualLayout>
      </c:layout>
      <c:overlay val="0"/>
      <c:txPr>
        <a:bodyPr/>
        <a:lstStyle/>
        <a:p>
          <a:pPr>
            <a:defRPr sz="900">
              <a:solidFill>
                <a:srgbClr val="2C307E"/>
              </a:solidFill>
            </a:defRPr>
          </a:pPr>
          <a:endParaRPr lang="nl-NL"/>
        </a:p>
      </c:txPr>
    </c:legend>
    <c:plotVisOnly val="1"/>
    <c:dispBlanksAs val="gap"/>
    <c:showDLblsOverMax val="0"/>
    <c:extLst/>
  </c:chart>
  <c:spPr>
    <a:noFill/>
    <a:ln>
      <a:noFill/>
    </a:ln>
  </c:spPr>
  <c:txPr>
    <a:bodyPr/>
    <a:lstStyle/>
    <a:p>
      <a:pPr>
        <a:defRPr/>
      </a:pPr>
      <a:endParaRPr lang="nl-NL"/>
    </a:p>
  </c:txPr>
  <c:externalData r:id="rId1">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50" b="0" i="0" u="none" strike="noStrike" kern="1200" spc="0" baseline="0">
                <a:solidFill>
                  <a:srgbClr val="2C307E"/>
                </a:solidFill>
                <a:latin typeface="+mn-lt"/>
                <a:ea typeface="+mn-ea"/>
                <a:cs typeface="+mn-cs"/>
              </a:defRPr>
            </a:pPr>
            <a:r>
              <a:rPr lang="nl-NL" sz="1050">
                <a:solidFill>
                  <a:srgbClr val="2C307E"/>
                </a:solidFill>
              </a:rPr>
              <a:t>Ik ben bereid een andere laadpasaanbieder te gebruiken als dat laadtarief...</a:t>
            </a:r>
          </a:p>
        </c:rich>
      </c:tx>
      <c:layout>
        <c:manualLayout>
          <c:xMode val="edge"/>
          <c:yMode val="edge"/>
          <c:x val="0.13359054738365081"/>
          <c:y val="2.10896309314587E-2"/>
        </c:manualLayout>
      </c:layout>
      <c:overlay val="0"/>
      <c:spPr>
        <a:noFill/>
        <a:ln>
          <a:noFill/>
        </a:ln>
        <a:effectLst/>
      </c:spPr>
    </c:title>
    <c:autoTitleDeleted val="0"/>
    <c:plotArea>
      <c:layout>
        <c:manualLayout>
          <c:layoutTarget val="inner"/>
          <c:xMode val="edge"/>
          <c:yMode val="edge"/>
          <c:x val="0.16862393647623081"/>
          <c:y val="0.26180190314048585"/>
          <c:w val="0.78256779875025873"/>
          <c:h val="0.42596297084486062"/>
        </c:manualLayout>
      </c:layout>
      <c:barChart>
        <c:barDir val="col"/>
        <c:grouping val="stacked"/>
        <c:varyColors val="0"/>
        <c:ser>
          <c:idx val="0"/>
          <c:order val="0"/>
          <c:tx>
            <c:strRef>
              <c:f>'3.3b betaalmethodes'!$B$178</c:f>
              <c:strCache>
                <c:ptCount val="1"/>
                <c:pt idx="0">
                  <c:v>&gt; 10% lager is</c:v>
                </c:pt>
              </c:strCache>
            </c:strRef>
          </c:tx>
          <c:spPr>
            <a:solidFill>
              <a:srgbClr val="2C307E"/>
            </a:solidFill>
            <a:ln>
              <a:noFill/>
            </a:ln>
            <a:effectLst/>
          </c:spPr>
          <c:invertIfNegative val="0"/>
          <c:dLbls>
            <c:spPr>
              <a:noFill/>
              <a:ln>
                <a:noFill/>
              </a:ln>
              <a:effectLst/>
            </c:spPr>
            <c:txPr>
              <a:bodyPr wrap="square" lIns="38100" tIns="19050" rIns="38100" bIns="19050" anchor="ctr" anchorCtr="0">
                <a:spAutoFit/>
              </a:bodyPr>
              <a:lstStyle/>
              <a:p>
                <a:pPr algn="ctr">
                  <a:defRPr lang="en-US" sz="800" b="1" i="0" u="none" strike="noStrike" kern="1200" baseline="0">
                    <a:solidFill>
                      <a:schemeClr val="bg1"/>
                    </a:solidFill>
                    <a:latin typeface="+mn-lt"/>
                    <a:ea typeface="+mn-ea"/>
                    <a:cs typeface="+mn-cs"/>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'3.3b betaalmethodes'!$F$177:$G$177</c:f>
              <c:strCache>
                <c:ptCount val="2"/>
                <c:pt idx="0">
                  <c:v>Ik betaal zelf, privé [N=685]</c:v>
                </c:pt>
                <c:pt idx="1">
                  <c:v>Mijn werkgever betaalt mijn laadkosten [N=298]</c:v>
                </c:pt>
              </c:strCache>
              <c:extLst/>
            </c:strRef>
          </c:cat>
          <c:val>
            <c:numRef>
              <c:f>'3.3b betaalmethodes'!$F$178:$G$178</c:f>
              <c:numCache>
                <c:formatCode>0%</c:formatCode>
                <c:ptCount val="2"/>
                <c:pt idx="0">
                  <c:v>0.53576642335766422</c:v>
                </c:pt>
                <c:pt idx="1">
                  <c:v>0.25503355704697989</c:v>
                </c:pt>
              </c:numCache>
              <c:extLst/>
            </c:numRef>
          </c:val>
          <c:extLst>
            <c:ext xmlns:c16="http://schemas.microsoft.com/office/drawing/2014/chart" uri="{C3380CC4-5D6E-409C-BE32-E72D297353CC}">
              <c16:uniqueId val="{00000000-D6CE-4DE8-82D1-0540FF823521}"/>
            </c:ext>
          </c:extLst>
        </c:ser>
        <c:ser>
          <c:idx val="1"/>
          <c:order val="1"/>
          <c:tx>
            <c:strRef>
              <c:f>'3.3b betaalmethodes'!$B$179</c:f>
              <c:strCache>
                <c:ptCount val="1"/>
                <c:pt idx="0">
                  <c:v>&gt; 20 % lager is</c:v>
                </c:pt>
              </c:strCache>
            </c:strRef>
          </c:tx>
          <c:spPr>
            <a:solidFill>
              <a:srgbClr val="08B466"/>
            </a:solidFill>
            <a:ln>
              <a:noFill/>
            </a:ln>
            <a:effectLst/>
          </c:spPr>
          <c:invertIfNegative val="0"/>
          <c:dLbls>
            <c:dLbl>
              <c:idx val="0"/>
              <c:layout>
                <c:manualLayout>
                  <c:x val="0"/>
                  <c:y val="1.405975395430573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6CE-4DE8-82D1-0540FF823521}"/>
                </c:ext>
              </c:extLst>
            </c:dLbl>
            <c:spPr>
              <a:noFill/>
              <a:ln>
                <a:noFill/>
              </a:ln>
              <a:effectLst/>
            </c:spPr>
            <c:txPr>
              <a:bodyPr wrap="square" lIns="38100" tIns="19050" rIns="38100" bIns="19050" anchor="ctr" anchorCtr="0">
                <a:spAutoFit/>
              </a:bodyPr>
              <a:lstStyle/>
              <a:p>
                <a:pPr algn="ctr">
                  <a:defRPr lang="en-US" sz="800" b="1" i="0" u="none" strike="noStrike" kern="1200" baseline="0">
                    <a:solidFill>
                      <a:schemeClr val="bg1"/>
                    </a:solidFill>
                    <a:latin typeface="+mn-lt"/>
                    <a:ea typeface="+mn-ea"/>
                    <a:cs typeface="+mn-cs"/>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'3.3b betaalmethodes'!$F$177:$G$177</c:f>
              <c:strCache>
                <c:ptCount val="2"/>
                <c:pt idx="0">
                  <c:v>Ik betaal zelf, privé [N=685]</c:v>
                </c:pt>
                <c:pt idx="1">
                  <c:v>Mijn werkgever betaalt mijn laadkosten [N=298]</c:v>
                </c:pt>
              </c:strCache>
              <c:extLst/>
            </c:strRef>
          </c:cat>
          <c:val>
            <c:numRef>
              <c:f>'3.3b betaalmethodes'!$F$179:$G$179</c:f>
              <c:numCache>
                <c:formatCode>0%</c:formatCode>
                <c:ptCount val="2"/>
                <c:pt idx="0">
                  <c:v>0.26423357664233577</c:v>
                </c:pt>
                <c:pt idx="1">
                  <c:v>0.21812080536912751</c:v>
                </c:pt>
              </c:numCache>
              <c:extLst/>
            </c:numRef>
          </c:val>
          <c:extLst>
            <c:ext xmlns:c16="http://schemas.microsoft.com/office/drawing/2014/chart" uri="{C3380CC4-5D6E-409C-BE32-E72D297353CC}">
              <c16:uniqueId val="{00000001-D6CE-4DE8-82D1-0540FF823521}"/>
            </c:ext>
          </c:extLst>
        </c:ser>
        <c:ser>
          <c:idx val="2"/>
          <c:order val="2"/>
          <c:tx>
            <c:strRef>
              <c:f>'3.3b betaalmethodes'!$B$180</c:f>
              <c:strCache>
                <c:ptCount val="1"/>
                <c:pt idx="0">
                  <c:v>&gt; 30% lager is</c:v>
                </c:pt>
              </c:strCache>
            </c:strRef>
          </c:tx>
          <c:spPr>
            <a:solidFill>
              <a:srgbClr val="C9C743"/>
            </a:solidFill>
          </c:spPr>
          <c:invertIfNegative val="0"/>
          <c:dLbls>
            <c:dLbl>
              <c:idx val="0"/>
              <c:layout>
                <c:manualLayout>
                  <c:x val="0"/>
                  <c:y val="1.405975395430579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D6CE-4DE8-82D1-0540FF823521}"/>
                </c:ext>
              </c:extLst>
            </c:dLbl>
            <c:dLbl>
              <c:idx val="1"/>
              <c:layout>
                <c:manualLayout>
                  <c:x val="0"/>
                  <c:y val="-7.029876977152899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6CE-4DE8-82D1-0540FF823521}"/>
                </c:ext>
              </c:extLst>
            </c:dLbl>
            <c:spPr>
              <a:noFill/>
              <a:ln>
                <a:noFill/>
              </a:ln>
              <a:effectLst/>
            </c:spPr>
            <c:txPr>
              <a:bodyPr wrap="square" lIns="38100" tIns="19050" rIns="38100" bIns="19050" anchor="ctr" anchorCtr="0">
                <a:spAutoFit/>
              </a:bodyPr>
              <a:lstStyle/>
              <a:p>
                <a:pPr algn="ctr">
                  <a:defRPr lang="en-US" sz="800" b="1" i="0" u="none" strike="noStrike" kern="1200" baseline="0">
                    <a:solidFill>
                      <a:schemeClr val="bg1"/>
                    </a:solidFill>
                    <a:latin typeface="+mn-lt"/>
                    <a:ea typeface="+mn-ea"/>
                    <a:cs typeface="+mn-cs"/>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'3.3b betaalmethodes'!$F$177:$G$177</c:f>
              <c:strCache>
                <c:ptCount val="2"/>
                <c:pt idx="0">
                  <c:v>Ik betaal zelf, privé [N=685]</c:v>
                </c:pt>
                <c:pt idx="1">
                  <c:v>Mijn werkgever betaalt mijn laadkosten [N=298]</c:v>
                </c:pt>
              </c:strCache>
              <c:extLst/>
            </c:strRef>
          </c:cat>
          <c:val>
            <c:numRef>
              <c:f>'3.3b betaalmethodes'!$F$180:$G$180</c:f>
              <c:numCache>
                <c:formatCode>0%</c:formatCode>
                <c:ptCount val="2"/>
                <c:pt idx="0">
                  <c:v>0.11240875912408758</c:v>
                </c:pt>
                <c:pt idx="1">
                  <c:v>7.3825503355704702E-2</c:v>
                </c:pt>
              </c:numCache>
              <c:extLst/>
            </c:numRef>
          </c:val>
          <c:extLst>
            <c:ext xmlns:c16="http://schemas.microsoft.com/office/drawing/2014/chart" uri="{C3380CC4-5D6E-409C-BE32-E72D297353CC}">
              <c16:uniqueId val="{00000002-D6CE-4DE8-82D1-0540FF823521}"/>
            </c:ext>
          </c:extLst>
        </c:ser>
        <c:ser>
          <c:idx val="3"/>
          <c:order val="3"/>
          <c:tx>
            <c:strRef>
              <c:f>'3.3b betaalmethodes'!$B$181</c:f>
              <c:strCache>
                <c:ptCount val="1"/>
                <c:pt idx="0">
                  <c:v>Ik ben hier niet toe bereid.</c:v>
                </c:pt>
              </c:strCache>
            </c:strRef>
          </c:tx>
          <c:spPr>
            <a:solidFill>
              <a:srgbClr val="BAD6ED"/>
            </a:solidFill>
          </c:spPr>
          <c:invertIfNegative val="0"/>
          <c:dLbls>
            <c:dLbl>
              <c:idx val="0"/>
              <c:layout>
                <c:manualLayout>
                  <c:x val="0"/>
                  <c:y val="-1.405975395430579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D6CE-4DE8-82D1-0540FF823521}"/>
                </c:ext>
              </c:extLst>
            </c:dLbl>
            <c:spPr>
              <a:noFill/>
              <a:ln>
                <a:noFill/>
              </a:ln>
              <a:effectLst/>
            </c:spPr>
            <c:txPr>
              <a:bodyPr wrap="square" lIns="38100" tIns="19050" rIns="38100" bIns="19050" anchor="ctr" anchorCtr="0">
                <a:spAutoFit/>
              </a:bodyPr>
              <a:lstStyle/>
              <a:p>
                <a:pPr algn="ctr">
                  <a:defRPr lang="en-US" sz="800" b="1" i="0" u="none" strike="noStrike" kern="1200" baseline="0">
                    <a:solidFill>
                      <a:srgbClr val="002060"/>
                    </a:solidFill>
                    <a:latin typeface="+mn-lt"/>
                    <a:ea typeface="+mn-ea"/>
                    <a:cs typeface="+mn-cs"/>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'3.3b betaalmethodes'!$F$177:$G$177</c:f>
              <c:strCache>
                <c:ptCount val="2"/>
                <c:pt idx="0">
                  <c:v>Ik betaal zelf, privé [N=685]</c:v>
                </c:pt>
                <c:pt idx="1">
                  <c:v>Mijn werkgever betaalt mijn laadkosten [N=298]</c:v>
                </c:pt>
              </c:strCache>
              <c:extLst/>
            </c:strRef>
          </c:cat>
          <c:val>
            <c:numRef>
              <c:f>'3.3b betaalmethodes'!$F$181:$G$181</c:f>
              <c:numCache>
                <c:formatCode>0%</c:formatCode>
                <c:ptCount val="2"/>
                <c:pt idx="0">
                  <c:v>8.7591240875912413E-2</c:v>
                </c:pt>
                <c:pt idx="1">
                  <c:v>0.45302013422818793</c:v>
                </c:pt>
              </c:numCache>
              <c:extLst/>
            </c:numRef>
          </c:val>
          <c:extLst>
            <c:ext xmlns:c16="http://schemas.microsoft.com/office/drawing/2014/chart" uri="{C3380CC4-5D6E-409C-BE32-E72D297353CC}">
              <c16:uniqueId val="{00000003-D6CE-4DE8-82D1-0540FF823521}"/>
            </c:ext>
          </c:extLst>
        </c:ser>
        <c:dLbls>
          <c:showLegendKey val="0"/>
          <c:showVal val="0"/>
          <c:showCatName val="0"/>
          <c:showSerName val="0"/>
          <c:showPercent val="0"/>
          <c:showBubbleSize val="0"/>
        </c:dLbls>
        <c:gapWidth val="219"/>
        <c:overlap val="100"/>
        <c:axId val="859086912"/>
        <c:axId val="859090872"/>
      </c:barChart>
      <c:catAx>
        <c:axId val="8590869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rgbClr val="2C307E"/>
                </a:solidFill>
                <a:latin typeface="+mn-lt"/>
                <a:ea typeface="+mn-ea"/>
                <a:cs typeface="+mn-cs"/>
              </a:defRPr>
            </a:pPr>
            <a:endParaRPr lang="nl-NL"/>
          </a:p>
        </c:txPr>
        <c:crossAx val="859090872"/>
        <c:crosses val="autoZero"/>
        <c:auto val="1"/>
        <c:lblAlgn val="ctr"/>
        <c:lblOffset val="100"/>
        <c:noMultiLvlLbl val="0"/>
      </c:catAx>
      <c:valAx>
        <c:axId val="859090872"/>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2C307E"/>
                </a:solidFill>
                <a:latin typeface="+mn-lt"/>
                <a:ea typeface="+mn-ea"/>
                <a:cs typeface="+mn-cs"/>
              </a:defRPr>
            </a:pPr>
            <a:endParaRPr lang="nl-NL"/>
          </a:p>
        </c:txPr>
        <c:crossAx val="859086912"/>
        <c:crosses val="autoZero"/>
        <c:crossBetween val="between"/>
        <c:majorUnit val="0.25"/>
      </c:valAx>
      <c:spPr>
        <a:noFill/>
        <a:ln>
          <a:noFill/>
        </a:ln>
      </c:spPr>
    </c:plotArea>
    <c:legend>
      <c:legendPos val="b"/>
      <c:layout>
        <c:manualLayout>
          <c:xMode val="edge"/>
          <c:yMode val="edge"/>
          <c:x val="3.3117574795554702E-2"/>
          <c:y val="0.82482100106555223"/>
          <c:w val="0.93392604977462468"/>
          <c:h val="0.17413034105607117"/>
        </c:manualLayout>
      </c:layout>
      <c:overlay val="0"/>
      <c:txPr>
        <a:bodyPr/>
        <a:lstStyle/>
        <a:p>
          <a:pPr algn="ctr">
            <a:defRPr lang="en-US" sz="800" b="0" i="0" u="none" strike="noStrike" kern="1200" baseline="0">
              <a:solidFill>
                <a:srgbClr val="2C307E"/>
              </a:solidFill>
              <a:latin typeface="+mn-lt"/>
              <a:ea typeface="+mn-ea"/>
              <a:cs typeface="+mn-cs"/>
            </a:defRPr>
          </a:pPr>
          <a:endParaRPr lang="nl-NL"/>
        </a:p>
      </c:txPr>
    </c:legend>
    <c:plotVisOnly val="1"/>
    <c:dispBlanksAs val="gap"/>
    <c:showDLblsOverMax val="0"/>
    <c:extLst/>
  </c:chart>
  <c:spPr>
    <a:noFill/>
    <a:ln>
      <a:noFill/>
    </a:ln>
  </c:spPr>
  <c:txPr>
    <a:bodyPr/>
    <a:lstStyle/>
    <a:p>
      <a:pPr>
        <a:defRPr/>
      </a:pPr>
      <a:endParaRPr lang="nl-NL"/>
    </a:p>
  </c:txPr>
  <c:externalData r:id="rId1">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nl-NL" sz="1100" b="0">
                <a:solidFill>
                  <a:srgbClr val="2C307E"/>
                </a:solidFill>
              </a:rPr>
              <a:t>Ik ben weleens overgestapt naar een andere laadpas/laadapp omdat de prijs lager was. </a:t>
            </a:r>
          </a:p>
        </c:rich>
      </c:tx>
      <c:overlay val="0"/>
    </c:title>
    <c:autoTitleDeleted val="0"/>
    <c:plotArea>
      <c:layout>
        <c:manualLayout>
          <c:layoutTarget val="inner"/>
          <c:xMode val="edge"/>
          <c:yMode val="edge"/>
          <c:x val="0.14540494131203471"/>
          <c:y val="0.33761513205683236"/>
          <c:w val="0.80198865027093991"/>
          <c:h val="0.37168425902481744"/>
        </c:manualLayout>
      </c:layout>
      <c:barChart>
        <c:barDir val="col"/>
        <c:grouping val="clustered"/>
        <c:varyColors val="0"/>
        <c:ser>
          <c:idx val="0"/>
          <c:order val="0"/>
          <c:spPr>
            <a:solidFill>
              <a:srgbClr val="C9C743"/>
            </a:solidFill>
            <a:ln>
              <a:noFill/>
            </a:ln>
            <a:effectLst/>
          </c:spPr>
          <c:invertIfNegative val="0"/>
          <c:dLbls>
            <c:spPr>
              <a:noFill/>
              <a:ln>
                <a:noFill/>
              </a:ln>
              <a:effectLst/>
            </c:spPr>
            <c:txPr>
              <a:bodyPr wrap="square" lIns="38100" tIns="19050" rIns="38100" bIns="19050" anchor="ctr" anchorCtr="0">
                <a:spAutoFit/>
              </a:bodyPr>
              <a:lstStyle/>
              <a:p>
                <a:pPr algn="ctr">
                  <a:defRPr lang="en-US" sz="800" b="1" i="0" u="none" strike="noStrike" kern="1200" baseline="0">
                    <a:solidFill>
                      <a:srgbClr val="4EAFAA"/>
                    </a:solidFill>
                    <a:latin typeface="+mn-lt"/>
                    <a:ea typeface="+mn-ea"/>
                    <a:cs typeface="+mn-cs"/>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multiLvlStrRef>
              <c:f>'3.3 laadgedrag algemeen'!$P$240:$R$241</c:f>
              <c:multiLvlStrCache>
                <c:ptCount val="3"/>
                <c:lvl>
                  <c:pt idx="0">
                    <c:v>&gt; 10% lager is</c:v>
                  </c:pt>
                  <c:pt idx="1">
                    <c:v>&gt; 20 % lager is</c:v>
                  </c:pt>
                  <c:pt idx="2">
                    <c:v>&gt; 30% lager is</c:v>
                  </c:pt>
                </c:lvl>
                <c:lvl>
                  <c:pt idx="0">
                    <c:v>Ik ben bereid een andere laadpasaanbieder te gebruiken als dat laadtarief…</c:v>
                  </c:pt>
                </c:lvl>
              </c:multiLvlStrCache>
            </c:multiLvlStrRef>
          </c:cat>
          <c:val>
            <c:numRef>
              <c:f>'3.3 laadgedrag algemeen'!$P$242:$R$242</c:f>
              <c:numCache>
                <c:formatCode>0%</c:formatCode>
                <c:ptCount val="3"/>
                <c:pt idx="0">
                  <c:v>0.58880308880308885</c:v>
                </c:pt>
                <c:pt idx="1">
                  <c:v>0.3392857142857143</c:v>
                </c:pt>
                <c:pt idx="2">
                  <c:v>0.21428571428571427</c:v>
                </c:pt>
              </c:numCache>
            </c:numRef>
          </c:val>
          <c:extLst>
            <c:ext xmlns:c16="http://schemas.microsoft.com/office/drawing/2014/chart" uri="{C3380CC4-5D6E-409C-BE32-E72D297353CC}">
              <c16:uniqueId val="{00000000-500D-4A37-80D3-E3B5F6D03210}"/>
            </c:ext>
          </c:extLst>
        </c:ser>
        <c:dLbls>
          <c:showLegendKey val="0"/>
          <c:showVal val="0"/>
          <c:showCatName val="0"/>
          <c:showSerName val="0"/>
          <c:showPercent val="0"/>
          <c:showBubbleSize val="0"/>
        </c:dLbls>
        <c:gapWidth val="219"/>
        <c:overlap val="-27"/>
        <c:axId val="656388416"/>
        <c:axId val="656385896"/>
      </c:barChart>
      <c:catAx>
        <c:axId val="6563884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2C307E"/>
                </a:solidFill>
                <a:latin typeface="+mn-lt"/>
                <a:ea typeface="+mn-ea"/>
                <a:cs typeface="+mn-cs"/>
              </a:defRPr>
            </a:pPr>
            <a:endParaRPr lang="nl-NL"/>
          </a:p>
        </c:txPr>
        <c:crossAx val="656385896"/>
        <c:crosses val="autoZero"/>
        <c:auto val="1"/>
        <c:lblAlgn val="ctr"/>
        <c:lblOffset val="100"/>
        <c:noMultiLvlLbl val="0"/>
      </c:catAx>
      <c:valAx>
        <c:axId val="656385896"/>
        <c:scaling>
          <c:orientation val="minMax"/>
          <c:max val="0.60000000000000009"/>
        </c:scaling>
        <c:delete val="0"/>
        <c:axPos val="l"/>
        <c:majorGridlines>
          <c:spPr>
            <a:ln w="9525" cap="flat" cmpd="sng" algn="ctr">
              <a:no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2C307E"/>
                </a:solidFill>
                <a:latin typeface="+mn-lt"/>
                <a:ea typeface="+mn-ea"/>
                <a:cs typeface="+mn-cs"/>
              </a:defRPr>
            </a:pPr>
            <a:endParaRPr lang="nl-NL"/>
          </a:p>
        </c:txPr>
        <c:crossAx val="656388416"/>
        <c:crosses val="autoZero"/>
        <c:crossBetween val="between"/>
        <c:majorUnit val="0.2"/>
      </c:valAx>
      <c:spPr>
        <a:noFill/>
      </c:spPr>
    </c:plotArea>
    <c:plotVisOnly val="1"/>
    <c:dispBlanksAs val="gap"/>
    <c:showDLblsOverMax val="0"/>
    <c:extLst/>
  </c:chart>
  <c:spPr>
    <a:noFill/>
    <a:ln>
      <a:noFill/>
    </a:ln>
  </c:spPr>
  <c:txPr>
    <a:bodyPr/>
    <a:lstStyle/>
    <a:p>
      <a:pPr>
        <a:defRPr/>
      </a:pPr>
      <a:endParaRPr lang="nl-NL"/>
    </a:p>
  </c:txPr>
  <c:externalData r:id="rId1">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rgbClr val="2C307E"/>
                </a:solidFill>
                <a:latin typeface="+mn-lt"/>
                <a:ea typeface="+mn-ea"/>
                <a:cs typeface="+mn-cs"/>
              </a:defRPr>
            </a:pPr>
            <a:r>
              <a:rPr lang="nl-NL" sz="1100">
                <a:solidFill>
                  <a:srgbClr val="2C307E"/>
                </a:solidFill>
              </a:rPr>
              <a:t>Hoe belangrijk vind je het om met een pinpas of creditcard te kunnen betalen bij de openbare laadpaal?  </a:t>
            </a:r>
          </a:p>
        </c:rich>
      </c:tx>
      <c:overlay val="0"/>
      <c:spPr>
        <a:noFill/>
        <a:ln>
          <a:noFill/>
        </a:ln>
        <a:effectLst/>
      </c:spPr>
    </c:title>
    <c:autoTitleDeleted val="0"/>
    <c:plotArea>
      <c:layout>
        <c:manualLayout>
          <c:layoutTarget val="inner"/>
          <c:xMode val="edge"/>
          <c:yMode val="edge"/>
          <c:x val="0.14540494131203471"/>
          <c:y val="0.28733067457476907"/>
          <c:w val="0.80198865027093991"/>
          <c:h val="0.30884616695640316"/>
        </c:manualLayout>
      </c:layout>
      <c:barChart>
        <c:barDir val="col"/>
        <c:grouping val="clustered"/>
        <c:varyColors val="0"/>
        <c:ser>
          <c:idx val="0"/>
          <c:order val="0"/>
          <c:tx>
            <c:strRef>
              <c:f>'3.3b betaalmethodes'!$L$71</c:f>
              <c:strCache>
                <c:ptCount val="1"/>
                <c:pt idx="0">
                  <c:v>...met een pinpas of creditcard te kunnen betalen bij de laadpaal  </c:v>
                </c:pt>
              </c:strCache>
            </c:strRef>
          </c:tx>
          <c:spPr>
            <a:solidFill>
              <a:srgbClr val="C9C743"/>
            </a:solidFill>
            <a:ln>
              <a:noFill/>
            </a:ln>
            <a:effectLst/>
          </c:spPr>
          <c:invertIfNegative val="0"/>
          <c:dLbls>
            <c:spPr>
              <a:noFill/>
              <a:ln>
                <a:noFill/>
              </a:ln>
              <a:effectLst/>
            </c:spPr>
            <c:txPr>
              <a:bodyPr wrap="square" lIns="38100" tIns="19050" rIns="38100" bIns="19050" anchor="ctr" anchorCtr="0">
                <a:spAutoFit/>
              </a:bodyPr>
              <a:lstStyle/>
              <a:p>
                <a:pPr algn="ctr">
                  <a:defRPr lang="en-US" sz="800" b="1" i="0" u="none" strike="noStrike" kern="1200" baseline="0">
                    <a:solidFill>
                      <a:srgbClr val="4EAFAA"/>
                    </a:solidFill>
                    <a:latin typeface="+mn-lt"/>
                    <a:ea typeface="+mn-ea"/>
                    <a:cs typeface="+mn-cs"/>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'3.3b betaalmethodes'!$M$67:$Q$67</c:f>
              <c:strCache>
                <c:ptCount val="5"/>
                <c:pt idx="0">
                  <c:v>Onbelangrijk</c:v>
                </c:pt>
                <c:pt idx="1">
                  <c:v>Engiszins onbelangrijk</c:v>
                </c:pt>
                <c:pt idx="2">
                  <c:v>Neutraal</c:v>
                </c:pt>
                <c:pt idx="3">
                  <c:v>Enigszins belangrijk</c:v>
                </c:pt>
                <c:pt idx="4">
                  <c:v>Belangrijk</c:v>
                </c:pt>
              </c:strCache>
            </c:strRef>
          </c:cat>
          <c:val>
            <c:numRef>
              <c:f>'3.3b betaalmethodes'!$M$71:$Q$71</c:f>
              <c:numCache>
                <c:formatCode>0%</c:formatCode>
                <c:ptCount val="5"/>
                <c:pt idx="0">
                  <c:v>0.14425645592163847</c:v>
                </c:pt>
                <c:pt idx="1">
                  <c:v>0.10863757791629564</c:v>
                </c:pt>
                <c:pt idx="2">
                  <c:v>0.22439893143365983</c:v>
                </c:pt>
                <c:pt idx="3">
                  <c:v>0.24487978628673196</c:v>
                </c:pt>
                <c:pt idx="4">
                  <c:v>0.27782724844167411</c:v>
                </c:pt>
              </c:numCache>
            </c:numRef>
          </c:val>
          <c:extLst>
            <c:ext xmlns:c16="http://schemas.microsoft.com/office/drawing/2014/chart" uri="{C3380CC4-5D6E-409C-BE32-E72D297353CC}">
              <c16:uniqueId val="{00000000-7CD8-4090-B5EC-5048A0BF67E6}"/>
            </c:ext>
          </c:extLst>
        </c:ser>
        <c:dLbls>
          <c:showLegendKey val="0"/>
          <c:showVal val="0"/>
          <c:showCatName val="0"/>
          <c:showSerName val="0"/>
          <c:showPercent val="0"/>
          <c:showBubbleSize val="0"/>
        </c:dLbls>
        <c:gapWidth val="219"/>
        <c:overlap val="-27"/>
        <c:axId val="859086912"/>
        <c:axId val="859090872"/>
      </c:barChart>
      <c:catAx>
        <c:axId val="8590869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2C307E"/>
                </a:solidFill>
                <a:latin typeface="+mn-lt"/>
                <a:ea typeface="+mn-ea"/>
                <a:cs typeface="+mn-cs"/>
              </a:defRPr>
            </a:pPr>
            <a:endParaRPr lang="nl-NL"/>
          </a:p>
        </c:txPr>
        <c:crossAx val="859090872"/>
        <c:crosses val="autoZero"/>
        <c:auto val="1"/>
        <c:lblAlgn val="ctr"/>
        <c:lblOffset val="100"/>
        <c:noMultiLvlLbl val="0"/>
      </c:catAx>
      <c:valAx>
        <c:axId val="8590908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2C307E"/>
                </a:solidFill>
                <a:latin typeface="+mn-lt"/>
                <a:ea typeface="+mn-ea"/>
                <a:cs typeface="+mn-cs"/>
              </a:defRPr>
            </a:pPr>
            <a:endParaRPr lang="nl-NL"/>
          </a:p>
        </c:txPr>
        <c:crossAx val="859086912"/>
        <c:crosses val="autoZero"/>
        <c:crossBetween val="between"/>
        <c:majorUnit val="0.1"/>
      </c:valAx>
      <c:spPr>
        <a:noFill/>
        <a:ln>
          <a:noFill/>
        </a:ln>
      </c:spPr>
    </c:plotArea>
    <c:plotVisOnly val="1"/>
    <c:dispBlanksAs val="gap"/>
    <c:showDLblsOverMax val="0"/>
    <c:extLst/>
  </c:chart>
  <c:spPr>
    <a:noFill/>
    <a:ln>
      <a:noFill/>
    </a:ln>
  </c:spPr>
  <c:txPr>
    <a:bodyPr/>
    <a:lstStyle/>
    <a:p>
      <a:pPr>
        <a:defRPr/>
      </a:pPr>
      <a:endParaRPr lang="nl-NL"/>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b="0">
                <a:solidFill>
                  <a:srgbClr val="2C307E"/>
                </a:solidFill>
              </a:defRPr>
            </a:pPr>
            <a:r>
              <a:rPr lang="en-US" sz="1100" b="0">
                <a:solidFill>
                  <a:srgbClr val="2C307E"/>
                </a:solidFill>
              </a:rPr>
              <a:t>Constructie</a:t>
            </a:r>
          </a:p>
        </c:rich>
      </c:tx>
      <c:overlay val="0"/>
    </c:title>
    <c:autoTitleDeleted val="0"/>
    <c:plotArea>
      <c:layout/>
      <c:barChart>
        <c:barDir val="col"/>
        <c:grouping val="clustered"/>
        <c:varyColors val="0"/>
        <c:ser>
          <c:idx val="1"/>
          <c:order val="0"/>
          <c:tx>
            <c:strRef>
              <c:f>Prive_zakelijk!$K$3</c:f>
              <c:strCache>
                <c:ptCount val="1"/>
                <c:pt idx="0">
                  <c:v>Totaal wagenpark</c:v>
                </c:pt>
              </c:strCache>
            </c:strRef>
          </c:tx>
          <c:spPr>
            <a:solidFill>
              <a:srgbClr val="2C307E"/>
            </a:solidFill>
          </c:spPr>
          <c:invertIfNegative val="0"/>
          <c:dLbls>
            <c:spPr>
              <a:noFill/>
              <a:ln>
                <a:noFill/>
              </a:ln>
              <a:effectLst/>
            </c:spPr>
            <c:txPr>
              <a:bodyPr wrap="square" lIns="38100" tIns="19050" rIns="38100" bIns="19050" anchor="ctr">
                <a:spAutoFit/>
              </a:bodyPr>
              <a:lstStyle/>
              <a:p>
                <a:pPr>
                  <a:defRPr sz="800">
                    <a:solidFill>
                      <a:srgbClr val="2C307E"/>
                    </a:solidFill>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Prive_zakelijk!$K$5:$K$7</c:f>
              <c:strCache>
                <c:ptCount val="3"/>
                <c:pt idx="0">
                  <c:v>Privé koop</c:v>
                </c:pt>
                <c:pt idx="1">
                  <c:v>Private lease</c:v>
                </c:pt>
                <c:pt idx="2">
                  <c:v>Zakelijk</c:v>
                </c:pt>
              </c:strCache>
            </c:strRef>
          </c:cat>
          <c:val>
            <c:numRef>
              <c:f>Prive_zakelijk!$M$5:$M$7</c:f>
              <c:numCache>
                <c:formatCode>0%</c:formatCode>
                <c:ptCount val="3"/>
                <c:pt idx="0">
                  <c:v>0.36952962925109689</c:v>
                </c:pt>
                <c:pt idx="1">
                  <c:v>8.9516217238739204E-2</c:v>
                </c:pt>
                <c:pt idx="2">
                  <c:v>0.54095415351016385</c:v>
                </c:pt>
              </c:numCache>
            </c:numRef>
          </c:val>
          <c:extLst>
            <c:ext xmlns:c16="http://schemas.microsoft.com/office/drawing/2014/chart" uri="{C3380CC4-5D6E-409C-BE32-E72D297353CC}">
              <c16:uniqueId val="{00000000-E309-437F-959B-CB602DC7771A}"/>
            </c:ext>
          </c:extLst>
        </c:ser>
        <c:ser>
          <c:idx val="0"/>
          <c:order val="1"/>
          <c:tx>
            <c:strRef>
              <c:f>Prive_zakelijk!$G$3</c:f>
              <c:strCache>
                <c:ptCount val="1"/>
                <c:pt idx="0">
                  <c:v>Laadonderzoek</c:v>
                </c:pt>
              </c:strCache>
            </c:strRef>
          </c:tx>
          <c:spPr>
            <a:solidFill>
              <a:srgbClr val="08B466"/>
            </a:solidFill>
            <a:ln>
              <a:noFill/>
            </a:ln>
            <a:effectLst/>
          </c:spPr>
          <c:invertIfNegative val="0"/>
          <c:dLbls>
            <c:spPr>
              <a:noFill/>
              <a:ln>
                <a:noFill/>
              </a:ln>
              <a:effectLst/>
            </c:spPr>
            <c:txPr>
              <a:bodyPr wrap="square" lIns="38100" tIns="19050" rIns="38100" bIns="19050" anchor="ctr">
                <a:spAutoFit/>
              </a:bodyPr>
              <a:lstStyle/>
              <a:p>
                <a:pPr>
                  <a:defRPr sz="800">
                    <a:solidFill>
                      <a:srgbClr val="2C307E"/>
                    </a:solidFill>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Prive_zakelijk!$K$5:$K$7</c:f>
              <c:strCache>
                <c:ptCount val="3"/>
                <c:pt idx="0">
                  <c:v>Privé koop</c:v>
                </c:pt>
                <c:pt idx="1">
                  <c:v>Private lease</c:v>
                </c:pt>
                <c:pt idx="2">
                  <c:v>Zakelijk</c:v>
                </c:pt>
              </c:strCache>
            </c:strRef>
          </c:cat>
          <c:val>
            <c:numRef>
              <c:f>Prive_zakelijk!$I$5:$I$7</c:f>
              <c:numCache>
                <c:formatCode>0%</c:formatCode>
                <c:ptCount val="3"/>
                <c:pt idx="0">
                  <c:v>0.54494790404652294</c:v>
                </c:pt>
                <c:pt idx="1">
                  <c:v>0.10637266779743154</c:v>
                </c:pt>
                <c:pt idx="2">
                  <c:v>0.34867942815604558</c:v>
                </c:pt>
              </c:numCache>
            </c:numRef>
          </c:val>
          <c:extLst>
            <c:ext xmlns:c16="http://schemas.microsoft.com/office/drawing/2014/chart" uri="{C3380CC4-5D6E-409C-BE32-E72D297353CC}">
              <c16:uniqueId val="{00000001-E309-437F-959B-CB602DC7771A}"/>
            </c:ext>
          </c:extLst>
        </c:ser>
        <c:dLbls>
          <c:showLegendKey val="0"/>
          <c:showVal val="0"/>
          <c:showCatName val="0"/>
          <c:showSerName val="0"/>
          <c:showPercent val="0"/>
          <c:showBubbleSize val="0"/>
        </c:dLbls>
        <c:gapWidth val="219"/>
        <c:overlap val="-27"/>
        <c:axId val="488549280"/>
        <c:axId val="488558136"/>
      </c:barChart>
      <c:catAx>
        <c:axId val="4885492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sz="900" b="0" i="0" u="none" strike="noStrike" kern="1200" baseline="0">
                <a:solidFill>
                  <a:srgbClr val="2C307E"/>
                </a:solidFill>
                <a:latin typeface="+mn-lt"/>
                <a:ea typeface="+mn-ea"/>
                <a:cs typeface="+mn-cs"/>
              </a:defRPr>
            </a:pPr>
            <a:endParaRPr lang="nl-NL"/>
          </a:p>
        </c:txPr>
        <c:crossAx val="488558136"/>
        <c:crosses val="autoZero"/>
        <c:auto val="1"/>
        <c:lblAlgn val="ctr"/>
        <c:lblOffset val="100"/>
        <c:noMultiLvlLbl val="0"/>
      </c:catAx>
      <c:valAx>
        <c:axId val="488558136"/>
        <c:scaling>
          <c:orientation val="minMax"/>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2C307E"/>
                </a:solidFill>
                <a:latin typeface="+mn-lt"/>
                <a:ea typeface="+mn-ea"/>
                <a:cs typeface="+mn-cs"/>
              </a:defRPr>
            </a:pPr>
            <a:endParaRPr lang="nl-NL"/>
          </a:p>
        </c:txPr>
        <c:crossAx val="488549280"/>
        <c:crosses val="autoZero"/>
        <c:crossBetween val="between"/>
      </c:valAx>
      <c:spPr>
        <a:noFill/>
        <a:ln>
          <a:noFill/>
        </a:ln>
      </c:spPr>
    </c:plotArea>
    <c:legend>
      <c:legendPos val="b"/>
      <c:overlay val="0"/>
      <c:txPr>
        <a:bodyPr/>
        <a:lstStyle/>
        <a:p>
          <a:pPr>
            <a:defRPr sz="900">
              <a:solidFill>
                <a:srgbClr val="2C307E"/>
              </a:solidFill>
            </a:defRPr>
          </a:pPr>
          <a:endParaRPr lang="nl-NL"/>
        </a:p>
      </c:txPr>
    </c:legend>
    <c:plotVisOnly val="1"/>
    <c:dispBlanksAs val="gap"/>
    <c:showDLblsOverMax val="0"/>
    <c:extLst/>
  </c:chart>
  <c:spPr>
    <a:noFill/>
    <a:ln w="9525" cap="flat" cmpd="sng" algn="ctr">
      <a:noFill/>
      <a:round/>
    </a:ln>
    <a:effectLst/>
  </c:spPr>
  <c:txPr>
    <a:bodyPr/>
    <a:lstStyle/>
    <a:p>
      <a:pPr>
        <a:defRPr/>
      </a:pPr>
      <a:endParaRPr lang="nl-NL"/>
    </a:p>
  </c:txPr>
  <c:externalData r:id="rId1">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lgn="ctr" rtl="0">
              <a:defRPr lang="en-US" sz="1200" b="0" i="0" u="none" strike="noStrike" kern="1200" spc="0" baseline="0">
                <a:solidFill>
                  <a:srgbClr val="2C307E"/>
                </a:solidFill>
                <a:latin typeface="+mn-lt"/>
                <a:ea typeface="+mn-ea"/>
                <a:cs typeface="+mn-cs"/>
              </a:defRPr>
            </a:pPr>
            <a:r>
              <a:rPr lang="nl-NL" sz="1100" b="0" i="0" u="none" strike="noStrike" baseline="0">
                <a:effectLst/>
              </a:rPr>
              <a:t>Hoe heb je ad hoc geladen?</a:t>
            </a:r>
            <a:r>
              <a:rPr lang="nl-NL" sz="1100" b="0" i="0" u="none" strike="noStrike" baseline="0"/>
              <a:t> </a:t>
            </a:r>
            <a:endParaRPr lang="en-US" sz="1100" b="0" i="0" u="none" strike="noStrike" kern="1200" spc="0" baseline="0">
              <a:solidFill>
                <a:srgbClr val="2C307E"/>
              </a:solidFill>
              <a:latin typeface="+mn-lt"/>
              <a:ea typeface="+mn-ea"/>
              <a:cs typeface="+mn-cs"/>
            </a:endParaRPr>
          </a:p>
        </c:rich>
      </c:tx>
      <c:overlay val="0"/>
    </c:title>
    <c:autoTitleDeleted val="0"/>
    <c:plotArea>
      <c:layout>
        <c:manualLayout>
          <c:layoutTarget val="inner"/>
          <c:xMode val="edge"/>
          <c:yMode val="edge"/>
          <c:x val="0.33226197396466384"/>
          <c:y val="0.17337443668598027"/>
          <c:w val="0.27504130775599361"/>
          <c:h val="0.38661466844946268"/>
        </c:manualLayout>
      </c:layout>
      <c:pieChart>
        <c:varyColors val="1"/>
        <c:ser>
          <c:idx val="0"/>
          <c:order val="0"/>
          <c:spPr>
            <a:solidFill>
              <a:srgbClr val="08B466"/>
            </a:solidFill>
          </c:spPr>
          <c:dPt>
            <c:idx val="0"/>
            <c:bubble3D val="0"/>
            <c:spPr>
              <a:solidFill>
                <a:srgbClr val="2C307E"/>
              </a:solidFill>
              <a:ln w="19050">
                <a:noFill/>
              </a:ln>
              <a:effectLst/>
            </c:spPr>
            <c:extLst>
              <c:ext xmlns:c16="http://schemas.microsoft.com/office/drawing/2014/chart" uri="{C3380CC4-5D6E-409C-BE32-E72D297353CC}">
                <c16:uniqueId val="{00000001-298D-4B57-B2DF-2186ECA0DADC}"/>
              </c:ext>
            </c:extLst>
          </c:dPt>
          <c:dPt>
            <c:idx val="1"/>
            <c:bubble3D val="0"/>
            <c:spPr>
              <a:solidFill>
                <a:srgbClr val="08B466"/>
              </a:solidFill>
              <a:ln w="19050">
                <a:noFill/>
              </a:ln>
              <a:effectLst/>
            </c:spPr>
            <c:extLst>
              <c:ext xmlns:c16="http://schemas.microsoft.com/office/drawing/2014/chart" uri="{C3380CC4-5D6E-409C-BE32-E72D297353CC}">
                <c16:uniqueId val="{00000003-298D-4B57-B2DF-2186ECA0DADC}"/>
              </c:ext>
            </c:extLst>
          </c:dPt>
          <c:dPt>
            <c:idx val="2"/>
            <c:bubble3D val="0"/>
            <c:spPr>
              <a:solidFill>
                <a:srgbClr val="C9C743"/>
              </a:solidFill>
            </c:spPr>
            <c:extLst>
              <c:ext xmlns:c16="http://schemas.microsoft.com/office/drawing/2014/chart" uri="{C3380CC4-5D6E-409C-BE32-E72D297353CC}">
                <c16:uniqueId val="{00000005-298D-4B57-B2DF-2186ECA0DADC}"/>
              </c:ext>
            </c:extLst>
          </c:dPt>
          <c:dPt>
            <c:idx val="3"/>
            <c:bubble3D val="0"/>
            <c:spPr>
              <a:solidFill>
                <a:srgbClr val="BAD6ED"/>
              </a:solidFill>
            </c:spPr>
            <c:extLst>
              <c:ext xmlns:c16="http://schemas.microsoft.com/office/drawing/2014/chart" uri="{C3380CC4-5D6E-409C-BE32-E72D297353CC}">
                <c16:uniqueId val="{00000007-298D-4B57-B2DF-2186ECA0DADC}"/>
              </c:ext>
            </c:extLst>
          </c:dPt>
          <c:dPt>
            <c:idx val="4"/>
            <c:bubble3D val="0"/>
            <c:spPr>
              <a:solidFill>
                <a:srgbClr val="4EAFAA"/>
              </a:solidFill>
            </c:spPr>
            <c:extLst>
              <c:ext xmlns:c16="http://schemas.microsoft.com/office/drawing/2014/chart" uri="{C3380CC4-5D6E-409C-BE32-E72D297353CC}">
                <c16:uniqueId val="{00000009-298D-4B57-B2DF-2186ECA0DADC}"/>
              </c:ext>
            </c:extLst>
          </c:dPt>
          <c:dPt>
            <c:idx val="5"/>
            <c:bubble3D val="0"/>
            <c:spPr>
              <a:solidFill>
                <a:srgbClr val="696969"/>
              </a:solidFill>
            </c:spPr>
            <c:extLst>
              <c:ext xmlns:c16="http://schemas.microsoft.com/office/drawing/2014/chart" uri="{C3380CC4-5D6E-409C-BE32-E72D297353CC}">
                <c16:uniqueId val="{0000000B-298D-4B57-B2DF-2186ECA0DADC}"/>
              </c:ext>
            </c:extLst>
          </c:dPt>
          <c:dLbls>
            <c:dLbl>
              <c:idx val="3"/>
              <c:layout>
                <c:manualLayout>
                  <c:x val="5.2096742940689458E-2"/>
                  <c:y val="0.1088355389495115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298D-4B57-B2DF-2186ECA0DADC}"/>
                </c:ext>
              </c:extLst>
            </c:dLbl>
            <c:dLbl>
              <c:idx val="4"/>
              <c:layout>
                <c:manualLayout>
                  <c:x val="2.953213901953531E-2"/>
                  <c:y val="0.101472098596371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298D-4B57-B2DF-2186ECA0DADC}"/>
                </c:ext>
              </c:extLst>
            </c:dLbl>
            <c:spPr>
              <a:noFill/>
              <a:ln>
                <a:noFill/>
              </a:ln>
              <a:effectLst/>
            </c:spPr>
            <c:txPr>
              <a:bodyPr wrap="square" lIns="38100" tIns="19050" rIns="38100" bIns="19050" anchor="ctr">
                <a:spAutoFit/>
              </a:bodyPr>
              <a:lstStyle/>
              <a:p>
                <a:pPr>
                  <a:defRPr sz="800" b="1">
                    <a:solidFill>
                      <a:schemeClr val="bg1"/>
                    </a:solidFill>
                  </a:defRPr>
                </a:pPr>
                <a:endParaRPr lang="nl-NL"/>
              </a:p>
            </c:txPr>
            <c:showLegendKey val="0"/>
            <c:showVal val="1"/>
            <c:showCatName val="0"/>
            <c:showSerName val="0"/>
            <c:showPercent val="0"/>
            <c:showBubbleSize val="0"/>
            <c:showLeaderLines val="1"/>
            <c:extLst>
              <c:ext xmlns:c15="http://schemas.microsoft.com/office/drawing/2012/chart" uri="{CE6537A1-D6FC-4f65-9D91-7224C49458BB}"/>
            </c:extLst>
          </c:dLbls>
          <c:cat>
            <c:strRef>
              <c:f>'3.3b betaalmethodes'!$B$126:$B$130</c:f>
              <c:strCache>
                <c:ptCount val="5"/>
                <c:pt idx="0">
                  <c:v>Via een QR-code die verwijst naar een mobiele toepassing (app)  </c:v>
                </c:pt>
                <c:pt idx="1">
                  <c:v>Via een QR-code die verwijst naar een betaal-website  </c:v>
                </c:pt>
                <c:pt idx="2">
                  <c:v>Via contactloos betalen (pinpas of telefoon)</c:v>
                </c:pt>
                <c:pt idx="3">
                  <c:v>Via een pinpad  </c:v>
                </c:pt>
                <c:pt idx="4">
                  <c:v>anders namelijk</c:v>
                </c:pt>
              </c:strCache>
            </c:strRef>
          </c:cat>
          <c:val>
            <c:numRef>
              <c:f>'3.3b betaalmethodes'!$E$126:$E$130</c:f>
              <c:numCache>
                <c:formatCode>0%</c:formatCode>
                <c:ptCount val="5"/>
                <c:pt idx="0">
                  <c:v>0.23776223776223776</c:v>
                </c:pt>
                <c:pt idx="1">
                  <c:v>0.26923076923076922</c:v>
                </c:pt>
                <c:pt idx="2">
                  <c:v>0.3951048951048951</c:v>
                </c:pt>
                <c:pt idx="3">
                  <c:v>4.5454545454545456E-2</c:v>
                </c:pt>
                <c:pt idx="4">
                  <c:v>5.2447552447552448E-2</c:v>
                </c:pt>
              </c:numCache>
            </c:numRef>
          </c:val>
          <c:extLst>
            <c:ext xmlns:c16="http://schemas.microsoft.com/office/drawing/2014/chart" uri="{C3380CC4-5D6E-409C-BE32-E72D297353CC}">
              <c16:uniqueId val="{0000000C-298D-4B57-B2DF-2186ECA0DADC}"/>
            </c:ext>
          </c:extLst>
        </c:ser>
        <c:dLbls>
          <c:showLegendKey val="0"/>
          <c:showVal val="0"/>
          <c:showCatName val="0"/>
          <c:showSerName val="0"/>
          <c:showPercent val="0"/>
          <c:showBubbleSize val="0"/>
          <c:showLeaderLines val="1"/>
        </c:dLbls>
        <c:firstSliceAng val="0"/>
      </c:pieChart>
    </c:plotArea>
    <c:legend>
      <c:legendPos val="b"/>
      <c:layout>
        <c:manualLayout>
          <c:xMode val="edge"/>
          <c:yMode val="edge"/>
          <c:x val="1.1563242543032193E-2"/>
          <c:y val="0.56318011116760158"/>
          <c:w val="0.97687313834694622"/>
          <c:h val="0.40426427298866541"/>
        </c:manualLayout>
      </c:layout>
      <c:overlay val="0"/>
      <c:spPr>
        <a:noFill/>
        <a:ln>
          <a:noFill/>
        </a:ln>
        <a:effectLst/>
      </c:spPr>
      <c:txPr>
        <a:bodyPr rot="0" spcFirstLastPara="1" vertOverflow="ellipsis" vert="horz" wrap="square" anchor="ctr" anchorCtr="1"/>
        <a:lstStyle/>
        <a:p>
          <a:pPr>
            <a:defRPr sz="800" b="0" i="0" u="none" strike="noStrike" kern="1200" baseline="0">
              <a:solidFill>
                <a:srgbClr val="2C307E"/>
              </a:solidFill>
              <a:latin typeface="+mn-lt"/>
              <a:ea typeface="+mn-ea"/>
              <a:cs typeface="+mn-cs"/>
            </a:defRPr>
          </a:pPr>
          <a:endParaRPr lang="nl-NL"/>
        </a:p>
      </c:txPr>
    </c:legend>
    <c:plotVisOnly val="1"/>
    <c:dispBlanksAs val="gap"/>
    <c:showDLblsOverMax val="0"/>
    <c:extLst/>
  </c:chart>
  <c:spPr>
    <a:noFill/>
    <a:ln>
      <a:noFill/>
    </a:ln>
  </c:spPr>
  <c:txPr>
    <a:bodyPr/>
    <a:lstStyle/>
    <a:p>
      <a:pPr>
        <a:defRPr/>
      </a:pPr>
      <a:endParaRPr lang="nl-NL"/>
    </a:p>
  </c:txPr>
  <c:externalData r:id="rId1">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rgbClr val="2C307E"/>
                </a:solidFill>
                <a:latin typeface="+mn-lt"/>
                <a:ea typeface="+mn-ea"/>
                <a:cs typeface="+mn-cs"/>
              </a:defRPr>
            </a:pPr>
            <a:r>
              <a:rPr lang="nl-NL" sz="1100">
                <a:solidFill>
                  <a:srgbClr val="2C307E"/>
                </a:solidFill>
              </a:rPr>
              <a:t>Hoe gebruiksvriendelijk ervaar je ad hoc laden? </a:t>
            </a:r>
          </a:p>
        </c:rich>
      </c:tx>
      <c:overlay val="0"/>
      <c:spPr>
        <a:noFill/>
        <a:ln>
          <a:noFill/>
        </a:ln>
        <a:effectLst/>
      </c:spPr>
    </c:title>
    <c:autoTitleDeleted val="0"/>
    <c:plotArea>
      <c:layout>
        <c:manualLayout>
          <c:layoutTarget val="inner"/>
          <c:xMode val="edge"/>
          <c:yMode val="edge"/>
          <c:x val="0.14540494131203471"/>
          <c:y val="0.20151668351870575"/>
          <c:w val="0.80198865027093991"/>
          <c:h val="0.31462544684442256"/>
        </c:manualLayout>
      </c:layout>
      <c:barChart>
        <c:barDir val="col"/>
        <c:grouping val="clustered"/>
        <c:varyColors val="0"/>
        <c:ser>
          <c:idx val="0"/>
          <c:order val="0"/>
          <c:tx>
            <c:strRef>
              <c:f>'3.3b betaalmethodes'!$E$138</c:f>
              <c:strCache>
                <c:ptCount val="1"/>
                <c:pt idx="0">
                  <c:v>Openbare laadpaal [N=286]</c:v>
                </c:pt>
              </c:strCache>
            </c:strRef>
          </c:tx>
          <c:spPr>
            <a:solidFill>
              <a:srgbClr val="2C307E"/>
            </a:solidFill>
            <a:ln>
              <a:noFill/>
            </a:ln>
            <a:effectLst/>
          </c:spPr>
          <c:invertIfNegative val="0"/>
          <c:dLbls>
            <c:dLbl>
              <c:idx val="4"/>
              <c:layout>
                <c:manualLayout>
                  <c:x val="-4.7824007651842979E-3"/>
                  <c:y val="1.516683518705763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407-4DE0-9F37-5AB795981C03}"/>
                </c:ext>
              </c:extLst>
            </c:dLbl>
            <c:spPr>
              <a:noFill/>
              <a:ln>
                <a:noFill/>
              </a:ln>
              <a:effectLst/>
            </c:spPr>
            <c:txPr>
              <a:bodyPr wrap="square" lIns="38100" tIns="19050" rIns="38100" bIns="19050" anchor="ctr" anchorCtr="0">
                <a:spAutoFit/>
              </a:bodyPr>
              <a:lstStyle/>
              <a:p>
                <a:pPr algn="ctr">
                  <a:defRPr lang="en-US" sz="800" b="1" i="0" u="none" strike="noStrike" kern="1200" baseline="0">
                    <a:solidFill>
                      <a:srgbClr val="4EAFAA"/>
                    </a:solidFill>
                    <a:latin typeface="+mn-lt"/>
                    <a:ea typeface="+mn-ea"/>
                    <a:cs typeface="+mn-cs"/>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'3.3b betaalmethodes'!$B$139:$B$143</c:f>
              <c:strCache>
                <c:ptCount val="5"/>
                <c:pt idx="0">
                  <c:v>Helemaal niet </c:v>
                </c:pt>
                <c:pt idx="1">
                  <c:v>Niet</c:v>
                </c:pt>
                <c:pt idx="2">
                  <c:v>Neutraal</c:v>
                </c:pt>
                <c:pt idx="3">
                  <c:v>Gebruiksvriendelijk</c:v>
                </c:pt>
                <c:pt idx="4">
                  <c:v>Heel gebruiksvriendelijk</c:v>
                </c:pt>
              </c:strCache>
            </c:strRef>
          </c:cat>
          <c:val>
            <c:numRef>
              <c:f>'3.3b betaalmethodes'!$E$139:$E$143</c:f>
              <c:numCache>
                <c:formatCode>0%</c:formatCode>
                <c:ptCount val="5"/>
                <c:pt idx="0">
                  <c:v>6.2937062937062943E-2</c:v>
                </c:pt>
                <c:pt idx="1">
                  <c:v>0.17832167832167833</c:v>
                </c:pt>
                <c:pt idx="2">
                  <c:v>0.28321678321678323</c:v>
                </c:pt>
                <c:pt idx="3">
                  <c:v>0.36363636363636365</c:v>
                </c:pt>
                <c:pt idx="4">
                  <c:v>0.11188811188811189</c:v>
                </c:pt>
              </c:numCache>
            </c:numRef>
          </c:val>
          <c:extLst>
            <c:ext xmlns:c16="http://schemas.microsoft.com/office/drawing/2014/chart" uri="{C3380CC4-5D6E-409C-BE32-E72D297353CC}">
              <c16:uniqueId val="{00000000-7691-4CBE-BFE7-C86BB2119822}"/>
            </c:ext>
          </c:extLst>
        </c:ser>
        <c:ser>
          <c:idx val="1"/>
          <c:order val="1"/>
          <c:tx>
            <c:strRef>
              <c:f>'3.3b betaalmethodes'!$F$138</c:f>
              <c:strCache>
                <c:ptCount val="1"/>
                <c:pt idx="0">
                  <c:v>Snellader [N=391]</c:v>
                </c:pt>
              </c:strCache>
            </c:strRef>
          </c:tx>
          <c:spPr>
            <a:solidFill>
              <a:srgbClr val="08B466"/>
            </a:solidFill>
          </c:spPr>
          <c:invertIfNegative val="0"/>
          <c:dLbls>
            <c:dLbl>
              <c:idx val="1"/>
              <c:layout>
                <c:manualLayout>
                  <c:x val="1.9129603060736446E-2"/>
                  <c:y val="5.055611729019165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407-4DE0-9F37-5AB795981C03}"/>
                </c:ext>
              </c:extLst>
            </c:dLbl>
            <c:dLbl>
              <c:idx val="2"/>
              <c:layout>
                <c:manualLayout>
                  <c:x val="1.9129603060736401E-2"/>
                  <c:y val="1.516683518705763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407-4DE0-9F37-5AB795981C03}"/>
                </c:ext>
              </c:extLst>
            </c:dLbl>
            <c:spPr>
              <a:noFill/>
              <a:ln>
                <a:noFill/>
              </a:ln>
              <a:effectLst/>
            </c:spPr>
            <c:txPr>
              <a:bodyPr wrap="square" lIns="38100" tIns="19050" rIns="38100" bIns="19050" anchor="ctr" anchorCtr="0">
                <a:spAutoFit/>
              </a:bodyPr>
              <a:lstStyle/>
              <a:p>
                <a:pPr algn="ctr">
                  <a:defRPr lang="en-US" sz="800" b="1" i="0" u="none" strike="noStrike" kern="1200" baseline="0">
                    <a:solidFill>
                      <a:srgbClr val="4EAFAA"/>
                    </a:solidFill>
                    <a:latin typeface="+mn-lt"/>
                    <a:ea typeface="+mn-ea"/>
                    <a:cs typeface="+mn-cs"/>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'3.3b betaalmethodes'!$B$139:$B$143</c:f>
              <c:strCache>
                <c:ptCount val="5"/>
                <c:pt idx="0">
                  <c:v>Helemaal niet </c:v>
                </c:pt>
                <c:pt idx="1">
                  <c:v>Niet</c:v>
                </c:pt>
                <c:pt idx="2">
                  <c:v>Neutraal</c:v>
                </c:pt>
                <c:pt idx="3">
                  <c:v>Gebruiksvriendelijk</c:v>
                </c:pt>
                <c:pt idx="4">
                  <c:v>Heel gebruiksvriendelijk</c:v>
                </c:pt>
              </c:strCache>
            </c:strRef>
          </c:cat>
          <c:val>
            <c:numRef>
              <c:f>'3.3b betaalmethodes'!$F$139:$F$143</c:f>
              <c:numCache>
                <c:formatCode>0%</c:formatCode>
                <c:ptCount val="5"/>
                <c:pt idx="0">
                  <c:v>3.0690537084398978E-2</c:v>
                </c:pt>
                <c:pt idx="1">
                  <c:v>0.15345268542199489</c:v>
                </c:pt>
                <c:pt idx="2">
                  <c:v>0.27621483375959077</c:v>
                </c:pt>
                <c:pt idx="3">
                  <c:v>0.40920716112531969</c:v>
                </c:pt>
                <c:pt idx="4">
                  <c:v>0.13043478260869565</c:v>
                </c:pt>
              </c:numCache>
            </c:numRef>
          </c:val>
          <c:extLst>
            <c:ext xmlns:c16="http://schemas.microsoft.com/office/drawing/2014/chart" uri="{C3380CC4-5D6E-409C-BE32-E72D297353CC}">
              <c16:uniqueId val="{00000001-7691-4CBE-BFE7-C86BB2119822}"/>
            </c:ext>
          </c:extLst>
        </c:ser>
        <c:dLbls>
          <c:showLegendKey val="0"/>
          <c:showVal val="0"/>
          <c:showCatName val="0"/>
          <c:showSerName val="0"/>
          <c:showPercent val="0"/>
          <c:showBubbleSize val="0"/>
        </c:dLbls>
        <c:gapWidth val="219"/>
        <c:overlap val="-27"/>
        <c:axId val="859086912"/>
        <c:axId val="859090872"/>
      </c:barChart>
      <c:catAx>
        <c:axId val="8590869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2C307E"/>
                </a:solidFill>
                <a:latin typeface="+mn-lt"/>
                <a:ea typeface="+mn-ea"/>
                <a:cs typeface="+mn-cs"/>
              </a:defRPr>
            </a:pPr>
            <a:endParaRPr lang="nl-NL"/>
          </a:p>
        </c:txPr>
        <c:crossAx val="859090872"/>
        <c:crosses val="autoZero"/>
        <c:auto val="1"/>
        <c:lblAlgn val="ctr"/>
        <c:lblOffset val="100"/>
        <c:noMultiLvlLbl val="0"/>
      </c:catAx>
      <c:valAx>
        <c:axId val="8590908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2C307E"/>
                </a:solidFill>
                <a:latin typeface="+mn-lt"/>
                <a:ea typeface="+mn-ea"/>
                <a:cs typeface="+mn-cs"/>
              </a:defRPr>
            </a:pPr>
            <a:endParaRPr lang="nl-NL"/>
          </a:p>
        </c:txPr>
        <c:crossAx val="859086912"/>
        <c:crosses val="autoZero"/>
        <c:crossBetween val="between"/>
        <c:majorUnit val="0.1"/>
      </c:valAx>
      <c:spPr>
        <a:noFill/>
      </c:spPr>
    </c:plotArea>
    <c:legend>
      <c:legendPos val="b"/>
      <c:overlay val="0"/>
      <c:txPr>
        <a:bodyPr/>
        <a:lstStyle/>
        <a:p>
          <a:pPr algn="ctr">
            <a:defRPr lang="en-US" sz="900" b="0" i="0" u="none" strike="noStrike" kern="1200" baseline="0">
              <a:solidFill>
                <a:srgbClr val="2C307E"/>
              </a:solidFill>
              <a:latin typeface="+mn-lt"/>
              <a:ea typeface="+mn-ea"/>
              <a:cs typeface="+mn-cs"/>
            </a:defRPr>
          </a:pPr>
          <a:endParaRPr lang="nl-NL"/>
        </a:p>
      </c:txPr>
    </c:legend>
    <c:plotVisOnly val="1"/>
    <c:dispBlanksAs val="gap"/>
    <c:showDLblsOverMax val="0"/>
    <c:extLst/>
  </c:chart>
  <c:spPr>
    <a:noFill/>
    <a:ln>
      <a:noFill/>
    </a:ln>
  </c:spPr>
  <c:txPr>
    <a:bodyPr/>
    <a:lstStyle/>
    <a:p>
      <a:pPr>
        <a:defRPr/>
      </a:pPr>
      <a:endParaRPr lang="nl-NL"/>
    </a:p>
  </c:txPr>
  <c:externalData r:id="rId1">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lgn="ctr" rtl="0">
              <a:defRPr lang="en-US" sz="1100" b="0" i="0" u="none" strike="noStrike" kern="1200" spc="0" baseline="0">
                <a:solidFill>
                  <a:srgbClr val="2C307E"/>
                </a:solidFill>
                <a:latin typeface="+mn-lt"/>
                <a:ea typeface="+mn-ea"/>
                <a:cs typeface="+mn-cs"/>
              </a:defRPr>
            </a:pPr>
            <a:r>
              <a:rPr lang="nl-NL" sz="1100" b="0" i="0" u="none" strike="noStrike" baseline="0">
                <a:effectLst/>
              </a:rPr>
              <a:t>Welke vorm heeft jouw voorkeur bij het ad-hoc laden? [N=426]</a:t>
            </a:r>
            <a:r>
              <a:rPr lang="nl-NL" sz="1100" b="0" i="0" u="none" strike="noStrike" baseline="0"/>
              <a:t> </a:t>
            </a:r>
            <a:endParaRPr lang="en-US" sz="1100" b="0" i="0" u="none" strike="noStrike" kern="1200" spc="0" baseline="0">
              <a:solidFill>
                <a:srgbClr val="2C307E"/>
              </a:solidFill>
              <a:latin typeface="+mn-lt"/>
              <a:ea typeface="+mn-ea"/>
              <a:cs typeface="+mn-cs"/>
            </a:endParaRPr>
          </a:p>
        </c:rich>
      </c:tx>
      <c:overlay val="0"/>
    </c:title>
    <c:autoTitleDeleted val="0"/>
    <c:plotArea>
      <c:layout>
        <c:manualLayout>
          <c:layoutTarget val="inner"/>
          <c:xMode val="edge"/>
          <c:yMode val="edge"/>
          <c:x val="0.34290550550676757"/>
          <c:y val="0.19451634289658429"/>
          <c:w val="0.28524609841936183"/>
          <c:h val="0.3384117866954649"/>
        </c:manualLayout>
      </c:layout>
      <c:pieChart>
        <c:varyColors val="1"/>
        <c:ser>
          <c:idx val="0"/>
          <c:order val="0"/>
          <c:spPr>
            <a:solidFill>
              <a:srgbClr val="08B466"/>
            </a:solidFill>
          </c:spPr>
          <c:dPt>
            <c:idx val="0"/>
            <c:bubble3D val="0"/>
            <c:spPr>
              <a:solidFill>
                <a:srgbClr val="2C307E"/>
              </a:solidFill>
              <a:ln w="19050">
                <a:noFill/>
              </a:ln>
              <a:effectLst/>
            </c:spPr>
            <c:extLst>
              <c:ext xmlns:c16="http://schemas.microsoft.com/office/drawing/2014/chart" uri="{C3380CC4-5D6E-409C-BE32-E72D297353CC}">
                <c16:uniqueId val="{00000001-7A18-4A31-A17F-9C418653EAA0}"/>
              </c:ext>
            </c:extLst>
          </c:dPt>
          <c:dPt>
            <c:idx val="1"/>
            <c:bubble3D val="0"/>
            <c:spPr>
              <a:solidFill>
                <a:srgbClr val="08B466"/>
              </a:solidFill>
              <a:ln w="19050">
                <a:noFill/>
              </a:ln>
              <a:effectLst/>
            </c:spPr>
            <c:extLst>
              <c:ext xmlns:c16="http://schemas.microsoft.com/office/drawing/2014/chart" uri="{C3380CC4-5D6E-409C-BE32-E72D297353CC}">
                <c16:uniqueId val="{00000003-7A18-4A31-A17F-9C418653EAA0}"/>
              </c:ext>
            </c:extLst>
          </c:dPt>
          <c:dPt>
            <c:idx val="2"/>
            <c:bubble3D val="0"/>
            <c:spPr>
              <a:solidFill>
                <a:srgbClr val="C9C743"/>
              </a:solidFill>
            </c:spPr>
            <c:extLst>
              <c:ext xmlns:c16="http://schemas.microsoft.com/office/drawing/2014/chart" uri="{C3380CC4-5D6E-409C-BE32-E72D297353CC}">
                <c16:uniqueId val="{00000005-7A18-4A31-A17F-9C418653EAA0}"/>
              </c:ext>
            </c:extLst>
          </c:dPt>
          <c:dPt>
            <c:idx val="3"/>
            <c:bubble3D val="0"/>
            <c:spPr>
              <a:solidFill>
                <a:srgbClr val="BAD6ED"/>
              </a:solidFill>
            </c:spPr>
            <c:extLst>
              <c:ext xmlns:c16="http://schemas.microsoft.com/office/drawing/2014/chart" uri="{C3380CC4-5D6E-409C-BE32-E72D297353CC}">
                <c16:uniqueId val="{00000007-7A18-4A31-A17F-9C418653EAA0}"/>
              </c:ext>
            </c:extLst>
          </c:dPt>
          <c:dPt>
            <c:idx val="4"/>
            <c:bubble3D val="0"/>
            <c:spPr>
              <a:solidFill>
                <a:srgbClr val="4EAFAA"/>
              </a:solidFill>
            </c:spPr>
            <c:extLst>
              <c:ext xmlns:c16="http://schemas.microsoft.com/office/drawing/2014/chart" uri="{C3380CC4-5D6E-409C-BE32-E72D297353CC}">
                <c16:uniqueId val="{00000009-7A18-4A31-A17F-9C418653EAA0}"/>
              </c:ext>
            </c:extLst>
          </c:dPt>
          <c:dPt>
            <c:idx val="5"/>
            <c:bubble3D val="0"/>
            <c:spPr>
              <a:solidFill>
                <a:srgbClr val="696969"/>
              </a:solidFill>
            </c:spPr>
            <c:extLst>
              <c:ext xmlns:c16="http://schemas.microsoft.com/office/drawing/2014/chart" uri="{C3380CC4-5D6E-409C-BE32-E72D297353CC}">
                <c16:uniqueId val="{0000000B-7A18-4A31-A17F-9C418653EAA0}"/>
              </c:ext>
            </c:extLst>
          </c:dPt>
          <c:dLbls>
            <c:dLbl>
              <c:idx val="0"/>
              <c:layout>
                <c:manualLayout>
                  <c:x val="-2.1247838938616686E-2"/>
                  <c:y val="7.3021917276417617E-2"/>
                </c:manualLayout>
              </c:layout>
              <c:spPr>
                <a:noFill/>
                <a:ln>
                  <a:noFill/>
                </a:ln>
                <a:effectLst/>
              </c:spPr>
              <c:txPr>
                <a:bodyPr wrap="square" lIns="38100" tIns="19050" rIns="38100" bIns="19050" anchor="ctr">
                  <a:spAutoFit/>
                </a:bodyPr>
                <a:lstStyle/>
                <a:p>
                  <a:pPr>
                    <a:defRPr sz="800" b="1">
                      <a:solidFill>
                        <a:schemeClr val="bg1"/>
                      </a:solidFill>
                    </a:defRPr>
                  </a:pPr>
                  <a:endParaRPr lang="nl-NL"/>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A18-4A31-A17F-9C418653EAA0}"/>
                </c:ext>
              </c:extLst>
            </c:dLbl>
            <c:dLbl>
              <c:idx val="1"/>
              <c:layout>
                <c:manualLayout>
                  <c:x val="-5.4805016830020953E-2"/>
                  <c:y val="9.0541560118490017E-2"/>
                </c:manualLayout>
              </c:layout>
              <c:spPr>
                <a:noFill/>
                <a:ln>
                  <a:noFill/>
                </a:ln>
                <a:effectLst/>
              </c:spPr>
              <c:txPr>
                <a:bodyPr wrap="square" lIns="38100" tIns="19050" rIns="38100" bIns="19050" anchor="ctr">
                  <a:spAutoFit/>
                </a:bodyPr>
                <a:lstStyle/>
                <a:p>
                  <a:pPr>
                    <a:defRPr sz="800" b="1">
                      <a:solidFill>
                        <a:schemeClr val="bg1"/>
                      </a:solidFill>
                    </a:defRPr>
                  </a:pPr>
                  <a:endParaRPr lang="nl-NL"/>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A18-4A31-A17F-9C418653EAA0}"/>
                </c:ext>
              </c:extLst>
            </c:dLbl>
            <c:dLbl>
              <c:idx val="2"/>
              <c:spPr>
                <a:noFill/>
                <a:ln>
                  <a:noFill/>
                </a:ln>
                <a:effectLst/>
              </c:spPr>
              <c:txPr>
                <a:bodyPr wrap="square" lIns="38100" tIns="19050" rIns="38100" bIns="19050" anchor="ctr">
                  <a:spAutoFit/>
                </a:bodyPr>
                <a:lstStyle/>
                <a:p>
                  <a:pPr>
                    <a:defRPr sz="800" b="1">
                      <a:solidFill>
                        <a:schemeClr val="bg1"/>
                      </a:solidFill>
                    </a:defRPr>
                  </a:pPr>
                  <a:endParaRPr lang="nl-NL"/>
                </a:p>
              </c:txPr>
              <c:showLegendKey val="0"/>
              <c:showVal val="1"/>
              <c:showCatName val="0"/>
              <c:showSerName val="0"/>
              <c:showPercent val="0"/>
              <c:showBubbleSize val="0"/>
              <c:extLst>
                <c:ext xmlns:c16="http://schemas.microsoft.com/office/drawing/2014/chart" uri="{C3380CC4-5D6E-409C-BE32-E72D297353CC}">
                  <c16:uniqueId val="{00000005-7A18-4A31-A17F-9C418653EAA0}"/>
                </c:ext>
              </c:extLst>
            </c:dLbl>
            <c:dLbl>
              <c:idx val="3"/>
              <c:layout>
                <c:manualLayout>
                  <c:x val="-2.7338406157997996E-3"/>
                  <c:y val="2.3561380087004674E-2"/>
                </c:manualLayout>
              </c:layout>
              <c:spPr>
                <a:noFill/>
                <a:ln>
                  <a:noFill/>
                </a:ln>
                <a:effectLst/>
              </c:spPr>
              <c:txPr>
                <a:bodyPr wrap="square" lIns="38100" tIns="19050" rIns="38100" bIns="19050" anchor="ctr">
                  <a:spAutoFit/>
                </a:bodyPr>
                <a:lstStyle/>
                <a:p>
                  <a:pPr>
                    <a:defRPr sz="800" b="1">
                      <a:solidFill>
                        <a:srgbClr val="2C307E"/>
                      </a:solidFill>
                    </a:defRPr>
                  </a:pPr>
                  <a:endParaRPr lang="nl-NL"/>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7A18-4A31-A17F-9C418653EAA0}"/>
                </c:ext>
              </c:extLst>
            </c:dLbl>
            <c:dLbl>
              <c:idx val="4"/>
              <c:spPr>
                <a:noFill/>
                <a:ln>
                  <a:noFill/>
                </a:ln>
                <a:effectLst/>
              </c:spPr>
              <c:txPr>
                <a:bodyPr wrap="square" lIns="38100" tIns="19050" rIns="38100" bIns="19050" anchor="ctr">
                  <a:spAutoFit/>
                </a:bodyPr>
                <a:lstStyle/>
                <a:p>
                  <a:pPr>
                    <a:defRPr sz="800" b="1">
                      <a:solidFill>
                        <a:srgbClr val="2C307E"/>
                      </a:solidFill>
                    </a:defRPr>
                  </a:pPr>
                  <a:endParaRPr lang="nl-NL"/>
                </a:p>
              </c:txPr>
              <c:showLegendKey val="0"/>
              <c:showVal val="1"/>
              <c:showCatName val="0"/>
              <c:showSerName val="0"/>
              <c:showPercent val="0"/>
              <c:showBubbleSize val="0"/>
              <c:extLst>
                <c:ext xmlns:c16="http://schemas.microsoft.com/office/drawing/2014/chart" uri="{C3380CC4-5D6E-409C-BE32-E72D297353CC}">
                  <c16:uniqueId val="{00000009-7A18-4A31-A17F-9C418653EAA0}"/>
                </c:ext>
              </c:extLst>
            </c:dLbl>
            <c:dLbl>
              <c:idx val="5"/>
              <c:spPr>
                <a:noFill/>
                <a:ln>
                  <a:noFill/>
                </a:ln>
                <a:effectLst/>
              </c:spPr>
              <c:txPr>
                <a:bodyPr wrap="square" lIns="38100" tIns="19050" rIns="38100" bIns="19050" anchor="ctr">
                  <a:spAutoFit/>
                </a:bodyPr>
                <a:lstStyle/>
                <a:p>
                  <a:pPr>
                    <a:defRPr sz="800" b="1">
                      <a:solidFill>
                        <a:srgbClr val="2C307E"/>
                      </a:solidFill>
                    </a:defRPr>
                  </a:pPr>
                  <a:endParaRPr lang="nl-NL"/>
                </a:p>
              </c:txPr>
              <c:showLegendKey val="0"/>
              <c:showVal val="1"/>
              <c:showCatName val="0"/>
              <c:showSerName val="0"/>
              <c:showPercent val="0"/>
              <c:showBubbleSize val="0"/>
              <c:extLst>
                <c:ext xmlns:c16="http://schemas.microsoft.com/office/drawing/2014/chart" uri="{C3380CC4-5D6E-409C-BE32-E72D297353CC}">
                  <c16:uniqueId val="{0000000B-7A18-4A31-A17F-9C418653EAA0}"/>
                </c:ext>
              </c:extLst>
            </c:dLbl>
            <c:spPr>
              <a:noFill/>
              <a:ln>
                <a:noFill/>
              </a:ln>
              <a:effectLst/>
            </c:spPr>
            <c:txPr>
              <a:bodyPr wrap="square" lIns="38100" tIns="19050" rIns="38100" bIns="19050" anchor="ctr">
                <a:spAutoFit/>
              </a:bodyPr>
              <a:lstStyle/>
              <a:p>
                <a:pPr>
                  <a:defRPr sz="800" b="1"/>
                </a:pPr>
                <a:endParaRPr lang="nl-NL"/>
              </a:p>
            </c:txPr>
            <c:showLegendKey val="0"/>
            <c:showVal val="1"/>
            <c:showCatName val="0"/>
            <c:showSerName val="0"/>
            <c:showPercent val="0"/>
            <c:showBubbleSize val="0"/>
            <c:showLeaderLines val="1"/>
            <c:extLst>
              <c:ext xmlns:c15="http://schemas.microsoft.com/office/drawing/2012/chart" uri="{CE6537A1-D6FC-4f65-9D91-7224C49458BB}"/>
            </c:extLst>
          </c:dLbls>
          <c:cat>
            <c:strRef>
              <c:f>'3.3b betaalmethodes'!$B$156:$B$160</c:f>
              <c:strCache>
                <c:ptCount val="5"/>
                <c:pt idx="0">
                  <c:v>Via een QR-code die verwijst naar een mobiele toepassing (app)  </c:v>
                </c:pt>
                <c:pt idx="1">
                  <c:v>Via een QR-code die verwijst naar een betaal-website  </c:v>
                </c:pt>
                <c:pt idx="2">
                  <c:v>Via contactloos betalen (pinpas of telefoon)</c:v>
                </c:pt>
                <c:pt idx="3">
                  <c:v>Via een pinpad  </c:v>
                </c:pt>
                <c:pt idx="4">
                  <c:v>anders namelijk</c:v>
                </c:pt>
              </c:strCache>
            </c:strRef>
          </c:cat>
          <c:val>
            <c:numRef>
              <c:f>'3.3b betaalmethodes'!$E$156:$E$160</c:f>
              <c:numCache>
                <c:formatCode>0%</c:formatCode>
                <c:ptCount val="5"/>
                <c:pt idx="0">
                  <c:v>4.4600938967136149E-2</c:v>
                </c:pt>
                <c:pt idx="1">
                  <c:v>6.3380281690140844E-2</c:v>
                </c:pt>
                <c:pt idx="2">
                  <c:v>0.84507042253521125</c:v>
                </c:pt>
                <c:pt idx="3">
                  <c:v>3.5211267605633804E-2</c:v>
                </c:pt>
                <c:pt idx="4">
                  <c:v>1.1737089201877934E-2</c:v>
                </c:pt>
              </c:numCache>
            </c:numRef>
          </c:val>
          <c:extLst>
            <c:ext xmlns:c16="http://schemas.microsoft.com/office/drawing/2014/chart" uri="{C3380CC4-5D6E-409C-BE32-E72D297353CC}">
              <c16:uniqueId val="{0000000C-7A18-4A31-A17F-9C418653EAA0}"/>
            </c:ext>
          </c:extLst>
        </c:ser>
        <c:dLbls>
          <c:showLegendKey val="0"/>
          <c:showVal val="0"/>
          <c:showCatName val="0"/>
          <c:showSerName val="0"/>
          <c:showPercent val="0"/>
          <c:showBubbleSize val="0"/>
          <c:showLeaderLines val="1"/>
        </c:dLbls>
        <c:firstSliceAng val="0"/>
      </c:pieChart>
    </c:plotArea>
    <c:legend>
      <c:legendPos val="b"/>
      <c:layout>
        <c:manualLayout>
          <c:xMode val="edge"/>
          <c:yMode val="edge"/>
          <c:x val="8.024393944193348E-3"/>
          <c:y val="0.53943448476266276"/>
          <c:w val="0.98997700980792613"/>
          <c:h val="0.45869145178114096"/>
        </c:manualLayout>
      </c:layout>
      <c:overlay val="0"/>
      <c:spPr>
        <a:noFill/>
        <a:ln>
          <a:noFill/>
        </a:ln>
        <a:effectLst/>
      </c:spPr>
      <c:txPr>
        <a:bodyPr rot="0" spcFirstLastPara="1" vertOverflow="ellipsis" vert="horz" wrap="square" anchor="ctr" anchorCtr="1"/>
        <a:lstStyle/>
        <a:p>
          <a:pPr>
            <a:defRPr sz="900" b="0" i="0" u="none" strike="noStrike" kern="1200" baseline="0">
              <a:solidFill>
                <a:srgbClr val="2C307E"/>
              </a:solidFill>
              <a:latin typeface="+mn-lt"/>
              <a:ea typeface="+mn-ea"/>
              <a:cs typeface="+mn-cs"/>
            </a:defRPr>
          </a:pPr>
          <a:endParaRPr lang="nl-NL"/>
        </a:p>
      </c:txPr>
    </c:legend>
    <c:plotVisOnly val="1"/>
    <c:dispBlanksAs val="gap"/>
    <c:showDLblsOverMax val="0"/>
    <c:extLst/>
  </c:chart>
  <c:spPr>
    <a:noFill/>
    <a:ln>
      <a:noFill/>
    </a:ln>
  </c:spPr>
  <c:txPr>
    <a:bodyPr/>
    <a:lstStyle/>
    <a:p>
      <a:pPr>
        <a:defRPr/>
      </a:pPr>
      <a:endParaRPr lang="nl-NL"/>
    </a:p>
  </c:txPr>
  <c:externalData r:id="rId1">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rgbClr val="2C307E"/>
                </a:solidFill>
                <a:latin typeface="+mn-lt"/>
                <a:ea typeface="+mn-ea"/>
                <a:cs typeface="+mn-cs"/>
              </a:defRPr>
            </a:pPr>
            <a:r>
              <a:rPr lang="nl-NL" sz="1100">
                <a:solidFill>
                  <a:srgbClr val="2C307E"/>
                </a:solidFill>
              </a:rPr>
              <a:t>Welk van onderstaande omstandigheden motiveren je om (vaker) ad-hoc te laden?</a:t>
            </a:r>
          </a:p>
        </c:rich>
      </c:tx>
      <c:overlay val="0"/>
      <c:spPr>
        <a:noFill/>
        <a:ln>
          <a:noFill/>
        </a:ln>
        <a:effectLst/>
      </c:spPr>
    </c:title>
    <c:autoTitleDeleted val="0"/>
    <c:plotArea>
      <c:layout>
        <c:manualLayout>
          <c:layoutTarget val="inner"/>
          <c:xMode val="edge"/>
          <c:yMode val="edge"/>
          <c:x val="0.50787025007813769"/>
          <c:y val="0.12866157260698802"/>
          <c:w val="0.39983205112273446"/>
          <c:h val="0.82006848031163315"/>
        </c:manualLayout>
      </c:layout>
      <c:barChart>
        <c:barDir val="bar"/>
        <c:grouping val="clustered"/>
        <c:varyColors val="0"/>
        <c:ser>
          <c:idx val="0"/>
          <c:order val="0"/>
          <c:spPr>
            <a:solidFill>
              <a:srgbClr val="C9C743"/>
            </a:solidFill>
            <a:ln>
              <a:noFill/>
            </a:ln>
            <a:effectLst/>
          </c:spPr>
          <c:invertIfNegative val="0"/>
          <c:dLbls>
            <c:spPr>
              <a:noFill/>
              <a:ln>
                <a:noFill/>
              </a:ln>
              <a:effectLst/>
            </c:spPr>
            <c:txPr>
              <a:bodyPr wrap="square" lIns="38100" tIns="19050" rIns="38100" bIns="19050" anchor="ctr">
                <a:spAutoFit/>
              </a:bodyPr>
              <a:lstStyle/>
              <a:p>
                <a:pPr>
                  <a:defRPr sz="800" b="1">
                    <a:solidFill>
                      <a:srgbClr val="4EAFAA"/>
                    </a:solidFill>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'3.3b betaalmethodes'!$B$164:$B$170</c:f>
              <c:strCache>
                <c:ptCount val="7"/>
                <c:pt idx="0">
                  <c:v> Duidelijkheid over de prijs die ik betaal aan de openbare laadpaal </c:v>
                </c:pt>
                <c:pt idx="1">
                  <c:v>Een lager tarief voor direct afrekenen dan betalen met de laadpas </c:v>
                </c:pt>
                <c:pt idx="2">
                  <c:v> Informatie bij de laadpaal met instructies over ad-hoc betalen </c:v>
                </c:pt>
                <c:pt idx="3">
                  <c:v>Het gemak van direct afrekenen </c:v>
                </c:pt>
                <c:pt idx="4">
                  <c:v>Controle houden over uitgaven door direct af te rekenen </c:v>
                </c:pt>
                <c:pt idx="5">
                  <c:v>Privacy. Mijn auto kunnen opladen zonder gevolgd te kunnen worden door derden  </c:v>
                </c:pt>
                <c:pt idx="6">
                  <c:v>Anders, namelijk... </c:v>
                </c:pt>
              </c:strCache>
              <c:extLst/>
            </c:strRef>
          </c:cat>
          <c:val>
            <c:numRef>
              <c:f>'3.3b betaalmethodes'!$E$164:$E$170</c:f>
              <c:numCache>
                <c:formatCode>0%</c:formatCode>
                <c:ptCount val="7"/>
                <c:pt idx="0">
                  <c:v>0.60910815939278939</c:v>
                </c:pt>
                <c:pt idx="1">
                  <c:v>0.58349146110056926</c:v>
                </c:pt>
                <c:pt idx="2">
                  <c:v>0.33491461100569259</c:v>
                </c:pt>
                <c:pt idx="3">
                  <c:v>0.31878557874762808</c:v>
                </c:pt>
                <c:pt idx="4">
                  <c:v>0.13662239089184061</c:v>
                </c:pt>
                <c:pt idx="5">
                  <c:v>0.12903225806451613</c:v>
                </c:pt>
                <c:pt idx="6">
                  <c:v>0.12239089184060721</c:v>
                </c:pt>
              </c:numCache>
              <c:extLst/>
            </c:numRef>
          </c:val>
          <c:extLst>
            <c:ext xmlns:c16="http://schemas.microsoft.com/office/drawing/2014/chart" uri="{C3380CC4-5D6E-409C-BE32-E72D297353CC}">
              <c16:uniqueId val="{00000000-C70E-42C9-A6DA-BAAF0A418DA8}"/>
            </c:ext>
          </c:extLst>
        </c:ser>
        <c:dLbls>
          <c:showLegendKey val="0"/>
          <c:showVal val="0"/>
          <c:showCatName val="0"/>
          <c:showSerName val="0"/>
          <c:showPercent val="0"/>
          <c:showBubbleSize val="0"/>
        </c:dLbls>
        <c:gapWidth val="219"/>
        <c:axId val="656388416"/>
        <c:axId val="656385896"/>
      </c:barChart>
      <c:catAx>
        <c:axId val="65638841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2C307E"/>
                </a:solidFill>
                <a:latin typeface="+mn-lt"/>
                <a:ea typeface="+mn-ea"/>
                <a:cs typeface="+mn-cs"/>
              </a:defRPr>
            </a:pPr>
            <a:endParaRPr lang="nl-NL"/>
          </a:p>
        </c:txPr>
        <c:crossAx val="656385896"/>
        <c:crosses val="autoZero"/>
        <c:auto val="1"/>
        <c:lblAlgn val="ctr"/>
        <c:lblOffset val="100"/>
        <c:noMultiLvlLbl val="0"/>
      </c:catAx>
      <c:valAx>
        <c:axId val="656385896"/>
        <c:scaling>
          <c:orientation val="minMax"/>
        </c:scaling>
        <c:delete val="0"/>
        <c:axPos val="b"/>
        <c:majorGridlines>
          <c:spPr>
            <a:ln w="9525" cap="flat" cmpd="sng" algn="ctr">
              <a:no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2C307E"/>
                </a:solidFill>
                <a:latin typeface="+mn-lt"/>
                <a:ea typeface="+mn-ea"/>
                <a:cs typeface="+mn-cs"/>
              </a:defRPr>
            </a:pPr>
            <a:endParaRPr lang="nl-NL"/>
          </a:p>
        </c:txPr>
        <c:crossAx val="656388416"/>
        <c:crosses val="autoZero"/>
        <c:crossBetween val="between"/>
      </c:valAx>
      <c:spPr>
        <a:noFill/>
        <a:ln>
          <a:noFill/>
        </a:ln>
      </c:spPr>
    </c:plotArea>
    <c:plotVisOnly val="1"/>
    <c:dispBlanksAs val="gap"/>
    <c:showDLblsOverMax val="0"/>
    <c:extLst/>
  </c:chart>
  <c:spPr>
    <a:noFill/>
    <a:ln>
      <a:noFill/>
    </a:ln>
  </c:spPr>
  <c:txPr>
    <a:bodyPr/>
    <a:lstStyle/>
    <a:p>
      <a:pPr>
        <a:defRPr/>
      </a:pPr>
      <a:endParaRPr lang="nl-NL"/>
    </a:p>
  </c:txPr>
  <c:externalData r:id="rId1">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rtl="0">
              <a:defRPr lang="nl-NL" sz="1100" b="0" i="0" u="none" strike="noStrike" kern="1200" spc="0" baseline="0">
                <a:solidFill>
                  <a:srgbClr val="2C307E"/>
                </a:solidFill>
                <a:latin typeface="+mn-lt"/>
                <a:ea typeface="+mn-ea"/>
                <a:cs typeface="+mn-cs"/>
              </a:defRPr>
            </a:pPr>
            <a:r>
              <a:rPr lang="en-US" sz="1100" b="0" i="0" u="none" strike="noStrike" kern="1200" spc="0" baseline="0">
                <a:solidFill>
                  <a:srgbClr val="2C307E"/>
                </a:solidFill>
                <a:latin typeface="+mn-lt"/>
                <a:ea typeface="+mn-ea"/>
                <a:cs typeface="+mn-cs"/>
              </a:rPr>
              <a:t>Ik weet meestal niet/ nooit wat ik betaal aan de... </a:t>
            </a:r>
          </a:p>
        </c:rich>
      </c:tx>
      <c:overlay val="0"/>
      <c:spPr>
        <a:noFill/>
        <a:ln>
          <a:noFill/>
        </a:ln>
        <a:effectLst/>
      </c:spPr>
    </c:title>
    <c:autoTitleDeleted val="0"/>
    <c:plotArea>
      <c:layout>
        <c:manualLayout>
          <c:layoutTarget val="inner"/>
          <c:xMode val="edge"/>
          <c:yMode val="edge"/>
          <c:x val="0.14540494131203471"/>
          <c:y val="0.19025108015344236"/>
          <c:w val="0.80198865027093991"/>
          <c:h val="0.44248931960428023"/>
        </c:manualLayout>
      </c:layout>
      <c:barChart>
        <c:barDir val="col"/>
        <c:grouping val="clustered"/>
        <c:varyColors val="0"/>
        <c:ser>
          <c:idx val="0"/>
          <c:order val="0"/>
          <c:tx>
            <c:strRef>
              <c:f>'3.3b betaalmethodes'!$H$10</c:f>
              <c:strCache>
                <c:ptCount val="1"/>
                <c:pt idx="0">
                  <c:v>2023</c:v>
                </c:pt>
              </c:strCache>
            </c:strRef>
          </c:tx>
          <c:spPr>
            <a:solidFill>
              <a:srgbClr val="2C307E"/>
            </a:solidFill>
            <a:ln>
              <a:noFill/>
            </a:ln>
            <a:effectLst/>
          </c:spPr>
          <c:invertIfNegative val="0"/>
          <c:dLbls>
            <c:dLbl>
              <c:idx val="2"/>
              <c:layout>
                <c:manualLayout>
                  <c:x val="-1.4347202295552367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6C1-434C-8927-91CB70F13959}"/>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rgbClr val="2C307E"/>
                    </a:solidFill>
                    <a:latin typeface="+mn-lt"/>
                    <a:ea typeface="+mn-ea"/>
                    <a:cs typeface="+mn-cs"/>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'3.3b betaalmethodes'!$B$11:$B$13</c:f>
              <c:strCache>
                <c:ptCount val="3"/>
                <c:pt idx="0">
                  <c:v>… openbare laadpaal in de buurt van je woning? </c:v>
                </c:pt>
                <c:pt idx="1">
                  <c:v>… openbare laadpaal elders (nietin de buurt van je woning)? </c:v>
                </c:pt>
                <c:pt idx="2">
                  <c:v>… snellaadpaal</c:v>
                </c:pt>
              </c:strCache>
            </c:strRef>
          </c:cat>
          <c:val>
            <c:numRef>
              <c:f>'3.3b betaalmethodes'!$H$11:$H$13</c:f>
              <c:numCache>
                <c:formatCode>0%</c:formatCode>
                <c:ptCount val="3"/>
                <c:pt idx="0">
                  <c:v>0.51046859421734792</c:v>
                </c:pt>
                <c:pt idx="1">
                  <c:v>0.56975036710719529</c:v>
                </c:pt>
                <c:pt idx="2">
                  <c:v>0.38340122199592669</c:v>
                </c:pt>
              </c:numCache>
            </c:numRef>
          </c:val>
          <c:extLst>
            <c:ext xmlns:c16="http://schemas.microsoft.com/office/drawing/2014/chart" uri="{C3380CC4-5D6E-409C-BE32-E72D297353CC}">
              <c16:uniqueId val="{00000000-BB6F-45C1-9C74-0F3ADDDE292F}"/>
            </c:ext>
          </c:extLst>
        </c:ser>
        <c:ser>
          <c:idx val="1"/>
          <c:order val="1"/>
          <c:tx>
            <c:strRef>
              <c:f>'3.3b betaalmethodes'!$I$10</c:f>
              <c:strCache>
                <c:ptCount val="1"/>
                <c:pt idx="0">
                  <c:v>2024</c:v>
                </c:pt>
              </c:strCache>
            </c:strRef>
          </c:tx>
          <c:spPr>
            <a:solidFill>
              <a:srgbClr val="08B46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rgbClr val="2C307E"/>
                    </a:solidFill>
                    <a:latin typeface="+mn-lt"/>
                    <a:ea typeface="+mn-ea"/>
                    <a:cs typeface="+mn-cs"/>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'3.3b betaalmethodes'!$B$11:$B$13</c:f>
              <c:strCache>
                <c:ptCount val="3"/>
                <c:pt idx="0">
                  <c:v>… openbare laadpaal in de buurt van je woning? </c:v>
                </c:pt>
                <c:pt idx="1">
                  <c:v>… openbare laadpaal elders (nietin de buurt van je woning)? </c:v>
                </c:pt>
                <c:pt idx="2">
                  <c:v>… snellaadpaal</c:v>
                </c:pt>
              </c:strCache>
            </c:strRef>
          </c:cat>
          <c:val>
            <c:numRef>
              <c:f>'3.3b betaalmethodes'!$I$11:$I$13</c:f>
              <c:numCache>
                <c:formatCode>0%</c:formatCode>
                <c:ptCount val="3"/>
                <c:pt idx="0">
                  <c:v>0.31230283911671924</c:v>
                </c:pt>
                <c:pt idx="1">
                  <c:v>0.43655172413793109</c:v>
                </c:pt>
                <c:pt idx="2">
                  <c:v>0.35857740585774056</c:v>
                </c:pt>
              </c:numCache>
            </c:numRef>
          </c:val>
          <c:extLst>
            <c:ext xmlns:c16="http://schemas.microsoft.com/office/drawing/2014/chart" uri="{C3380CC4-5D6E-409C-BE32-E72D297353CC}">
              <c16:uniqueId val="{00000001-BB6F-45C1-9C74-0F3ADDDE292F}"/>
            </c:ext>
          </c:extLst>
        </c:ser>
        <c:ser>
          <c:idx val="2"/>
          <c:order val="2"/>
          <c:tx>
            <c:strRef>
              <c:f>'3.3b betaalmethodes'!$J$10</c:f>
              <c:strCache>
                <c:ptCount val="1"/>
                <c:pt idx="0">
                  <c:v>2025</c:v>
                </c:pt>
              </c:strCache>
            </c:strRef>
          </c:tx>
          <c:spPr>
            <a:solidFill>
              <a:srgbClr val="C9C743"/>
            </a:solidFill>
            <a:ln>
              <a:noFill/>
            </a:ln>
            <a:effectLst/>
          </c:spPr>
          <c:invertIfNegative val="0"/>
          <c:dLbls>
            <c:dLbl>
              <c:idx val="0"/>
              <c:layout>
                <c:manualLayout>
                  <c:x val="9.5648015303682454E-3"/>
                  <c:y val="8.205128205128130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6C1-434C-8927-91CB70F13959}"/>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rgbClr val="2C307E"/>
                    </a:solidFill>
                    <a:latin typeface="+mn-lt"/>
                    <a:ea typeface="+mn-ea"/>
                    <a:cs typeface="+mn-cs"/>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'3.3b betaalmethodes'!$B$11:$B$13</c:f>
              <c:strCache>
                <c:ptCount val="3"/>
                <c:pt idx="0">
                  <c:v>… openbare laadpaal in de buurt van je woning? </c:v>
                </c:pt>
                <c:pt idx="1">
                  <c:v>… openbare laadpaal elders (nietin de buurt van je woning)? </c:v>
                </c:pt>
                <c:pt idx="2">
                  <c:v>… snellaadpaal</c:v>
                </c:pt>
              </c:strCache>
            </c:strRef>
          </c:cat>
          <c:val>
            <c:numRef>
              <c:f>'3.3b betaalmethodes'!$J$11:$J$13</c:f>
              <c:numCache>
                <c:formatCode>0%</c:formatCode>
                <c:ptCount val="3"/>
                <c:pt idx="0">
                  <c:v>0.28194726166328599</c:v>
                </c:pt>
                <c:pt idx="1">
                  <c:v>0.40551181102362205</c:v>
                </c:pt>
                <c:pt idx="2">
                  <c:v>0.31590656284760843</c:v>
                </c:pt>
              </c:numCache>
            </c:numRef>
          </c:val>
          <c:extLst>
            <c:ext xmlns:c16="http://schemas.microsoft.com/office/drawing/2014/chart" uri="{C3380CC4-5D6E-409C-BE32-E72D297353CC}">
              <c16:uniqueId val="{00000002-BB6F-45C1-9C74-0F3ADDDE292F}"/>
            </c:ext>
          </c:extLst>
        </c:ser>
        <c:dLbls>
          <c:showLegendKey val="0"/>
          <c:showVal val="0"/>
          <c:showCatName val="0"/>
          <c:showSerName val="0"/>
          <c:showPercent val="0"/>
          <c:showBubbleSize val="0"/>
        </c:dLbls>
        <c:gapWidth val="219"/>
        <c:overlap val="-27"/>
        <c:axId val="813078936"/>
        <c:axId val="813079296"/>
      </c:barChart>
      <c:catAx>
        <c:axId val="8130789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lgn="ctr">
              <a:defRPr lang="en-US" sz="900" b="0" i="0" u="none" strike="noStrike" kern="1200" baseline="0">
                <a:solidFill>
                  <a:srgbClr val="2C307E"/>
                </a:solidFill>
                <a:latin typeface="+mn-lt"/>
                <a:ea typeface="+mn-ea"/>
                <a:cs typeface="+mn-cs"/>
              </a:defRPr>
            </a:pPr>
            <a:endParaRPr lang="nl-NL"/>
          </a:p>
        </c:txPr>
        <c:crossAx val="813079296"/>
        <c:crosses val="autoZero"/>
        <c:auto val="1"/>
        <c:lblAlgn val="ctr"/>
        <c:lblOffset val="100"/>
        <c:noMultiLvlLbl val="0"/>
      </c:catAx>
      <c:valAx>
        <c:axId val="81307929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lgn="ctr">
              <a:defRPr lang="en-US" sz="900" b="0" i="0" u="none" strike="noStrike" kern="1200" baseline="0">
                <a:solidFill>
                  <a:srgbClr val="2C307E"/>
                </a:solidFill>
                <a:latin typeface="+mn-lt"/>
                <a:ea typeface="+mn-ea"/>
                <a:cs typeface="+mn-cs"/>
              </a:defRPr>
            </a:pPr>
            <a:endParaRPr lang="nl-NL"/>
          </a:p>
        </c:txPr>
        <c:crossAx val="813078936"/>
        <c:crosses val="autoZero"/>
        <c:crossBetween val="between"/>
      </c:valAx>
    </c:plotArea>
    <c:legend>
      <c:legendPos val="b"/>
      <c:layout>
        <c:manualLayout>
          <c:xMode val="edge"/>
          <c:yMode val="edge"/>
          <c:x val="0.25787759313443065"/>
          <c:y val="0.901888848196301"/>
          <c:w val="0.48424443716414933"/>
          <c:h val="9.8111151803698962E-2"/>
        </c:manualLayout>
      </c:layout>
      <c:overlay val="0"/>
      <c:spPr>
        <a:noFill/>
        <a:ln>
          <a:noFill/>
        </a:ln>
        <a:effectLst/>
      </c:spPr>
      <c:txPr>
        <a:bodyPr rot="0" spcFirstLastPara="1" vertOverflow="ellipsis" vert="horz" wrap="square" anchor="ctr" anchorCtr="1"/>
        <a:lstStyle/>
        <a:p>
          <a:pPr algn="ctr">
            <a:defRPr lang="en-US" sz="900" b="0" i="0" u="none" strike="noStrike" kern="1200" baseline="0">
              <a:solidFill>
                <a:srgbClr val="2C307E"/>
              </a:solidFill>
              <a:latin typeface="+mn-lt"/>
              <a:ea typeface="+mn-ea"/>
              <a:cs typeface="+mn-cs"/>
            </a:defRPr>
          </a:pPr>
          <a:endParaRPr lang="nl-NL"/>
        </a:p>
      </c:txPr>
    </c:legend>
    <c:plotVisOnly val="1"/>
    <c:dispBlanksAs val="gap"/>
    <c:showDLblsOverMax val="0"/>
    <c:extLst/>
  </c:chart>
  <c:spPr>
    <a:noFill/>
    <a:ln w="9525" cap="flat" cmpd="sng" algn="ctr">
      <a:noFill/>
      <a:round/>
    </a:ln>
    <a:effectLst/>
  </c:spPr>
  <c:txPr>
    <a:bodyPr/>
    <a:lstStyle/>
    <a:p>
      <a:pPr>
        <a:defRPr/>
      </a:pPr>
      <a:endParaRPr lang="nl-NL"/>
    </a:p>
  </c:txPr>
  <c:externalData r:id="rId1">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rgbClr val="2C307E"/>
                </a:solidFill>
                <a:latin typeface="+mn-lt"/>
                <a:ea typeface="+mn-ea"/>
                <a:cs typeface="+mn-cs"/>
              </a:defRPr>
            </a:pPr>
            <a:r>
              <a:rPr lang="nl-NL" sz="1100" b="0" i="0" u="none" strike="noStrike" kern="1200" spc="0" baseline="0">
                <a:solidFill>
                  <a:srgbClr val="2C307E"/>
                </a:solidFill>
              </a:rPr>
              <a:t>Bij de openbare laadpaal: hoe belangrijk vind je...</a:t>
            </a:r>
          </a:p>
        </c:rich>
      </c:tx>
      <c:overlay val="0"/>
      <c:spPr>
        <a:noFill/>
        <a:ln>
          <a:noFill/>
        </a:ln>
        <a:effectLst/>
      </c:spPr>
    </c:title>
    <c:autoTitleDeleted val="0"/>
    <c:plotArea>
      <c:layout>
        <c:manualLayout>
          <c:layoutTarget val="inner"/>
          <c:xMode val="edge"/>
          <c:yMode val="edge"/>
          <c:x val="0.14274259731618055"/>
          <c:y val="0.16063648293963254"/>
          <c:w val="0.80561421019555657"/>
          <c:h val="0.44508558712769597"/>
        </c:manualLayout>
      </c:layout>
      <c:barChart>
        <c:barDir val="col"/>
        <c:grouping val="clustered"/>
        <c:varyColors val="0"/>
        <c:ser>
          <c:idx val="0"/>
          <c:order val="0"/>
          <c:tx>
            <c:strRef>
              <c:f>'3.3b betaalmethodes'!$M$67</c:f>
              <c:strCache>
                <c:ptCount val="1"/>
                <c:pt idx="0">
                  <c:v>Onbelangrijk</c:v>
                </c:pt>
              </c:strCache>
            </c:strRef>
          </c:tx>
          <c:spPr>
            <a:solidFill>
              <a:srgbClr val="2C307E"/>
            </a:solidFill>
            <a:ln>
              <a:noFill/>
            </a:ln>
            <a:effectLst/>
          </c:spPr>
          <c:invertIfNegative val="0"/>
          <c:dLbls>
            <c:spPr>
              <a:noFill/>
              <a:ln>
                <a:noFill/>
              </a:ln>
              <a:effectLst/>
            </c:spPr>
            <c:txPr>
              <a:bodyPr wrap="square" lIns="38100" tIns="19050" rIns="38100" bIns="19050" anchor="ctr" anchorCtr="0">
                <a:spAutoFit/>
              </a:bodyPr>
              <a:lstStyle/>
              <a:p>
                <a:pPr algn="ctr">
                  <a:defRPr lang="en-US" sz="800" b="1" i="0" u="none" strike="noStrike" kern="1200" baseline="0">
                    <a:solidFill>
                      <a:srgbClr val="2C307E"/>
                    </a:solidFill>
                    <a:latin typeface="+mn-lt"/>
                    <a:ea typeface="+mn-ea"/>
                    <a:cs typeface="+mn-cs"/>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'3.3b betaalmethodes'!$L$68:$L$70</c:f>
              <c:strCache>
                <c:ptCount val="3"/>
                <c:pt idx="0">
                  <c:v>...vooraf inzicht hebben in het laadtarief per laadpaal  </c:v>
                </c:pt>
                <c:pt idx="1">
                  <c:v>...direct zien wat je betaalt </c:v>
                </c:pt>
                <c:pt idx="2">
                  <c:v>...één laadtarief per laadpaal </c:v>
                </c:pt>
              </c:strCache>
            </c:strRef>
          </c:cat>
          <c:val>
            <c:numRef>
              <c:f>'3.3b betaalmethodes'!$M$68:$M$70</c:f>
              <c:numCache>
                <c:formatCode>0%</c:formatCode>
                <c:ptCount val="3"/>
                <c:pt idx="0">
                  <c:v>7.0222222222222228E-2</c:v>
                </c:pt>
                <c:pt idx="1">
                  <c:v>6.6725978647686826E-2</c:v>
                </c:pt>
                <c:pt idx="2">
                  <c:v>8.533333333333333E-2</c:v>
                </c:pt>
              </c:numCache>
            </c:numRef>
          </c:val>
          <c:extLst>
            <c:ext xmlns:c16="http://schemas.microsoft.com/office/drawing/2014/chart" uri="{C3380CC4-5D6E-409C-BE32-E72D297353CC}">
              <c16:uniqueId val="{00000000-DB95-413C-BEB1-3DA8F775077C}"/>
            </c:ext>
          </c:extLst>
        </c:ser>
        <c:ser>
          <c:idx val="1"/>
          <c:order val="1"/>
          <c:tx>
            <c:strRef>
              <c:f>'3.3b betaalmethodes'!$N$67</c:f>
              <c:strCache>
                <c:ptCount val="1"/>
                <c:pt idx="0">
                  <c:v>Engiszins onbelangrijk</c:v>
                </c:pt>
              </c:strCache>
            </c:strRef>
          </c:tx>
          <c:spPr>
            <a:solidFill>
              <a:srgbClr val="08B466"/>
            </a:solidFill>
          </c:spPr>
          <c:invertIfNegative val="0"/>
          <c:dLbls>
            <c:dLbl>
              <c:idx val="0"/>
              <c:layout>
                <c:manualLayout>
                  <c:x val="-4.3035496590490119E-17"/>
                  <c:y val="1.44927536231883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75D-4AD8-95F0-B33901AC084B}"/>
                </c:ext>
              </c:extLst>
            </c:dLbl>
            <c:dLbl>
              <c:idx val="2"/>
              <c:layout>
                <c:manualLayout>
                  <c:x val="9.3896713615022609E-3"/>
                  <c:y val="1.811594202898550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75D-4AD8-95F0-B33901AC084B}"/>
                </c:ext>
              </c:extLst>
            </c:dLbl>
            <c:spPr>
              <a:noFill/>
              <a:ln>
                <a:noFill/>
              </a:ln>
              <a:effectLst/>
            </c:spPr>
            <c:txPr>
              <a:bodyPr wrap="square" lIns="38100" tIns="19050" rIns="38100" bIns="19050" anchor="ctr" anchorCtr="0">
                <a:spAutoFit/>
              </a:bodyPr>
              <a:lstStyle/>
              <a:p>
                <a:pPr algn="ctr">
                  <a:defRPr lang="en-US" sz="800" b="1" i="0" u="none" strike="noStrike" kern="1200" baseline="0">
                    <a:solidFill>
                      <a:srgbClr val="2C307E"/>
                    </a:solidFill>
                    <a:latin typeface="+mn-lt"/>
                    <a:ea typeface="+mn-ea"/>
                    <a:cs typeface="+mn-cs"/>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'3.3b betaalmethodes'!$L$68:$L$70</c:f>
              <c:strCache>
                <c:ptCount val="3"/>
                <c:pt idx="0">
                  <c:v>...vooraf inzicht hebben in het laadtarief per laadpaal  </c:v>
                </c:pt>
                <c:pt idx="1">
                  <c:v>...direct zien wat je betaalt </c:v>
                </c:pt>
                <c:pt idx="2">
                  <c:v>...één laadtarief per laadpaal </c:v>
                </c:pt>
              </c:strCache>
            </c:strRef>
          </c:cat>
          <c:val>
            <c:numRef>
              <c:f>'3.3b betaalmethodes'!$N$68:$N$70</c:f>
              <c:numCache>
                <c:formatCode>0%</c:formatCode>
                <c:ptCount val="3"/>
                <c:pt idx="0">
                  <c:v>5.1555555555555556E-2</c:v>
                </c:pt>
                <c:pt idx="1">
                  <c:v>3.7366548042704624E-2</c:v>
                </c:pt>
                <c:pt idx="2">
                  <c:v>0.08</c:v>
                </c:pt>
              </c:numCache>
            </c:numRef>
          </c:val>
          <c:extLst>
            <c:ext xmlns:c16="http://schemas.microsoft.com/office/drawing/2014/chart" uri="{C3380CC4-5D6E-409C-BE32-E72D297353CC}">
              <c16:uniqueId val="{00000001-DB95-413C-BEB1-3DA8F775077C}"/>
            </c:ext>
          </c:extLst>
        </c:ser>
        <c:ser>
          <c:idx val="2"/>
          <c:order val="2"/>
          <c:tx>
            <c:strRef>
              <c:f>'3.3b betaalmethodes'!$O$67</c:f>
              <c:strCache>
                <c:ptCount val="1"/>
                <c:pt idx="0">
                  <c:v>Neutraal</c:v>
                </c:pt>
              </c:strCache>
            </c:strRef>
          </c:tx>
          <c:spPr>
            <a:solidFill>
              <a:srgbClr val="C9C743"/>
            </a:solidFill>
          </c:spPr>
          <c:invertIfNegative val="0"/>
          <c:dLbls>
            <c:spPr>
              <a:noFill/>
              <a:ln>
                <a:noFill/>
              </a:ln>
              <a:effectLst/>
            </c:spPr>
            <c:txPr>
              <a:bodyPr wrap="square" lIns="38100" tIns="19050" rIns="38100" bIns="19050" anchor="ctr" anchorCtr="0">
                <a:spAutoFit/>
              </a:bodyPr>
              <a:lstStyle/>
              <a:p>
                <a:pPr algn="ctr">
                  <a:defRPr lang="en-US" sz="800" b="1" i="0" u="none" strike="noStrike" kern="1200" baseline="0">
                    <a:solidFill>
                      <a:srgbClr val="2C307E"/>
                    </a:solidFill>
                    <a:latin typeface="+mn-lt"/>
                    <a:ea typeface="+mn-ea"/>
                    <a:cs typeface="+mn-cs"/>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'3.3b betaalmethodes'!$L$68:$L$70</c:f>
              <c:strCache>
                <c:ptCount val="3"/>
                <c:pt idx="0">
                  <c:v>...vooraf inzicht hebben in het laadtarief per laadpaal  </c:v>
                </c:pt>
                <c:pt idx="1">
                  <c:v>...direct zien wat je betaalt </c:v>
                </c:pt>
                <c:pt idx="2">
                  <c:v>...één laadtarief per laadpaal </c:v>
                </c:pt>
              </c:strCache>
            </c:strRef>
          </c:cat>
          <c:val>
            <c:numRef>
              <c:f>'3.3b betaalmethodes'!$O$68:$O$70</c:f>
              <c:numCache>
                <c:formatCode>0%</c:formatCode>
                <c:ptCount val="3"/>
                <c:pt idx="0">
                  <c:v>8.0888888888888885E-2</c:v>
                </c:pt>
                <c:pt idx="1">
                  <c:v>0.13523131672597866</c:v>
                </c:pt>
                <c:pt idx="2">
                  <c:v>0.192</c:v>
                </c:pt>
              </c:numCache>
            </c:numRef>
          </c:val>
          <c:extLst>
            <c:ext xmlns:c16="http://schemas.microsoft.com/office/drawing/2014/chart" uri="{C3380CC4-5D6E-409C-BE32-E72D297353CC}">
              <c16:uniqueId val="{00000002-DB95-413C-BEB1-3DA8F775077C}"/>
            </c:ext>
          </c:extLst>
        </c:ser>
        <c:ser>
          <c:idx val="3"/>
          <c:order val="3"/>
          <c:tx>
            <c:strRef>
              <c:f>'3.3b betaalmethodes'!$P$67</c:f>
              <c:strCache>
                <c:ptCount val="1"/>
                <c:pt idx="0">
                  <c:v>Enigszins belangrijk</c:v>
                </c:pt>
              </c:strCache>
            </c:strRef>
          </c:tx>
          <c:spPr>
            <a:solidFill>
              <a:srgbClr val="BAD6ED"/>
            </a:solidFill>
            <a:ln>
              <a:noFill/>
            </a:ln>
            <a:effectLst/>
          </c:spPr>
          <c:invertIfNegative val="0"/>
          <c:dLbls>
            <c:spPr>
              <a:noFill/>
              <a:ln>
                <a:noFill/>
              </a:ln>
              <a:effectLst/>
            </c:spPr>
            <c:txPr>
              <a:bodyPr wrap="square" lIns="38100" tIns="19050" rIns="38100" bIns="19050" anchor="ctr" anchorCtr="0">
                <a:spAutoFit/>
              </a:bodyPr>
              <a:lstStyle/>
              <a:p>
                <a:pPr algn="ctr">
                  <a:defRPr lang="en-US" sz="800" b="1" i="0" u="none" strike="noStrike" kern="1200" baseline="0">
                    <a:solidFill>
                      <a:srgbClr val="2C307E"/>
                    </a:solidFill>
                    <a:latin typeface="+mn-lt"/>
                    <a:ea typeface="+mn-ea"/>
                    <a:cs typeface="+mn-cs"/>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'3.3b betaalmethodes'!$L$68:$L$70</c:f>
              <c:strCache>
                <c:ptCount val="3"/>
                <c:pt idx="0">
                  <c:v>...vooraf inzicht hebben in het laadtarief per laadpaal  </c:v>
                </c:pt>
                <c:pt idx="1">
                  <c:v>...direct zien wat je betaalt </c:v>
                </c:pt>
                <c:pt idx="2">
                  <c:v>...één laadtarief per laadpaal </c:v>
                </c:pt>
              </c:strCache>
            </c:strRef>
          </c:cat>
          <c:val>
            <c:numRef>
              <c:f>'3.3b betaalmethodes'!$P$68:$P$70</c:f>
              <c:numCache>
                <c:formatCode>0%</c:formatCode>
                <c:ptCount val="3"/>
                <c:pt idx="0">
                  <c:v>0.25244444444444447</c:v>
                </c:pt>
                <c:pt idx="1">
                  <c:v>0.29270462633451955</c:v>
                </c:pt>
                <c:pt idx="2">
                  <c:v>0.25777777777777777</c:v>
                </c:pt>
              </c:numCache>
            </c:numRef>
          </c:val>
          <c:extLst>
            <c:ext xmlns:c16="http://schemas.microsoft.com/office/drawing/2014/chart" uri="{C3380CC4-5D6E-409C-BE32-E72D297353CC}">
              <c16:uniqueId val="{00000003-DB95-413C-BEB1-3DA8F775077C}"/>
            </c:ext>
          </c:extLst>
        </c:ser>
        <c:ser>
          <c:idx val="4"/>
          <c:order val="4"/>
          <c:tx>
            <c:strRef>
              <c:f>'3.3b betaalmethodes'!$Q$67</c:f>
              <c:strCache>
                <c:ptCount val="1"/>
                <c:pt idx="0">
                  <c:v>Belangrijk</c:v>
                </c:pt>
              </c:strCache>
            </c:strRef>
          </c:tx>
          <c:spPr>
            <a:solidFill>
              <a:srgbClr val="4EAFAA"/>
            </a:solidFill>
          </c:spPr>
          <c:invertIfNegative val="0"/>
          <c:dLbls>
            <c:spPr>
              <a:noFill/>
              <a:ln>
                <a:noFill/>
              </a:ln>
              <a:effectLst/>
            </c:spPr>
            <c:txPr>
              <a:bodyPr wrap="square" lIns="38100" tIns="19050" rIns="38100" bIns="19050" anchor="ctr" anchorCtr="0">
                <a:spAutoFit/>
              </a:bodyPr>
              <a:lstStyle/>
              <a:p>
                <a:pPr algn="ctr">
                  <a:defRPr lang="en-US" sz="800" b="1" i="0" u="none" strike="noStrike" kern="1200" baseline="0">
                    <a:solidFill>
                      <a:srgbClr val="2C307E"/>
                    </a:solidFill>
                    <a:latin typeface="+mn-lt"/>
                    <a:ea typeface="+mn-ea"/>
                    <a:cs typeface="+mn-cs"/>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'3.3b betaalmethodes'!$L$68:$L$70</c:f>
              <c:strCache>
                <c:ptCount val="3"/>
                <c:pt idx="0">
                  <c:v>...vooraf inzicht hebben in het laadtarief per laadpaal  </c:v>
                </c:pt>
                <c:pt idx="1">
                  <c:v>...direct zien wat je betaalt </c:v>
                </c:pt>
                <c:pt idx="2">
                  <c:v>...één laadtarief per laadpaal </c:v>
                </c:pt>
              </c:strCache>
            </c:strRef>
          </c:cat>
          <c:val>
            <c:numRef>
              <c:f>'3.3b betaalmethodes'!$Q$68:$Q$70</c:f>
              <c:numCache>
                <c:formatCode>0%</c:formatCode>
                <c:ptCount val="3"/>
                <c:pt idx="0">
                  <c:v>0.54488888888888887</c:v>
                </c:pt>
                <c:pt idx="1">
                  <c:v>0.46797153024911031</c:v>
                </c:pt>
                <c:pt idx="2">
                  <c:v>0.38488888888888889</c:v>
                </c:pt>
              </c:numCache>
            </c:numRef>
          </c:val>
          <c:extLst>
            <c:ext xmlns:c16="http://schemas.microsoft.com/office/drawing/2014/chart" uri="{C3380CC4-5D6E-409C-BE32-E72D297353CC}">
              <c16:uniqueId val="{00000004-DB95-413C-BEB1-3DA8F775077C}"/>
            </c:ext>
          </c:extLst>
        </c:ser>
        <c:dLbls>
          <c:showLegendKey val="0"/>
          <c:showVal val="0"/>
          <c:showCatName val="0"/>
          <c:showSerName val="0"/>
          <c:showPercent val="0"/>
          <c:showBubbleSize val="0"/>
        </c:dLbls>
        <c:gapWidth val="219"/>
        <c:overlap val="-27"/>
        <c:axId val="859086912"/>
        <c:axId val="859090872"/>
      </c:barChart>
      <c:catAx>
        <c:axId val="8590869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vert="horz" wrap="square" anchor="t" anchorCtr="0"/>
          <a:lstStyle/>
          <a:p>
            <a:pPr>
              <a:lnSpc>
                <a:spcPct val="100000"/>
              </a:lnSpc>
              <a:defRPr sz="900" b="0" i="0" u="none" strike="noStrike" kern="1200" baseline="0">
                <a:solidFill>
                  <a:srgbClr val="2C307E"/>
                </a:solidFill>
                <a:latin typeface="+mn-lt"/>
                <a:ea typeface="+mn-ea"/>
                <a:cs typeface="+mn-cs"/>
              </a:defRPr>
            </a:pPr>
            <a:endParaRPr lang="nl-NL"/>
          </a:p>
        </c:txPr>
        <c:crossAx val="859090872"/>
        <c:crosses val="autoZero"/>
        <c:auto val="0"/>
        <c:lblAlgn val="ctr"/>
        <c:lblOffset val="100"/>
        <c:noMultiLvlLbl val="0"/>
      </c:catAx>
      <c:valAx>
        <c:axId val="859090872"/>
        <c:scaling>
          <c:orientation val="minMax"/>
          <c:max val="0.60000000000000009"/>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2C307E"/>
                </a:solidFill>
                <a:latin typeface="+mn-lt"/>
                <a:ea typeface="+mn-ea"/>
                <a:cs typeface="+mn-cs"/>
              </a:defRPr>
            </a:pPr>
            <a:endParaRPr lang="nl-NL"/>
          </a:p>
        </c:txPr>
        <c:crossAx val="859086912"/>
        <c:crosses val="autoZero"/>
        <c:crossBetween val="between"/>
        <c:majorUnit val="0.2"/>
      </c:valAx>
    </c:plotArea>
    <c:legend>
      <c:legendPos val="b"/>
      <c:layout>
        <c:manualLayout>
          <c:xMode val="edge"/>
          <c:yMode val="edge"/>
          <c:x val="8.116446711766663E-2"/>
          <c:y val="0.79335587127695995"/>
          <c:w val="0.87992458689142716"/>
          <c:h val="0.20203796068899749"/>
        </c:manualLayout>
      </c:layout>
      <c:overlay val="0"/>
      <c:txPr>
        <a:bodyPr/>
        <a:lstStyle/>
        <a:p>
          <a:pPr algn="ctr">
            <a:defRPr lang="en-US" sz="900" b="0" i="0" u="none" strike="noStrike" kern="1200" baseline="0">
              <a:solidFill>
                <a:srgbClr val="2C307E"/>
              </a:solidFill>
              <a:latin typeface="+mn-lt"/>
              <a:ea typeface="+mn-ea"/>
              <a:cs typeface="+mn-cs"/>
            </a:defRPr>
          </a:pPr>
          <a:endParaRPr lang="nl-NL"/>
        </a:p>
      </c:txPr>
    </c:legend>
    <c:plotVisOnly val="1"/>
    <c:dispBlanksAs val="gap"/>
    <c:showDLblsOverMax val="0"/>
    <c:extLst/>
  </c:chart>
  <c:spPr>
    <a:noFill/>
    <a:ln>
      <a:noFill/>
    </a:ln>
  </c:spPr>
  <c:txPr>
    <a:bodyPr/>
    <a:lstStyle/>
    <a:p>
      <a:pPr>
        <a:defRPr/>
      </a:pPr>
      <a:endParaRPr lang="nl-NL"/>
    </a:p>
  </c:txPr>
  <c:externalData r:id="rId1">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rgbClr val="2C307E"/>
                </a:solidFill>
                <a:latin typeface="+mn-lt"/>
                <a:ea typeface="+mn-ea"/>
                <a:cs typeface="+mn-cs"/>
              </a:defRPr>
            </a:pPr>
            <a:r>
              <a:rPr lang="nl-NL" sz="1100">
                <a:solidFill>
                  <a:srgbClr val="2C307E"/>
                </a:solidFill>
              </a:rPr>
              <a:t>Weet je wat je betaalt aan de openbare laadpaal?</a:t>
            </a:r>
          </a:p>
        </c:rich>
      </c:tx>
      <c:overlay val="0"/>
      <c:spPr>
        <a:noFill/>
        <a:ln>
          <a:noFill/>
        </a:ln>
        <a:effectLst/>
      </c:spPr>
    </c:title>
    <c:autoTitleDeleted val="0"/>
    <c:plotArea>
      <c:layout/>
      <c:barChart>
        <c:barDir val="col"/>
        <c:grouping val="clustered"/>
        <c:varyColors val="0"/>
        <c:ser>
          <c:idx val="0"/>
          <c:order val="0"/>
          <c:tx>
            <c:strRef>
              <c:f>'3.3b betaalmethodes'!$G$235</c:f>
              <c:strCache>
                <c:ptCount val="1"/>
                <c:pt idx="0">
                  <c:v>Ik vind het belangrijk vooraf inzicht te hebben in het laadtarief per laadpaal  </c:v>
                </c:pt>
              </c:strCache>
            </c:strRef>
          </c:tx>
          <c:spPr>
            <a:solidFill>
              <a:srgbClr val="C9C743"/>
            </a:solidFill>
            <a:ln>
              <a:noFill/>
            </a:ln>
            <a:effectLst/>
          </c:spPr>
          <c:invertIfNegative val="0"/>
          <c:dLbls>
            <c:spPr>
              <a:noFill/>
              <a:ln>
                <a:noFill/>
              </a:ln>
              <a:effectLst/>
            </c:spPr>
            <c:txPr>
              <a:bodyPr wrap="square" lIns="38100" tIns="19050" rIns="38100" bIns="19050" anchor="ctr" anchorCtr="0">
                <a:spAutoFit/>
              </a:bodyPr>
              <a:lstStyle/>
              <a:p>
                <a:pPr algn="ctr">
                  <a:defRPr lang="en-US" sz="800" b="1" i="0" u="none" strike="noStrike" kern="1200" baseline="0">
                    <a:solidFill>
                      <a:srgbClr val="4EAFAA"/>
                    </a:solidFill>
                    <a:latin typeface="+mn-lt"/>
                    <a:ea typeface="+mn-ea"/>
                    <a:cs typeface="+mn-cs"/>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'3.3b betaalmethodes'!$B$236:$B$240</c:f>
              <c:strCache>
                <c:ptCount val="5"/>
                <c:pt idx="0">
                  <c:v>Nooit</c:v>
                </c:pt>
                <c:pt idx="1">
                  <c:v>Meestal niet</c:v>
                </c:pt>
                <c:pt idx="2">
                  <c:v>Soms</c:v>
                </c:pt>
                <c:pt idx="3">
                  <c:v>Vaak</c:v>
                </c:pt>
                <c:pt idx="4">
                  <c:v>Altijd</c:v>
                </c:pt>
              </c:strCache>
            </c:strRef>
          </c:cat>
          <c:val>
            <c:numRef>
              <c:f>'3.3b betaalmethodes'!$G$236:$G$240</c:f>
              <c:numCache>
                <c:formatCode>0%</c:formatCode>
                <c:ptCount val="5"/>
                <c:pt idx="0">
                  <c:v>5.8558558558558557E-2</c:v>
                </c:pt>
                <c:pt idx="1">
                  <c:v>9.2342342342342343E-2</c:v>
                </c:pt>
                <c:pt idx="2">
                  <c:v>8.7837837837837843E-2</c:v>
                </c:pt>
                <c:pt idx="3">
                  <c:v>0.23198198198198197</c:v>
                </c:pt>
                <c:pt idx="4">
                  <c:v>0.52927927927927931</c:v>
                </c:pt>
              </c:numCache>
            </c:numRef>
          </c:val>
          <c:extLst>
            <c:ext xmlns:c16="http://schemas.microsoft.com/office/drawing/2014/chart" uri="{C3380CC4-5D6E-409C-BE32-E72D297353CC}">
              <c16:uniqueId val="{00000000-50C1-42A2-8C29-D8FDDA4CA05F}"/>
            </c:ext>
          </c:extLst>
        </c:ser>
        <c:dLbls>
          <c:showLegendKey val="0"/>
          <c:showVal val="0"/>
          <c:showCatName val="0"/>
          <c:showSerName val="0"/>
          <c:showPercent val="0"/>
          <c:showBubbleSize val="0"/>
        </c:dLbls>
        <c:gapWidth val="219"/>
        <c:overlap val="-27"/>
        <c:axId val="859086912"/>
        <c:axId val="859090872"/>
      </c:barChart>
      <c:catAx>
        <c:axId val="8590869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2C307E"/>
                </a:solidFill>
                <a:latin typeface="+mn-lt"/>
                <a:ea typeface="+mn-ea"/>
                <a:cs typeface="+mn-cs"/>
              </a:defRPr>
            </a:pPr>
            <a:endParaRPr lang="nl-NL"/>
          </a:p>
        </c:txPr>
        <c:crossAx val="859090872"/>
        <c:crosses val="autoZero"/>
        <c:auto val="1"/>
        <c:lblAlgn val="ctr"/>
        <c:lblOffset val="100"/>
        <c:noMultiLvlLbl val="0"/>
      </c:catAx>
      <c:valAx>
        <c:axId val="8590908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2C307E"/>
                </a:solidFill>
                <a:latin typeface="+mn-lt"/>
                <a:ea typeface="+mn-ea"/>
                <a:cs typeface="+mn-cs"/>
              </a:defRPr>
            </a:pPr>
            <a:endParaRPr lang="nl-NL"/>
          </a:p>
        </c:txPr>
        <c:crossAx val="859086912"/>
        <c:crosses val="autoZero"/>
        <c:crossBetween val="between"/>
      </c:valAx>
      <c:spPr>
        <a:noFill/>
        <a:ln>
          <a:noFill/>
        </a:ln>
      </c:spPr>
    </c:plotArea>
    <c:legend>
      <c:legendPos val="b"/>
      <c:overlay val="0"/>
      <c:txPr>
        <a:bodyPr/>
        <a:lstStyle/>
        <a:p>
          <a:pPr algn="ctr">
            <a:defRPr lang="en-US" sz="900" b="0" i="0" u="none" strike="noStrike" kern="1200" baseline="0">
              <a:solidFill>
                <a:srgbClr val="2C307E"/>
              </a:solidFill>
              <a:latin typeface="+mn-lt"/>
              <a:ea typeface="+mn-ea"/>
              <a:cs typeface="+mn-cs"/>
            </a:defRPr>
          </a:pPr>
          <a:endParaRPr lang="nl-NL"/>
        </a:p>
      </c:txPr>
    </c:legend>
    <c:plotVisOnly val="1"/>
    <c:dispBlanksAs val="gap"/>
    <c:showDLblsOverMax val="0"/>
    <c:extLst/>
  </c:chart>
  <c:spPr>
    <a:noFill/>
    <a:ln>
      <a:noFill/>
    </a:ln>
  </c:spPr>
  <c:txPr>
    <a:bodyPr/>
    <a:lstStyle/>
    <a:p>
      <a:pPr>
        <a:defRPr/>
      </a:pPr>
      <a:endParaRPr lang="nl-NL"/>
    </a:p>
  </c:txPr>
  <c:externalData r:id="rId1">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lgn="ctr" rtl="0">
              <a:defRPr lang="nl-NL" sz="1100" b="0" i="0" u="none" strike="noStrike" kern="1200" spc="0" baseline="0">
                <a:solidFill>
                  <a:srgbClr val="2C307E"/>
                </a:solidFill>
                <a:latin typeface="+mn-lt"/>
                <a:ea typeface="+mn-ea"/>
                <a:cs typeface="+mn-cs"/>
              </a:defRPr>
            </a:pPr>
            <a:r>
              <a:rPr lang="nl-NL" sz="1100" b="0" i="0" u="none" strike="noStrike" kern="1200" spc="0" baseline="0">
                <a:solidFill>
                  <a:srgbClr val="2C307E"/>
                </a:solidFill>
                <a:latin typeface="+mn-lt"/>
                <a:ea typeface="+mn-ea"/>
                <a:cs typeface="+mn-cs"/>
              </a:rPr>
              <a:t>Wie betaalt voor het laden van je elektrische auto?</a:t>
            </a:r>
          </a:p>
        </c:rich>
      </c:tx>
      <c:overlay val="0"/>
    </c:title>
    <c:autoTitleDeleted val="0"/>
    <c:plotArea>
      <c:layout/>
      <c:barChart>
        <c:barDir val="col"/>
        <c:grouping val="clustered"/>
        <c:varyColors val="0"/>
        <c:ser>
          <c:idx val="0"/>
          <c:order val="0"/>
          <c:tx>
            <c:strRef>
              <c:f>'3.3 laadgedrag algemeen'!$H$176</c:f>
              <c:strCache>
                <c:ptCount val="1"/>
                <c:pt idx="0">
                  <c:v>2023</c:v>
                </c:pt>
              </c:strCache>
            </c:strRef>
          </c:tx>
          <c:spPr>
            <a:solidFill>
              <a:srgbClr val="2C307E"/>
            </a:solidFill>
            <a:ln>
              <a:noFill/>
            </a:ln>
            <a:effectLst/>
          </c:spPr>
          <c:invertIfNegative val="0"/>
          <c:cat>
            <c:strRef>
              <c:f>('3.3 laadgedrag algemeen'!$C$177,'3.3 laadgedrag algemeen'!$C$181)</c:f>
              <c:strCache>
                <c:ptCount val="2"/>
                <c:pt idx="0">
                  <c:v>Ik betaal zelf</c:v>
                </c:pt>
                <c:pt idx="1">
                  <c:v>Mijn werkgever betaalt mijn laadkosten</c:v>
                </c:pt>
              </c:strCache>
              <c:extLst/>
            </c:strRef>
          </c:cat>
          <c:val>
            <c:numRef>
              <c:f>('3.3 laadgedrag algemeen'!$H$177,'3.3 laadgedrag algemeen'!$H$181)</c:f>
              <c:numCache>
                <c:formatCode>0%</c:formatCode>
                <c:ptCount val="2"/>
                <c:pt idx="0">
                  <c:v>0.63</c:v>
                </c:pt>
                <c:pt idx="1">
                  <c:v>0.3</c:v>
                </c:pt>
              </c:numCache>
              <c:extLst/>
            </c:numRef>
          </c:val>
          <c:extLst>
            <c:ext xmlns:c16="http://schemas.microsoft.com/office/drawing/2014/chart" uri="{C3380CC4-5D6E-409C-BE32-E72D297353CC}">
              <c16:uniqueId val="{00000000-EFF3-446C-BB7F-774F5FA94181}"/>
            </c:ext>
          </c:extLst>
        </c:ser>
        <c:ser>
          <c:idx val="1"/>
          <c:order val="1"/>
          <c:tx>
            <c:strRef>
              <c:f>'3.3 laadgedrag algemeen'!$G$176</c:f>
              <c:strCache>
                <c:ptCount val="1"/>
                <c:pt idx="0">
                  <c:v>2024</c:v>
                </c:pt>
              </c:strCache>
            </c:strRef>
          </c:tx>
          <c:spPr>
            <a:solidFill>
              <a:srgbClr val="08B466"/>
            </a:solidFill>
          </c:spPr>
          <c:invertIfNegative val="0"/>
          <c:cat>
            <c:strRef>
              <c:f>('3.3 laadgedrag algemeen'!$C$177,'3.3 laadgedrag algemeen'!$C$181)</c:f>
              <c:strCache>
                <c:ptCount val="2"/>
                <c:pt idx="0">
                  <c:v>Ik betaal zelf</c:v>
                </c:pt>
                <c:pt idx="1">
                  <c:v>Mijn werkgever betaalt mijn laadkosten</c:v>
                </c:pt>
              </c:strCache>
              <c:extLst/>
            </c:strRef>
          </c:cat>
          <c:val>
            <c:numRef>
              <c:f>('3.3 laadgedrag algemeen'!$G$177,'3.3 laadgedrag algemeen'!$G$181)</c:f>
              <c:numCache>
                <c:formatCode>0%</c:formatCode>
                <c:ptCount val="2"/>
                <c:pt idx="0">
                  <c:v>0.66524701873935266</c:v>
                </c:pt>
                <c:pt idx="1">
                  <c:v>0.27030096536059056</c:v>
                </c:pt>
              </c:numCache>
              <c:extLst/>
            </c:numRef>
          </c:val>
          <c:extLst>
            <c:ext xmlns:c16="http://schemas.microsoft.com/office/drawing/2014/chart" uri="{C3380CC4-5D6E-409C-BE32-E72D297353CC}">
              <c16:uniqueId val="{00000001-EFF3-446C-BB7F-774F5FA94181}"/>
            </c:ext>
          </c:extLst>
        </c:ser>
        <c:ser>
          <c:idx val="2"/>
          <c:order val="2"/>
          <c:tx>
            <c:strRef>
              <c:f>'3.3 laadgedrag algemeen'!$E$176</c:f>
              <c:strCache>
                <c:ptCount val="1"/>
                <c:pt idx="0">
                  <c:v>2025</c:v>
                </c:pt>
              </c:strCache>
            </c:strRef>
          </c:tx>
          <c:spPr>
            <a:solidFill>
              <a:srgbClr val="C9C743"/>
            </a:solidFill>
          </c:spPr>
          <c:invertIfNegative val="0"/>
          <c:dLbls>
            <c:spPr>
              <a:noFill/>
              <a:ln>
                <a:noFill/>
              </a:ln>
              <a:effectLst/>
            </c:spPr>
            <c:txPr>
              <a:bodyPr wrap="square" lIns="38100" tIns="19050" rIns="38100" bIns="19050" anchor="ctr" anchorCtr="0">
                <a:spAutoFit/>
              </a:bodyPr>
              <a:lstStyle/>
              <a:p>
                <a:pPr algn="ctr">
                  <a:defRPr lang="en-US" sz="800" b="1" i="0" u="none" strike="noStrike" kern="1200" baseline="0">
                    <a:solidFill>
                      <a:srgbClr val="4EAFAA"/>
                    </a:solidFill>
                    <a:latin typeface="+mn-lt"/>
                    <a:ea typeface="+mn-ea"/>
                    <a:cs typeface="+mn-cs"/>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('3.3 laadgedrag algemeen'!$C$177,'3.3 laadgedrag algemeen'!$C$181)</c:f>
              <c:strCache>
                <c:ptCount val="2"/>
                <c:pt idx="0">
                  <c:v>Ik betaal zelf</c:v>
                </c:pt>
                <c:pt idx="1">
                  <c:v>Mijn werkgever betaalt mijn laadkosten</c:v>
                </c:pt>
              </c:strCache>
              <c:extLst/>
            </c:strRef>
          </c:cat>
          <c:val>
            <c:numRef>
              <c:f>('3.3 laadgedrag algemeen'!$E$177,'3.3 laadgedrag algemeen'!$E$181)</c:f>
              <c:numCache>
                <c:formatCode>0%</c:formatCode>
                <c:ptCount val="2"/>
                <c:pt idx="0">
                  <c:v>0.69534246575342462</c:v>
                </c:pt>
                <c:pt idx="1">
                  <c:v>0.24684931506849314</c:v>
                </c:pt>
              </c:numCache>
              <c:extLst/>
            </c:numRef>
          </c:val>
          <c:extLst>
            <c:ext xmlns:c16="http://schemas.microsoft.com/office/drawing/2014/chart" uri="{C3380CC4-5D6E-409C-BE32-E72D297353CC}">
              <c16:uniqueId val="{00000002-EFF3-446C-BB7F-774F5FA94181}"/>
            </c:ext>
          </c:extLst>
        </c:ser>
        <c:dLbls>
          <c:showLegendKey val="0"/>
          <c:showVal val="0"/>
          <c:showCatName val="0"/>
          <c:showSerName val="0"/>
          <c:showPercent val="0"/>
          <c:showBubbleSize val="0"/>
        </c:dLbls>
        <c:gapWidth val="219"/>
        <c:overlap val="-27"/>
        <c:axId val="656388416"/>
        <c:axId val="656385896"/>
      </c:barChart>
      <c:catAx>
        <c:axId val="6563884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2C307E"/>
                </a:solidFill>
                <a:latin typeface="+mn-lt"/>
                <a:ea typeface="+mn-ea"/>
                <a:cs typeface="+mn-cs"/>
              </a:defRPr>
            </a:pPr>
            <a:endParaRPr lang="nl-NL"/>
          </a:p>
        </c:txPr>
        <c:crossAx val="656385896"/>
        <c:crosses val="autoZero"/>
        <c:auto val="1"/>
        <c:lblAlgn val="ctr"/>
        <c:lblOffset val="100"/>
        <c:noMultiLvlLbl val="0"/>
      </c:catAx>
      <c:valAx>
        <c:axId val="656385896"/>
        <c:scaling>
          <c:orientation val="minMax"/>
        </c:scaling>
        <c:delete val="0"/>
        <c:axPos val="l"/>
        <c:majorGridlines>
          <c:spPr>
            <a:ln w="9525" cap="flat" cmpd="sng" algn="ctr">
              <a:no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2C307E"/>
                </a:solidFill>
                <a:latin typeface="+mn-lt"/>
                <a:ea typeface="+mn-ea"/>
                <a:cs typeface="+mn-cs"/>
              </a:defRPr>
            </a:pPr>
            <a:endParaRPr lang="nl-NL"/>
          </a:p>
        </c:txPr>
        <c:crossAx val="656388416"/>
        <c:crosses val="autoZero"/>
        <c:crossBetween val="between"/>
      </c:valAx>
      <c:spPr>
        <a:noFill/>
      </c:spPr>
    </c:plotArea>
    <c:legend>
      <c:legendPos val="b"/>
      <c:overlay val="0"/>
      <c:txPr>
        <a:bodyPr/>
        <a:lstStyle/>
        <a:p>
          <a:pPr>
            <a:defRPr sz="900">
              <a:solidFill>
                <a:srgbClr val="2C307E"/>
              </a:solidFill>
            </a:defRPr>
          </a:pPr>
          <a:endParaRPr lang="nl-NL"/>
        </a:p>
      </c:txPr>
    </c:legend>
    <c:plotVisOnly val="1"/>
    <c:dispBlanksAs val="gap"/>
    <c:showDLblsOverMax val="0"/>
    <c:extLst/>
  </c:chart>
  <c:spPr>
    <a:noFill/>
    <a:ln>
      <a:noFill/>
    </a:ln>
  </c:spPr>
  <c:txPr>
    <a:bodyPr/>
    <a:lstStyle/>
    <a:p>
      <a:pPr>
        <a:defRPr/>
      </a:pPr>
      <a:endParaRPr lang="nl-NL"/>
    </a:p>
  </c:txPr>
  <c:externalData r:id="rId1">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lgn="ctr" rtl="0">
              <a:defRPr lang="en-US" sz="1100" b="0" i="0" u="none" strike="noStrike" kern="1200" spc="0" baseline="0">
                <a:solidFill>
                  <a:srgbClr val="2C307E"/>
                </a:solidFill>
                <a:latin typeface="+mn-lt"/>
                <a:ea typeface="+mn-ea"/>
                <a:cs typeface="+mn-cs"/>
              </a:defRPr>
            </a:pPr>
            <a:r>
              <a:rPr lang="en-US" sz="1100" b="0" i="0" u="none" strike="noStrike" baseline="0">
                <a:effectLst/>
              </a:rPr>
              <a:t>Wie betaalt voor het laden van je elektrische auto?</a:t>
            </a:r>
            <a:endParaRPr lang="en-US" sz="1100" b="0" i="0" u="none" strike="noStrike" kern="1200" spc="0" baseline="0">
              <a:solidFill>
                <a:srgbClr val="2C307E"/>
              </a:solidFill>
              <a:latin typeface="+mn-lt"/>
              <a:ea typeface="+mn-ea"/>
              <a:cs typeface="+mn-cs"/>
            </a:endParaRPr>
          </a:p>
        </c:rich>
      </c:tx>
      <c:overlay val="0"/>
    </c:title>
    <c:autoTitleDeleted val="0"/>
    <c:plotArea>
      <c:layout>
        <c:manualLayout>
          <c:layoutTarget val="inner"/>
          <c:xMode val="edge"/>
          <c:yMode val="edge"/>
          <c:x val="0.26123242844285782"/>
          <c:y val="0.24405349270328397"/>
          <c:w val="0.51486535847294557"/>
          <c:h val="0.40208532756934795"/>
        </c:manualLayout>
      </c:layout>
      <c:pieChart>
        <c:varyColors val="1"/>
        <c:ser>
          <c:idx val="0"/>
          <c:order val="0"/>
          <c:spPr>
            <a:solidFill>
              <a:srgbClr val="08B466"/>
            </a:solidFill>
          </c:spPr>
          <c:dPt>
            <c:idx val="0"/>
            <c:bubble3D val="0"/>
            <c:spPr>
              <a:solidFill>
                <a:srgbClr val="2C307E"/>
              </a:solidFill>
              <a:ln w="19050">
                <a:noFill/>
              </a:ln>
              <a:effectLst/>
            </c:spPr>
            <c:extLst>
              <c:ext xmlns:c16="http://schemas.microsoft.com/office/drawing/2014/chart" uri="{C3380CC4-5D6E-409C-BE32-E72D297353CC}">
                <c16:uniqueId val="{00000001-81C8-43C4-A915-366D591A5FCA}"/>
              </c:ext>
            </c:extLst>
          </c:dPt>
          <c:dPt>
            <c:idx val="1"/>
            <c:bubble3D val="0"/>
            <c:spPr>
              <a:solidFill>
                <a:srgbClr val="08B466"/>
              </a:solidFill>
              <a:ln w="19050">
                <a:noFill/>
              </a:ln>
              <a:effectLst/>
            </c:spPr>
            <c:extLst>
              <c:ext xmlns:c16="http://schemas.microsoft.com/office/drawing/2014/chart" uri="{C3380CC4-5D6E-409C-BE32-E72D297353CC}">
                <c16:uniqueId val="{00000003-81C8-43C4-A915-366D591A5FCA}"/>
              </c:ext>
            </c:extLst>
          </c:dPt>
          <c:dPt>
            <c:idx val="2"/>
            <c:bubble3D val="0"/>
            <c:spPr>
              <a:solidFill>
                <a:srgbClr val="C9C743"/>
              </a:solidFill>
            </c:spPr>
            <c:extLst>
              <c:ext xmlns:c16="http://schemas.microsoft.com/office/drawing/2014/chart" uri="{C3380CC4-5D6E-409C-BE32-E72D297353CC}">
                <c16:uniqueId val="{00000005-81C8-43C4-A915-366D591A5FCA}"/>
              </c:ext>
            </c:extLst>
          </c:dPt>
          <c:dPt>
            <c:idx val="3"/>
            <c:bubble3D val="0"/>
            <c:spPr>
              <a:solidFill>
                <a:srgbClr val="BAD6ED"/>
              </a:solidFill>
            </c:spPr>
            <c:extLst>
              <c:ext xmlns:c16="http://schemas.microsoft.com/office/drawing/2014/chart" uri="{C3380CC4-5D6E-409C-BE32-E72D297353CC}">
                <c16:uniqueId val="{00000007-81C8-43C4-A915-366D591A5FCA}"/>
              </c:ext>
            </c:extLst>
          </c:dPt>
          <c:dPt>
            <c:idx val="4"/>
            <c:bubble3D val="0"/>
            <c:spPr>
              <a:solidFill>
                <a:srgbClr val="4EAFAA"/>
              </a:solidFill>
            </c:spPr>
            <c:extLst>
              <c:ext xmlns:c16="http://schemas.microsoft.com/office/drawing/2014/chart" uri="{C3380CC4-5D6E-409C-BE32-E72D297353CC}">
                <c16:uniqueId val="{00000009-81C8-43C4-A915-366D591A5FCA}"/>
              </c:ext>
            </c:extLst>
          </c:dPt>
          <c:dPt>
            <c:idx val="5"/>
            <c:bubble3D val="0"/>
            <c:spPr>
              <a:solidFill>
                <a:srgbClr val="696969"/>
              </a:solidFill>
            </c:spPr>
            <c:extLst>
              <c:ext xmlns:c16="http://schemas.microsoft.com/office/drawing/2014/chart" uri="{C3380CC4-5D6E-409C-BE32-E72D297353CC}">
                <c16:uniqueId val="{0000000B-81C8-43C4-A915-366D591A5FCA}"/>
              </c:ext>
            </c:extLst>
          </c:dPt>
          <c:dLbls>
            <c:dLbl>
              <c:idx val="0"/>
              <c:spPr>
                <a:noFill/>
                <a:ln>
                  <a:noFill/>
                </a:ln>
                <a:effectLst/>
              </c:spPr>
              <c:txPr>
                <a:bodyPr wrap="square" lIns="38100" tIns="19050" rIns="38100" bIns="19050" anchor="ctr">
                  <a:spAutoFit/>
                </a:bodyPr>
                <a:lstStyle/>
                <a:p>
                  <a:pPr>
                    <a:defRPr sz="800" b="1">
                      <a:solidFill>
                        <a:schemeClr val="bg1"/>
                      </a:solidFill>
                    </a:defRPr>
                  </a:pPr>
                  <a:endParaRPr lang="nl-NL"/>
                </a:p>
              </c:txPr>
              <c:showLegendKey val="0"/>
              <c:showVal val="1"/>
              <c:showCatName val="0"/>
              <c:showSerName val="0"/>
              <c:showPercent val="0"/>
              <c:showBubbleSize val="0"/>
              <c:extLst>
                <c:ext xmlns:c16="http://schemas.microsoft.com/office/drawing/2014/chart" uri="{C3380CC4-5D6E-409C-BE32-E72D297353CC}">
                  <c16:uniqueId val="{00000001-81C8-43C4-A915-366D591A5FCA}"/>
                </c:ext>
              </c:extLst>
            </c:dLbl>
            <c:dLbl>
              <c:idx val="1"/>
              <c:layout>
                <c:manualLayout>
                  <c:x val="8.0728996034749603E-2"/>
                  <c:y val="-5.4748808357309324E-2"/>
                </c:manualLayout>
              </c:layout>
              <c:spPr>
                <a:noFill/>
                <a:ln>
                  <a:noFill/>
                </a:ln>
                <a:effectLst/>
              </c:spPr>
              <c:txPr>
                <a:bodyPr wrap="square" lIns="38100" tIns="19050" rIns="38100" bIns="19050" anchor="ctr">
                  <a:spAutoFit/>
                </a:bodyPr>
                <a:lstStyle/>
                <a:p>
                  <a:pPr>
                    <a:defRPr sz="800" b="1">
                      <a:solidFill>
                        <a:schemeClr val="bg1"/>
                      </a:solidFill>
                    </a:defRPr>
                  </a:pPr>
                  <a:endParaRPr lang="nl-NL"/>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1C8-43C4-A915-366D591A5FCA}"/>
                </c:ext>
              </c:extLst>
            </c:dLbl>
            <c:dLbl>
              <c:idx val="2"/>
              <c:spPr>
                <a:noFill/>
                <a:ln>
                  <a:noFill/>
                </a:ln>
                <a:effectLst/>
              </c:spPr>
              <c:txPr>
                <a:bodyPr wrap="square" lIns="38100" tIns="19050" rIns="38100" bIns="19050" anchor="ctr">
                  <a:spAutoFit/>
                </a:bodyPr>
                <a:lstStyle/>
                <a:p>
                  <a:pPr>
                    <a:defRPr sz="800" b="1">
                      <a:solidFill>
                        <a:schemeClr val="bg1"/>
                      </a:solidFill>
                    </a:defRPr>
                  </a:pPr>
                  <a:endParaRPr lang="nl-NL"/>
                </a:p>
              </c:txPr>
              <c:showLegendKey val="0"/>
              <c:showVal val="1"/>
              <c:showCatName val="0"/>
              <c:showSerName val="0"/>
              <c:showPercent val="0"/>
              <c:showBubbleSize val="0"/>
              <c:extLst>
                <c:ext xmlns:c16="http://schemas.microsoft.com/office/drawing/2014/chart" uri="{C3380CC4-5D6E-409C-BE32-E72D297353CC}">
                  <c16:uniqueId val="{00000005-81C8-43C4-A915-366D591A5FCA}"/>
                </c:ext>
              </c:extLst>
            </c:dLbl>
            <c:dLbl>
              <c:idx val="3"/>
              <c:layout>
                <c:manualLayout>
                  <c:x val="-8.9248259319092017E-3"/>
                  <c:y val="2.3377667776654343E-2"/>
                </c:manualLayout>
              </c:layout>
              <c:spPr>
                <a:noFill/>
                <a:ln>
                  <a:noFill/>
                </a:ln>
                <a:effectLst/>
              </c:spPr>
              <c:txPr>
                <a:bodyPr wrap="square" lIns="38100" tIns="19050" rIns="38100" bIns="19050" anchor="ctr">
                  <a:spAutoFit/>
                </a:bodyPr>
                <a:lstStyle/>
                <a:p>
                  <a:pPr>
                    <a:defRPr sz="800" b="1">
                      <a:solidFill>
                        <a:srgbClr val="2C307E"/>
                      </a:solidFill>
                    </a:defRPr>
                  </a:pPr>
                  <a:endParaRPr lang="nl-NL"/>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81C8-43C4-A915-366D591A5FCA}"/>
                </c:ext>
              </c:extLst>
            </c:dLbl>
            <c:dLbl>
              <c:idx val="4"/>
              <c:spPr>
                <a:noFill/>
                <a:ln>
                  <a:noFill/>
                </a:ln>
                <a:effectLst/>
              </c:spPr>
              <c:txPr>
                <a:bodyPr wrap="square" lIns="38100" tIns="19050" rIns="38100" bIns="19050" anchor="ctr">
                  <a:spAutoFit/>
                </a:bodyPr>
                <a:lstStyle/>
                <a:p>
                  <a:pPr>
                    <a:defRPr sz="800" b="1">
                      <a:solidFill>
                        <a:srgbClr val="2C307E"/>
                      </a:solidFill>
                    </a:defRPr>
                  </a:pPr>
                  <a:endParaRPr lang="nl-NL"/>
                </a:p>
              </c:txPr>
              <c:showLegendKey val="0"/>
              <c:showVal val="1"/>
              <c:showCatName val="0"/>
              <c:showSerName val="0"/>
              <c:showPercent val="0"/>
              <c:showBubbleSize val="0"/>
              <c:extLst>
                <c:ext xmlns:c16="http://schemas.microsoft.com/office/drawing/2014/chart" uri="{C3380CC4-5D6E-409C-BE32-E72D297353CC}">
                  <c16:uniqueId val="{00000009-81C8-43C4-A915-366D591A5FCA}"/>
                </c:ext>
              </c:extLst>
            </c:dLbl>
            <c:dLbl>
              <c:idx val="5"/>
              <c:spPr>
                <a:noFill/>
                <a:ln>
                  <a:noFill/>
                </a:ln>
                <a:effectLst/>
              </c:spPr>
              <c:txPr>
                <a:bodyPr wrap="square" lIns="38100" tIns="19050" rIns="38100" bIns="19050" anchor="ctr">
                  <a:spAutoFit/>
                </a:bodyPr>
                <a:lstStyle/>
                <a:p>
                  <a:pPr>
                    <a:defRPr sz="800" b="1">
                      <a:solidFill>
                        <a:srgbClr val="2C307E"/>
                      </a:solidFill>
                    </a:defRPr>
                  </a:pPr>
                  <a:endParaRPr lang="nl-NL"/>
                </a:p>
              </c:txPr>
              <c:showLegendKey val="0"/>
              <c:showVal val="1"/>
              <c:showCatName val="0"/>
              <c:showSerName val="0"/>
              <c:showPercent val="0"/>
              <c:showBubbleSize val="0"/>
              <c:extLst>
                <c:ext xmlns:c16="http://schemas.microsoft.com/office/drawing/2014/chart" uri="{C3380CC4-5D6E-409C-BE32-E72D297353CC}">
                  <c16:uniqueId val="{0000000B-81C8-43C4-A915-366D591A5FCA}"/>
                </c:ext>
              </c:extLst>
            </c:dLbl>
            <c:spPr>
              <a:noFill/>
              <a:ln>
                <a:noFill/>
              </a:ln>
              <a:effectLst/>
            </c:spPr>
            <c:txPr>
              <a:bodyPr wrap="square" lIns="38100" tIns="19050" rIns="38100" bIns="19050" anchor="ctr">
                <a:spAutoFit/>
              </a:bodyPr>
              <a:lstStyle/>
              <a:p>
                <a:pPr>
                  <a:defRPr sz="800" b="1"/>
                </a:pPr>
                <a:endParaRPr lang="nl-NL"/>
              </a:p>
            </c:txPr>
            <c:showLegendKey val="0"/>
            <c:showVal val="1"/>
            <c:showCatName val="0"/>
            <c:showSerName val="0"/>
            <c:showPercent val="0"/>
            <c:showBubbleSize val="0"/>
            <c:showLeaderLines val="1"/>
            <c:extLst>
              <c:ext xmlns:c15="http://schemas.microsoft.com/office/drawing/2012/chart" uri="{CE6537A1-D6FC-4f65-9D91-7224C49458BB}"/>
            </c:extLst>
          </c:dLbls>
          <c:cat>
            <c:strRef>
              <c:f>'3.3 laadgedrag algemeen'!$C$167:$C$172</c:f>
              <c:strCache>
                <c:ptCount val="6"/>
                <c:pt idx="0">
                  <c:v>Ik betaal zelf privé</c:v>
                </c:pt>
                <c:pt idx="1">
                  <c:v>Ik betaal zelf als zzp'er</c:v>
                </c:pt>
                <c:pt idx="2">
                  <c:v>Mijn werkgever betaalt mijn laadkosten</c:v>
                </c:pt>
                <c:pt idx="3">
                  <c:v>Mijn werkgever betaalt mijn laadkosten gedeeltelijk</c:v>
                </c:pt>
                <c:pt idx="4">
                  <c:v>Mijn werkgever betaalt een kilometervergoeding</c:v>
                </c:pt>
                <c:pt idx="5">
                  <c:v>Geen van bovenstande</c:v>
                </c:pt>
              </c:strCache>
            </c:strRef>
          </c:cat>
          <c:val>
            <c:numRef>
              <c:f>'3.3 laadgedrag algemeen'!$E$167:$E$172</c:f>
              <c:numCache>
                <c:formatCode>0%</c:formatCode>
                <c:ptCount val="6"/>
                <c:pt idx="0">
                  <c:v>0.61780821917808215</c:v>
                </c:pt>
                <c:pt idx="1">
                  <c:v>7.7534246575342469E-2</c:v>
                </c:pt>
                <c:pt idx="2">
                  <c:v>0.24684931506849314</c:v>
                </c:pt>
                <c:pt idx="3">
                  <c:v>1.315068493150685E-2</c:v>
                </c:pt>
                <c:pt idx="4">
                  <c:v>2.958904109589041E-2</c:v>
                </c:pt>
                <c:pt idx="5">
                  <c:v>1.5068493150684932E-2</c:v>
                </c:pt>
              </c:numCache>
            </c:numRef>
          </c:val>
          <c:extLst>
            <c:ext xmlns:c16="http://schemas.microsoft.com/office/drawing/2014/chart" uri="{C3380CC4-5D6E-409C-BE32-E72D297353CC}">
              <c16:uniqueId val="{0000000C-81C8-43C4-A915-366D591A5FCA}"/>
            </c:ext>
          </c:extLst>
        </c:ser>
        <c:dLbls>
          <c:showLegendKey val="0"/>
          <c:showVal val="0"/>
          <c:showCatName val="0"/>
          <c:showSerName val="0"/>
          <c:showPercent val="0"/>
          <c:showBubbleSize val="0"/>
          <c:showLeaderLines val="1"/>
        </c:dLbls>
        <c:firstSliceAng val="0"/>
      </c:pieChart>
    </c:plotArea>
    <c:legend>
      <c:legendPos val="b"/>
      <c:layout>
        <c:manualLayout>
          <c:xMode val="edge"/>
          <c:yMode val="edge"/>
          <c:x val="3.3052790926241818E-2"/>
          <c:y val="0.70105354477749104"/>
          <c:w val="0.96258844617163175"/>
          <c:h val="0.28801887404523868"/>
        </c:manualLayout>
      </c:layout>
      <c:overlay val="0"/>
      <c:spPr>
        <a:noFill/>
        <a:ln>
          <a:noFill/>
        </a:ln>
        <a:effectLst/>
      </c:spPr>
      <c:txPr>
        <a:bodyPr rot="0" spcFirstLastPara="1" vertOverflow="ellipsis" vert="horz" wrap="square" anchor="ctr" anchorCtr="1"/>
        <a:lstStyle/>
        <a:p>
          <a:pPr>
            <a:defRPr sz="900" b="0" i="0" u="none" strike="noStrike" kern="1200" baseline="0">
              <a:solidFill>
                <a:srgbClr val="2C307E"/>
              </a:solidFill>
              <a:latin typeface="+mn-lt"/>
              <a:ea typeface="+mn-ea"/>
              <a:cs typeface="+mn-cs"/>
            </a:defRPr>
          </a:pPr>
          <a:endParaRPr lang="nl-NL"/>
        </a:p>
      </c:txPr>
    </c:legend>
    <c:plotVisOnly val="1"/>
    <c:dispBlanksAs val="gap"/>
    <c:showDLblsOverMax val="0"/>
    <c:extLst/>
  </c:chart>
  <c:spPr>
    <a:noFill/>
    <a:ln>
      <a:noFill/>
    </a:ln>
  </c:spPr>
  <c:txPr>
    <a:bodyPr/>
    <a:lstStyle/>
    <a:p>
      <a:pPr>
        <a:defRPr/>
      </a:pPr>
      <a:endParaRPr lang="nl-NL"/>
    </a:p>
  </c:txPr>
  <c:externalData r:id="rId1">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rtl="0">
              <a:defRPr lang="nl-NL" sz="1100" b="0" i="0" u="none" strike="noStrike" kern="1200" spc="0" baseline="0">
                <a:solidFill>
                  <a:srgbClr val="2C307E"/>
                </a:solidFill>
                <a:latin typeface="+mn-lt"/>
                <a:ea typeface="+mn-ea"/>
                <a:cs typeface="+mn-cs"/>
              </a:defRPr>
            </a:pPr>
            <a:r>
              <a:rPr lang="en-US" sz="1100" b="0" i="0" u="none" strike="noStrike" kern="1200" spc="0" baseline="0">
                <a:solidFill>
                  <a:srgbClr val="2C307E"/>
                </a:solidFill>
                <a:latin typeface="+mn-lt"/>
                <a:ea typeface="+mn-ea"/>
                <a:cs typeface="+mn-cs"/>
              </a:rPr>
              <a:t>Weet je wat je betaalt aan de... </a:t>
            </a:r>
          </a:p>
        </c:rich>
      </c:tx>
      <c:overlay val="0"/>
      <c:spPr>
        <a:noFill/>
        <a:ln>
          <a:noFill/>
        </a:ln>
        <a:effectLst/>
      </c:spPr>
    </c:title>
    <c:autoTitleDeleted val="0"/>
    <c:plotArea>
      <c:layout/>
      <c:barChart>
        <c:barDir val="col"/>
        <c:grouping val="clustered"/>
        <c:varyColors val="0"/>
        <c:ser>
          <c:idx val="0"/>
          <c:order val="0"/>
          <c:tx>
            <c:strRef>
              <c:f>'3.3b betaalmethodes'!$L$60:$M$60</c:f>
              <c:strCache>
                <c:ptCount val="2"/>
                <c:pt idx="0">
                  <c:v>… openbare laadpaal in de buurt van je woning? [N=281]</c:v>
                </c:pt>
              </c:strCache>
            </c:strRef>
          </c:tx>
          <c:spPr>
            <a:solidFill>
              <a:srgbClr val="2C307E"/>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rgbClr val="2C307E"/>
                    </a:solidFill>
                    <a:latin typeface="+mn-lt"/>
                    <a:ea typeface="+mn-ea"/>
                    <a:cs typeface="+mn-cs"/>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'3.3b betaalmethodes'!$N$59:$R$59</c:f>
              <c:strCache>
                <c:ptCount val="5"/>
                <c:pt idx="0">
                  <c:v>Nooit</c:v>
                </c:pt>
                <c:pt idx="1">
                  <c:v>Meestal niet</c:v>
                </c:pt>
                <c:pt idx="2">
                  <c:v>Soms</c:v>
                </c:pt>
                <c:pt idx="3">
                  <c:v>Vaak</c:v>
                </c:pt>
                <c:pt idx="4">
                  <c:v>Altijd</c:v>
                </c:pt>
              </c:strCache>
            </c:strRef>
          </c:cat>
          <c:val>
            <c:numRef>
              <c:f>'3.3b betaalmethodes'!$N$60:$R$60</c:f>
              <c:numCache>
                <c:formatCode>0%</c:formatCode>
                <c:ptCount val="5"/>
                <c:pt idx="0">
                  <c:v>2.8469750889679714E-2</c:v>
                </c:pt>
                <c:pt idx="1">
                  <c:v>7.1174377224199295E-2</c:v>
                </c:pt>
                <c:pt idx="2">
                  <c:v>7.4733096085409248E-2</c:v>
                </c:pt>
                <c:pt idx="3">
                  <c:v>0.20640569395017794</c:v>
                </c:pt>
                <c:pt idx="4">
                  <c:v>0.61921708185053381</c:v>
                </c:pt>
              </c:numCache>
            </c:numRef>
          </c:val>
          <c:extLst>
            <c:ext xmlns:c16="http://schemas.microsoft.com/office/drawing/2014/chart" uri="{C3380CC4-5D6E-409C-BE32-E72D297353CC}">
              <c16:uniqueId val="{00000000-C0B7-477F-BF74-ABCA269B8186}"/>
            </c:ext>
          </c:extLst>
        </c:ser>
        <c:ser>
          <c:idx val="1"/>
          <c:order val="1"/>
          <c:tx>
            <c:strRef>
              <c:f>'3.3b betaalmethodes'!$L$61:$M$61</c:f>
              <c:strCache>
                <c:ptCount val="2"/>
                <c:pt idx="0">
                  <c:v>… openbare laadpaal elders (niet in de buurt van je woning)? [N=347]</c:v>
                </c:pt>
              </c:strCache>
            </c:strRef>
          </c:tx>
          <c:spPr>
            <a:solidFill>
              <a:srgbClr val="08B466"/>
            </a:solidFill>
            <a:ln>
              <a:noFill/>
            </a:ln>
            <a:effectLst/>
          </c:spPr>
          <c:invertIfNegative val="0"/>
          <c:dLbls>
            <c:dLbl>
              <c:idx val="4"/>
              <c:layout>
                <c:manualLayout>
                  <c:x val="1.4347202295552367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87C-48BE-8645-EEA6E4ABB896}"/>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rgbClr val="2C307E"/>
                    </a:solidFill>
                    <a:latin typeface="+mn-lt"/>
                    <a:ea typeface="+mn-ea"/>
                    <a:cs typeface="+mn-cs"/>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'3.3b betaalmethodes'!$N$59:$R$59</c:f>
              <c:strCache>
                <c:ptCount val="5"/>
                <c:pt idx="0">
                  <c:v>Nooit</c:v>
                </c:pt>
                <c:pt idx="1">
                  <c:v>Meestal niet</c:v>
                </c:pt>
                <c:pt idx="2">
                  <c:v>Soms</c:v>
                </c:pt>
                <c:pt idx="3">
                  <c:v>Vaak</c:v>
                </c:pt>
                <c:pt idx="4">
                  <c:v>Altijd</c:v>
                </c:pt>
              </c:strCache>
            </c:strRef>
          </c:cat>
          <c:val>
            <c:numRef>
              <c:f>'3.3b betaalmethodes'!$N$61:$R$61</c:f>
              <c:numCache>
                <c:formatCode>0%</c:formatCode>
                <c:ptCount val="5"/>
                <c:pt idx="0">
                  <c:v>8.069164265129683E-2</c:v>
                </c:pt>
                <c:pt idx="1">
                  <c:v>0.23054755043227665</c:v>
                </c:pt>
                <c:pt idx="2">
                  <c:v>0.19596541786743515</c:v>
                </c:pt>
                <c:pt idx="3">
                  <c:v>0.27665706051873201</c:v>
                </c:pt>
                <c:pt idx="4">
                  <c:v>0.21613832853025935</c:v>
                </c:pt>
              </c:numCache>
            </c:numRef>
          </c:val>
          <c:extLst>
            <c:ext xmlns:c16="http://schemas.microsoft.com/office/drawing/2014/chart" uri="{C3380CC4-5D6E-409C-BE32-E72D297353CC}">
              <c16:uniqueId val="{00000001-C0B7-477F-BF74-ABCA269B8186}"/>
            </c:ext>
          </c:extLst>
        </c:ser>
        <c:ser>
          <c:idx val="2"/>
          <c:order val="2"/>
          <c:tx>
            <c:strRef>
              <c:f>'3.3b betaalmethodes'!$L$62:$M$62</c:f>
              <c:strCache>
                <c:ptCount val="2"/>
                <c:pt idx="0">
                  <c:v>… snellaadpaal [N=564]</c:v>
                </c:pt>
              </c:strCache>
            </c:strRef>
          </c:tx>
          <c:spPr>
            <a:solidFill>
              <a:srgbClr val="C9C743"/>
            </a:solidFill>
            <a:ln>
              <a:noFill/>
            </a:ln>
            <a:effectLst/>
          </c:spPr>
          <c:invertIfNegative val="0"/>
          <c:dLbls>
            <c:dLbl>
              <c:idx val="0"/>
              <c:layout>
                <c:manualLayout>
                  <c:x val="9.5648015303682003E-3"/>
                  <c:y val="1.160541586073493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87C-48BE-8645-EEA6E4ABB896}"/>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rgbClr val="2C307E"/>
                    </a:solidFill>
                    <a:latin typeface="+mn-lt"/>
                    <a:ea typeface="+mn-ea"/>
                    <a:cs typeface="+mn-cs"/>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'3.3b betaalmethodes'!$N$59:$R$59</c:f>
              <c:strCache>
                <c:ptCount val="5"/>
                <c:pt idx="0">
                  <c:v>Nooit</c:v>
                </c:pt>
                <c:pt idx="1">
                  <c:v>Meestal niet</c:v>
                </c:pt>
                <c:pt idx="2">
                  <c:v>Soms</c:v>
                </c:pt>
                <c:pt idx="3">
                  <c:v>Vaak</c:v>
                </c:pt>
                <c:pt idx="4">
                  <c:v>Altijd</c:v>
                </c:pt>
              </c:strCache>
            </c:strRef>
          </c:cat>
          <c:val>
            <c:numRef>
              <c:f>'3.3b betaalmethodes'!$N$62:$R$62</c:f>
              <c:numCache>
                <c:formatCode>0%</c:formatCode>
                <c:ptCount val="5"/>
                <c:pt idx="0">
                  <c:v>6.5602836879432622E-2</c:v>
                </c:pt>
                <c:pt idx="1">
                  <c:v>0.15425531914893617</c:v>
                </c:pt>
                <c:pt idx="2">
                  <c:v>0.12588652482269502</c:v>
                </c:pt>
                <c:pt idx="3">
                  <c:v>0.32624113475177308</c:v>
                </c:pt>
                <c:pt idx="4">
                  <c:v>0.32801418439716312</c:v>
                </c:pt>
              </c:numCache>
            </c:numRef>
          </c:val>
          <c:extLst>
            <c:ext xmlns:c16="http://schemas.microsoft.com/office/drawing/2014/chart" uri="{C3380CC4-5D6E-409C-BE32-E72D297353CC}">
              <c16:uniqueId val="{00000002-C0B7-477F-BF74-ABCA269B8186}"/>
            </c:ext>
          </c:extLst>
        </c:ser>
        <c:dLbls>
          <c:showLegendKey val="0"/>
          <c:showVal val="0"/>
          <c:showCatName val="0"/>
          <c:showSerName val="0"/>
          <c:showPercent val="0"/>
          <c:showBubbleSize val="0"/>
        </c:dLbls>
        <c:gapWidth val="219"/>
        <c:overlap val="-27"/>
        <c:axId val="813078936"/>
        <c:axId val="813079296"/>
      </c:barChart>
      <c:catAx>
        <c:axId val="8130789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lgn="ctr">
              <a:defRPr lang="en-US" sz="900" b="0" i="0" u="none" strike="noStrike" kern="1200" baseline="0">
                <a:solidFill>
                  <a:srgbClr val="2C307E"/>
                </a:solidFill>
                <a:latin typeface="+mn-lt"/>
                <a:ea typeface="+mn-ea"/>
                <a:cs typeface="+mn-cs"/>
              </a:defRPr>
            </a:pPr>
            <a:endParaRPr lang="nl-NL"/>
          </a:p>
        </c:txPr>
        <c:crossAx val="813079296"/>
        <c:crosses val="autoZero"/>
        <c:auto val="1"/>
        <c:lblAlgn val="ctr"/>
        <c:lblOffset val="100"/>
        <c:noMultiLvlLbl val="0"/>
      </c:catAx>
      <c:valAx>
        <c:axId val="81307929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lgn="ctr">
              <a:defRPr lang="en-US" sz="900" b="0" i="0" u="none" strike="noStrike" kern="1200" baseline="0">
                <a:solidFill>
                  <a:srgbClr val="2C307E"/>
                </a:solidFill>
                <a:latin typeface="+mn-lt"/>
                <a:ea typeface="+mn-ea"/>
                <a:cs typeface="+mn-cs"/>
              </a:defRPr>
            </a:pPr>
            <a:endParaRPr lang="nl-NL"/>
          </a:p>
        </c:txPr>
        <c:crossAx val="813078936"/>
        <c:crosses val="autoZero"/>
        <c:crossBetween val="between"/>
      </c:valAx>
      <c:spPr>
        <a:noFill/>
        <a:ln>
          <a:noFill/>
        </a:ln>
      </c:spPr>
    </c:plotArea>
    <c:legend>
      <c:legendPos val="b"/>
      <c:overlay val="0"/>
      <c:spPr>
        <a:noFill/>
        <a:ln>
          <a:noFill/>
        </a:ln>
        <a:effectLst/>
      </c:spPr>
      <c:txPr>
        <a:bodyPr rot="0" spcFirstLastPara="1" vertOverflow="ellipsis" vert="horz" wrap="square" anchor="ctr" anchorCtr="1"/>
        <a:lstStyle/>
        <a:p>
          <a:pPr algn="ctr">
            <a:defRPr lang="en-US" sz="900" b="0" i="0" u="none" strike="noStrike" kern="1200" baseline="0">
              <a:solidFill>
                <a:srgbClr val="2C307E"/>
              </a:solidFill>
              <a:latin typeface="+mn-lt"/>
              <a:ea typeface="+mn-ea"/>
              <a:cs typeface="+mn-cs"/>
            </a:defRPr>
          </a:pPr>
          <a:endParaRPr lang="nl-NL"/>
        </a:p>
      </c:txPr>
    </c:legend>
    <c:plotVisOnly val="1"/>
    <c:dispBlanksAs val="gap"/>
    <c:showDLblsOverMax val="0"/>
    <c:extLst/>
  </c:chart>
  <c:spPr>
    <a:noFill/>
    <a:ln>
      <a:noFill/>
    </a:ln>
  </c:spPr>
  <c:txPr>
    <a:bodyPr/>
    <a:lstStyle/>
    <a:p>
      <a:pPr>
        <a:defRPr/>
      </a:pPr>
      <a:endParaRPr lang="nl-NL"/>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b="0">
                <a:solidFill>
                  <a:srgbClr val="2C307E"/>
                </a:solidFill>
              </a:defRPr>
            </a:pPr>
            <a:r>
              <a:rPr lang="en-US" sz="1100" b="0">
                <a:solidFill>
                  <a:srgbClr val="2C307E"/>
                </a:solidFill>
              </a:rPr>
              <a:t>Is je elektrische auto nieuw of tweedehands?</a:t>
            </a:r>
          </a:p>
        </c:rich>
      </c:tx>
      <c:overlay val="0"/>
    </c:title>
    <c:autoTitleDeleted val="0"/>
    <c:plotArea>
      <c:layout/>
      <c:barChart>
        <c:barDir val="col"/>
        <c:grouping val="clustered"/>
        <c:varyColors val="0"/>
        <c:ser>
          <c:idx val="0"/>
          <c:order val="0"/>
          <c:tx>
            <c:strRef>
              <c:f>nieuw_tweedehands!$H$3</c:f>
              <c:strCache>
                <c:ptCount val="1"/>
                <c:pt idx="0">
                  <c:v>Totaal wagenpark</c:v>
                </c:pt>
              </c:strCache>
            </c:strRef>
          </c:tx>
          <c:spPr>
            <a:solidFill>
              <a:srgbClr val="2C307E"/>
            </a:solidFill>
            <a:ln>
              <a:noFill/>
            </a:ln>
            <a:effectLst/>
          </c:spPr>
          <c:invertIfNegative val="0"/>
          <c:dLbls>
            <c:spPr>
              <a:noFill/>
              <a:ln>
                <a:noFill/>
              </a:ln>
              <a:effectLst/>
            </c:spPr>
            <c:txPr>
              <a:bodyPr wrap="square" lIns="38100" tIns="19050" rIns="38100" bIns="19050" anchor="ctr">
                <a:spAutoFit/>
              </a:bodyPr>
              <a:lstStyle/>
              <a:p>
                <a:pPr>
                  <a:defRPr sz="800">
                    <a:solidFill>
                      <a:srgbClr val="2C307E"/>
                    </a:solidFill>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nieuw_tweedehands!$G$4:$G$5</c:f>
              <c:strCache>
                <c:ptCount val="2"/>
                <c:pt idx="0">
                  <c:v>Nieuw</c:v>
                </c:pt>
                <c:pt idx="1">
                  <c:v>Tweedehands</c:v>
                </c:pt>
              </c:strCache>
            </c:strRef>
          </c:cat>
          <c:val>
            <c:numRef>
              <c:f>nieuw_tweedehands!$I$4:$I$5</c:f>
              <c:numCache>
                <c:formatCode>0%</c:formatCode>
                <c:ptCount val="2"/>
                <c:pt idx="0">
                  <c:v>0.62276817805145568</c:v>
                </c:pt>
                <c:pt idx="1">
                  <c:v>0.37723182194854432</c:v>
                </c:pt>
              </c:numCache>
            </c:numRef>
          </c:val>
          <c:extLst>
            <c:ext xmlns:c16="http://schemas.microsoft.com/office/drawing/2014/chart" uri="{C3380CC4-5D6E-409C-BE32-E72D297353CC}">
              <c16:uniqueId val="{00000000-B86F-4A2F-ACA6-2CB032435DB6}"/>
            </c:ext>
          </c:extLst>
        </c:ser>
        <c:ser>
          <c:idx val="1"/>
          <c:order val="1"/>
          <c:tx>
            <c:strRef>
              <c:f>nieuw_tweedehands!$B$3</c:f>
              <c:strCache>
                <c:ptCount val="1"/>
                <c:pt idx="0">
                  <c:v>Laadonderzoek</c:v>
                </c:pt>
              </c:strCache>
            </c:strRef>
          </c:tx>
          <c:spPr>
            <a:solidFill>
              <a:srgbClr val="08B466"/>
            </a:solidFill>
          </c:spPr>
          <c:invertIfNegative val="0"/>
          <c:dLbls>
            <c:spPr>
              <a:noFill/>
              <a:ln>
                <a:noFill/>
              </a:ln>
              <a:effectLst/>
            </c:spPr>
            <c:txPr>
              <a:bodyPr wrap="square" lIns="38100" tIns="19050" rIns="38100" bIns="19050" anchor="ctr">
                <a:spAutoFit/>
              </a:bodyPr>
              <a:lstStyle/>
              <a:p>
                <a:pPr>
                  <a:defRPr sz="800">
                    <a:solidFill>
                      <a:srgbClr val="2C307E"/>
                    </a:solidFill>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nieuw_tweedehands!$G$4:$G$5</c:f>
              <c:strCache>
                <c:ptCount val="2"/>
                <c:pt idx="0">
                  <c:v>Nieuw</c:v>
                </c:pt>
                <c:pt idx="1">
                  <c:v>Tweedehands</c:v>
                </c:pt>
              </c:strCache>
            </c:strRef>
          </c:cat>
          <c:val>
            <c:numRef>
              <c:f>nieuw_tweedehands!$E$4:$E$5</c:f>
              <c:numCache>
                <c:formatCode>0%</c:formatCode>
                <c:ptCount val="2"/>
                <c:pt idx="0">
                  <c:v>0.72886647454370801</c:v>
                </c:pt>
                <c:pt idx="1">
                  <c:v>0.27113352545629205</c:v>
                </c:pt>
              </c:numCache>
            </c:numRef>
          </c:val>
          <c:extLst>
            <c:ext xmlns:c16="http://schemas.microsoft.com/office/drawing/2014/chart" uri="{C3380CC4-5D6E-409C-BE32-E72D297353CC}">
              <c16:uniqueId val="{00000001-B86F-4A2F-ACA6-2CB032435DB6}"/>
            </c:ext>
          </c:extLst>
        </c:ser>
        <c:dLbls>
          <c:showLegendKey val="0"/>
          <c:showVal val="0"/>
          <c:showCatName val="0"/>
          <c:showSerName val="0"/>
          <c:showPercent val="0"/>
          <c:showBubbleSize val="0"/>
        </c:dLbls>
        <c:gapWidth val="219"/>
        <c:overlap val="-27"/>
        <c:axId val="488549280"/>
        <c:axId val="488558136"/>
      </c:barChart>
      <c:catAx>
        <c:axId val="4885492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sz="900" b="0" i="0" u="none" strike="noStrike" kern="1200" baseline="0">
                <a:solidFill>
                  <a:srgbClr val="2C307E"/>
                </a:solidFill>
                <a:latin typeface="+mn-lt"/>
                <a:ea typeface="+mn-ea"/>
                <a:cs typeface="+mn-cs"/>
              </a:defRPr>
            </a:pPr>
            <a:endParaRPr lang="nl-NL"/>
          </a:p>
        </c:txPr>
        <c:crossAx val="488558136"/>
        <c:crosses val="autoZero"/>
        <c:auto val="1"/>
        <c:lblAlgn val="ctr"/>
        <c:lblOffset val="100"/>
        <c:noMultiLvlLbl val="0"/>
      </c:catAx>
      <c:valAx>
        <c:axId val="488558136"/>
        <c:scaling>
          <c:orientation val="minMax"/>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2C307E"/>
                </a:solidFill>
                <a:latin typeface="+mn-lt"/>
                <a:ea typeface="+mn-ea"/>
                <a:cs typeface="+mn-cs"/>
              </a:defRPr>
            </a:pPr>
            <a:endParaRPr lang="nl-NL"/>
          </a:p>
        </c:txPr>
        <c:crossAx val="488549280"/>
        <c:crosses val="autoZero"/>
        <c:crossBetween val="between"/>
      </c:valAx>
      <c:spPr>
        <a:noFill/>
        <a:ln>
          <a:noFill/>
        </a:ln>
      </c:spPr>
    </c:plotArea>
    <c:legend>
      <c:legendPos val="b"/>
      <c:overlay val="0"/>
      <c:txPr>
        <a:bodyPr/>
        <a:lstStyle/>
        <a:p>
          <a:pPr>
            <a:defRPr sz="900">
              <a:solidFill>
                <a:srgbClr val="2C307E"/>
              </a:solidFill>
            </a:defRPr>
          </a:pPr>
          <a:endParaRPr lang="nl-NL"/>
        </a:p>
      </c:txPr>
    </c:legend>
    <c:plotVisOnly val="1"/>
    <c:dispBlanksAs val="gap"/>
    <c:showDLblsOverMax val="0"/>
    <c:extLst/>
  </c:chart>
  <c:spPr>
    <a:noFill/>
    <a:ln w="9525" cap="flat" cmpd="sng" algn="ctr">
      <a:noFill/>
      <a:round/>
    </a:ln>
    <a:effectLst/>
  </c:spPr>
  <c:txPr>
    <a:bodyPr/>
    <a:lstStyle/>
    <a:p>
      <a:pPr>
        <a:defRPr/>
      </a:pPr>
      <a:endParaRPr lang="nl-NL"/>
    </a:p>
  </c:txPr>
  <c:externalData r:id="rId1">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rgbClr val="2C307E"/>
                </a:solidFill>
                <a:latin typeface="+mn-lt"/>
                <a:ea typeface="+mn-ea"/>
                <a:cs typeface="+mn-cs"/>
              </a:defRPr>
            </a:pPr>
            <a:r>
              <a:rPr lang="nl-NL" sz="1100">
                <a:solidFill>
                  <a:srgbClr val="2C307E"/>
                </a:solidFill>
              </a:rPr>
              <a:t>Thuis laden via eigen aansluiting. [N=3.713]</a:t>
            </a:r>
          </a:p>
        </c:rich>
      </c:tx>
      <c:overlay val="0"/>
      <c:spPr>
        <a:noFill/>
        <a:ln>
          <a:noFill/>
        </a:ln>
        <a:effectLst/>
      </c:spPr>
    </c:title>
    <c:autoTitleDeleted val="0"/>
    <c:plotArea>
      <c:layout>
        <c:manualLayout>
          <c:layoutTarget val="inner"/>
          <c:xMode val="edge"/>
          <c:yMode val="edge"/>
          <c:x val="0.14540494131203471"/>
          <c:y val="0.20252747252747252"/>
          <c:w val="0.80198865027093991"/>
          <c:h val="0.49281041792852814"/>
        </c:manualLayout>
      </c:layout>
      <c:barChart>
        <c:barDir val="col"/>
        <c:grouping val="stacked"/>
        <c:varyColors val="0"/>
        <c:ser>
          <c:idx val="0"/>
          <c:order val="0"/>
          <c:tx>
            <c:strRef>
              <c:f>'3.4 thuisladen oprit'!$A$5</c:f>
              <c:strCache>
                <c:ptCount val="1"/>
                <c:pt idx="0">
                  <c:v>Parkeren op eigen terrein</c:v>
                </c:pt>
              </c:strCache>
            </c:strRef>
          </c:tx>
          <c:spPr>
            <a:solidFill>
              <a:srgbClr val="2C307E"/>
            </a:solidFill>
          </c:spPr>
          <c:invertIfNegative val="0"/>
          <c:dLbls>
            <c:spPr>
              <a:noFill/>
              <a:ln>
                <a:noFill/>
              </a:ln>
              <a:effectLst/>
            </c:spPr>
            <c:txPr>
              <a:bodyPr wrap="square" lIns="38100" tIns="19050" rIns="38100" bIns="19050" anchor="ctr" anchorCtr="0">
                <a:spAutoFit/>
              </a:bodyPr>
              <a:lstStyle/>
              <a:p>
                <a:pPr algn="ctr">
                  <a:defRPr lang="en-US" sz="800" b="1" i="0" u="none" strike="noStrike" kern="1200" baseline="0">
                    <a:solidFill>
                      <a:schemeClr val="bg1"/>
                    </a:solidFill>
                    <a:latin typeface="+mn-lt"/>
                    <a:ea typeface="+mn-ea"/>
                    <a:cs typeface="+mn-cs"/>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'3.4 thuisladen oprit'!$C$4:$F$4</c:f>
              <c:numCache>
                <c:formatCode>General</c:formatCode>
                <c:ptCount val="4"/>
                <c:pt idx="0">
                  <c:v>2022</c:v>
                </c:pt>
                <c:pt idx="1">
                  <c:v>2023</c:v>
                </c:pt>
                <c:pt idx="2">
                  <c:v>2024</c:v>
                </c:pt>
                <c:pt idx="3">
                  <c:v>2025</c:v>
                </c:pt>
              </c:numCache>
            </c:numRef>
          </c:cat>
          <c:val>
            <c:numRef>
              <c:f>'3.4 thuisladen oprit'!$C$5:$F$5</c:f>
              <c:numCache>
                <c:formatCode>0%</c:formatCode>
                <c:ptCount val="4"/>
                <c:pt idx="0">
                  <c:v>0.61640000000000006</c:v>
                </c:pt>
                <c:pt idx="1">
                  <c:v>0.621</c:v>
                </c:pt>
                <c:pt idx="2">
                  <c:v>0.64800000000000002</c:v>
                </c:pt>
                <c:pt idx="3">
                  <c:v>0.63693384293658217</c:v>
                </c:pt>
              </c:numCache>
            </c:numRef>
          </c:val>
          <c:extLst>
            <c:ext xmlns:c16="http://schemas.microsoft.com/office/drawing/2014/chart" uri="{C3380CC4-5D6E-409C-BE32-E72D297353CC}">
              <c16:uniqueId val="{00000000-09B5-4AD0-B277-5799567A9B13}"/>
            </c:ext>
          </c:extLst>
        </c:ser>
        <c:ser>
          <c:idx val="1"/>
          <c:order val="1"/>
          <c:tx>
            <c:strRef>
              <c:f>'3.4 thuisladen oprit'!$A$6</c:f>
              <c:strCache>
                <c:ptCount val="1"/>
                <c:pt idx="0">
                  <c:v>Parkeren in openbare ruimte (VPA)</c:v>
                </c:pt>
              </c:strCache>
            </c:strRef>
          </c:tx>
          <c:spPr>
            <a:solidFill>
              <a:srgbClr val="08B466"/>
            </a:solidFill>
          </c:spPr>
          <c:invertIfNegative val="0"/>
          <c:dLbls>
            <c:spPr>
              <a:noFill/>
              <a:ln>
                <a:noFill/>
              </a:ln>
              <a:effectLst/>
            </c:spPr>
            <c:txPr>
              <a:bodyPr wrap="square" lIns="38100" tIns="19050" rIns="38100" bIns="19050" anchor="ctr" anchorCtr="0">
                <a:spAutoFit/>
              </a:bodyPr>
              <a:lstStyle/>
              <a:p>
                <a:pPr algn="ctr">
                  <a:defRPr lang="en-US" sz="800" b="1" i="0" u="none" strike="noStrike" kern="1200" baseline="0">
                    <a:solidFill>
                      <a:schemeClr val="bg1"/>
                    </a:solidFill>
                    <a:latin typeface="+mn-lt"/>
                    <a:ea typeface="+mn-ea"/>
                    <a:cs typeface="+mn-cs"/>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'3.4 thuisladen oprit'!$C$4:$F$4</c:f>
              <c:numCache>
                <c:formatCode>General</c:formatCode>
                <c:ptCount val="4"/>
                <c:pt idx="0">
                  <c:v>2022</c:v>
                </c:pt>
                <c:pt idx="1">
                  <c:v>2023</c:v>
                </c:pt>
                <c:pt idx="2">
                  <c:v>2024</c:v>
                </c:pt>
                <c:pt idx="3">
                  <c:v>2025</c:v>
                </c:pt>
              </c:numCache>
            </c:numRef>
          </c:cat>
          <c:val>
            <c:numRef>
              <c:f>'3.4 thuisladen oprit'!$C$6:$F$6</c:f>
              <c:numCache>
                <c:formatCode>0%</c:formatCode>
                <c:ptCount val="4"/>
                <c:pt idx="0">
                  <c:v>5.3600000000000002E-2</c:v>
                </c:pt>
                <c:pt idx="1">
                  <c:v>6.8999999999999992E-2</c:v>
                </c:pt>
                <c:pt idx="2">
                  <c:v>7.1999999999999995E-2</c:v>
                </c:pt>
                <c:pt idx="3">
                  <c:v>9.0630902552240947E-2</c:v>
                </c:pt>
              </c:numCache>
            </c:numRef>
          </c:val>
          <c:extLst>
            <c:ext xmlns:c16="http://schemas.microsoft.com/office/drawing/2014/chart" uri="{C3380CC4-5D6E-409C-BE32-E72D297353CC}">
              <c16:uniqueId val="{00000001-09B5-4AD0-B277-5799567A9B13}"/>
            </c:ext>
          </c:extLst>
        </c:ser>
        <c:dLbls>
          <c:showLegendKey val="0"/>
          <c:showVal val="0"/>
          <c:showCatName val="0"/>
          <c:showSerName val="0"/>
          <c:showPercent val="0"/>
          <c:showBubbleSize val="0"/>
        </c:dLbls>
        <c:gapWidth val="100"/>
        <c:overlap val="100"/>
        <c:axId val="859086912"/>
        <c:axId val="859090872"/>
      </c:barChart>
      <c:catAx>
        <c:axId val="8590869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2C307E"/>
                </a:solidFill>
                <a:latin typeface="+mn-lt"/>
                <a:ea typeface="+mn-ea"/>
                <a:cs typeface="+mn-cs"/>
              </a:defRPr>
            </a:pPr>
            <a:endParaRPr lang="nl-NL"/>
          </a:p>
        </c:txPr>
        <c:crossAx val="859090872"/>
        <c:crosses val="autoZero"/>
        <c:auto val="1"/>
        <c:lblAlgn val="ctr"/>
        <c:lblOffset val="100"/>
        <c:noMultiLvlLbl val="0"/>
      </c:catAx>
      <c:valAx>
        <c:axId val="859090872"/>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2C307E"/>
                </a:solidFill>
                <a:latin typeface="+mn-lt"/>
                <a:ea typeface="+mn-ea"/>
                <a:cs typeface="+mn-cs"/>
              </a:defRPr>
            </a:pPr>
            <a:endParaRPr lang="nl-NL"/>
          </a:p>
        </c:txPr>
        <c:crossAx val="859086912"/>
        <c:crosses val="autoZero"/>
        <c:crossBetween val="between"/>
        <c:majorUnit val="0.2"/>
      </c:valAx>
      <c:spPr>
        <a:noFill/>
        <a:ln>
          <a:noFill/>
        </a:ln>
      </c:spPr>
    </c:plotArea>
    <c:legend>
      <c:legendPos val="b"/>
      <c:layout>
        <c:manualLayout>
          <c:xMode val="edge"/>
          <c:yMode val="edge"/>
          <c:x val="0.16945966402693211"/>
          <c:y val="0.82280089988751415"/>
          <c:w val="0.70890430303098773"/>
          <c:h val="0.17719910011248594"/>
        </c:manualLayout>
      </c:layout>
      <c:overlay val="0"/>
      <c:txPr>
        <a:bodyPr/>
        <a:lstStyle/>
        <a:p>
          <a:pPr>
            <a:defRPr sz="900">
              <a:solidFill>
                <a:srgbClr val="2C307E"/>
              </a:solidFill>
            </a:defRPr>
          </a:pPr>
          <a:endParaRPr lang="nl-NL"/>
        </a:p>
      </c:txPr>
    </c:legend>
    <c:plotVisOnly val="1"/>
    <c:dispBlanksAs val="gap"/>
    <c:showDLblsOverMax val="0"/>
    <c:extLst/>
  </c:chart>
  <c:spPr>
    <a:noFill/>
    <a:ln>
      <a:noFill/>
    </a:ln>
  </c:spPr>
  <c:txPr>
    <a:bodyPr/>
    <a:lstStyle/>
    <a:p>
      <a:pPr>
        <a:defRPr/>
      </a:pPr>
      <a:endParaRPr lang="nl-NL"/>
    </a:p>
  </c:txPr>
  <c:externalData r:id="rId1">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lgn="ctr" rtl="0">
              <a:defRPr lang="en-US" sz="1100" b="0" i="0" u="none" strike="noStrike" kern="1200" spc="0" baseline="0">
                <a:solidFill>
                  <a:srgbClr val="2C307E"/>
                </a:solidFill>
                <a:latin typeface="+mn-lt"/>
                <a:ea typeface="+mn-ea"/>
                <a:cs typeface="+mn-cs"/>
              </a:defRPr>
            </a:pPr>
            <a:r>
              <a:rPr lang="en-US" sz="1100" b="0" i="0" u="none" strike="noStrike" baseline="0">
                <a:effectLst/>
              </a:rPr>
              <a:t>Laden via de eigen aansluiting</a:t>
            </a:r>
            <a:endParaRPr lang="en-US" sz="1100" b="0" i="0" u="none" strike="noStrike" kern="1200" spc="0" baseline="0">
              <a:solidFill>
                <a:srgbClr val="2C307E"/>
              </a:solidFill>
              <a:latin typeface="+mn-lt"/>
              <a:ea typeface="+mn-ea"/>
              <a:cs typeface="+mn-cs"/>
            </a:endParaRPr>
          </a:p>
        </c:rich>
      </c:tx>
      <c:overlay val="0"/>
    </c:title>
    <c:autoTitleDeleted val="0"/>
    <c:plotArea>
      <c:layout>
        <c:manualLayout>
          <c:layoutTarget val="inner"/>
          <c:xMode val="edge"/>
          <c:yMode val="edge"/>
          <c:x val="0.28556731699785731"/>
          <c:y val="0.17457941180281705"/>
          <c:w val="0.37289056586721492"/>
          <c:h val="0.42770936545712912"/>
        </c:manualLayout>
      </c:layout>
      <c:pieChart>
        <c:varyColors val="1"/>
        <c:ser>
          <c:idx val="0"/>
          <c:order val="0"/>
          <c:spPr>
            <a:solidFill>
              <a:srgbClr val="08B466"/>
            </a:solidFill>
          </c:spPr>
          <c:dPt>
            <c:idx val="0"/>
            <c:bubble3D val="0"/>
            <c:spPr>
              <a:solidFill>
                <a:srgbClr val="2C307E"/>
              </a:solidFill>
              <a:ln w="19050">
                <a:noFill/>
              </a:ln>
              <a:effectLst/>
            </c:spPr>
            <c:extLst>
              <c:ext xmlns:c16="http://schemas.microsoft.com/office/drawing/2014/chart" uri="{C3380CC4-5D6E-409C-BE32-E72D297353CC}">
                <c16:uniqueId val="{00000001-9053-4A67-A989-8DCB0A5F1FB5}"/>
              </c:ext>
            </c:extLst>
          </c:dPt>
          <c:dPt>
            <c:idx val="1"/>
            <c:bubble3D val="0"/>
            <c:spPr>
              <a:solidFill>
                <a:srgbClr val="08B466"/>
              </a:solidFill>
              <a:ln w="19050">
                <a:noFill/>
              </a:ln>
              <a:effectLst/>
            </c:spPr>
            <c:extLst>
              <c:ext xmlns:c16="http://schemas.microsoft.com/office/drawing/2014/chart" uri="{C3380CC4-5D6E-409C-BE32-E72D297353CC}">
                <c16:uniqueId val="{00000003-9053-4A67-A989-8DCB0A5F1FB5}"/>
              </c:ext>
            </c:extLst>
          </c:dPt>
          <c:dPt>
            <c:idx val="2"/>
            <c:bubble3D val="0"/>
            <c:spPr>
              <a:solidFill>
                <a:srgbClr val="C9C743"/>
              </a:solidFill>
            </c:spPr>
            <c:extLst>
              <c:ext xmlns:c16="http://schemas.microsoft.com/office/drawing/2014/chart" uri="{C3380CC4-5D6E-409C-BE32-E72D297353CC}">
                <c16:uniqueId val="{00000005-9053-4A67-A989-8DCB0A5F1FB5}"/>
              </c:ext>
            </c:extLst>
          </c:dPt>
          <c:dPt>
            <c:idx val="3"/>
            <c:bubble3D val="0"/>
            <c:spPr>
              <a:solidFill>
                <a:srgbClr val="BAD6ED"/>
              </a:solidFill>
            </c:spPr>
            <c:extLst>
              <c:ext xmlns:c16="http://schemas.microsoft.com/office/drawing/2014/chart" uri="{C3380CC4-5D6E-409C-BE32-E72D297353CC}">
                <c16:uniqueId val="{00000007-9053-4A67-A989-8DCB0A5F1FB5}"/>
              </c:ext>
            </c:extLst>
          </c:dPt>
          <c:dPt>
            <c:idx val="4"/>
            <c:bubble3D val="0"/>
            <c:spPr>
              <a:solidFill>
                <a:srgbClr val="4EAFAA"/>
              </a:solidFill>
            </c:spPr>
            <c:extLst>
              <c:ext xmlns:c16="http://schemas.microsoft.com/office/drawing/2014/chart" uri="{C3380CC4-5D6E-409C-BE32-E72D297353CC}">
                <c16:uniqueId val="{00000009-9053-4A67-A989-8DCB0A5F1FB5}"/>
              </c:ext>
            </c:extLst>
          </c:dPt>
          <c:dPt>
            <c:idx val="5"/>
            <c:bubble3D val="0"/>
            <c:spPr>
              <a:solidFill>
                <a:srgbClr val="696969"/>
              </a:solidFill>
            </c:spPr>
            <c:extLst>
              <c:ext xmlns:c16="http://schemas.microsoft.com/office/drawing/2014/chart" uri="{C3380CC4-5D6E-409C-BE32-E72D297353CC}">
                <c16:uniqueId val="{0000000B-9053-4A67-A989-8DCB0A5F1FB5}"/>
              </c:ext>
            </c:extLst>
          </c:dPt>
          <c:dLbls>
            <c:dLbl>
              <c:idx val="0"/>
              <c:layout>
                <c:manualLayout>
                  <c:x val="-4.4338503598097587E-2"/>
                  <c:y val="0.10282633522452574"/>
                </c:manualLayout>
              </c:layout>
              <c:spPr>
                <a:noFill/>
                <a:ln>
                  <a:noFill/>
                </a:ln>
                <a:effectLst/>
              </c:spPr>
              <c:txPr>
                <a:bodyPr wrap="square" lIns="38100" tIns="19050" rIns="38100" bIns="19050" anchor="ctr">
                  <a:spAutoFit/>
                </a:bodyPr>
                <a:lstStyle/>
                <a:p>
                  <a:pPr>
                    <a:defRPr sz="800" b="1">
                      <a:solidFill>
                        <a:schemeClr val="bg1"/>
                      </a:solidFill>
                    </a:defRPr>
                  </a:pPr>
                  <a:endParaRPr lang="nl-NL"/>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053-4A67-A989-8DCB0A5F1FB5}"/>
                </c:ext>
              </c:extLst>
            </c:dLbl>
            <c:dLbl>
              <c:idx val="1"/>
              <c:layout>
                <c:manualLayout>
                  <c:x val="-5.8617547268571428E-2"/>
                  <c:y val="9.3535362510486053E-2"/>
                </c:manualLayout>
              </c:layout>
              <c:spPr>
                <a:noFill/>
                <a:ln>
                  <a:noFill/>
                </a:ln>
                <a:effectLst/>
              </c:spPr>
              <c:txPr>
                <a:bodyPr wrap="square" lIns="38100" tIns="19050" rIns="38100" bIns="19050" anchor="ctr">
                  <a:spAutoFit/>
                </a:bodyPr>
                <a:lstStyle/>
                <a:p>
                  <a:pPr>
                    <a:defRPr sz="800" b="1">
                      <a:solidFill>
                        <a:schemeClr val="bg1"/>
                      </a:solidFill>
                    </a:defRPr>
                  </a:pPr>
                  <a:endParaRPr lang="nl-NL"/>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053-4A67-A989-8DCB0A5F1FB5}"/>
                </c:ext>
              </c:extLst>
            </c:dLbl>
            <c:dLbl>
              <c:idx val="2"/>
              <c:spPr>
                <a:noFill/>
                <a:ln>
                  <a:noFill/>
                </a:ln>
                <a:effectLst/>
              </c:spPr>
              <c:txPr>
                <a:bodyPr wrap="square" lIns="38100" tIns="19050" rIns="38100" bIns="19050" anchor="ctr">
                  <a:spAutoFit/>
                </a:bodyPr>
                <a:lstStyle/>
                <a:p>
                  <a:pPr>
                    <a:defRPr sz="800" b="1">
                      <a:solidFill>
                        <a:schemeClr val="bg1"/>
                      </a:solidFill>
                    </a:defRPr>
                  </a:pPr>
                  <a:endParaRPr lang="nl-NL"/>
                </a:p>
              </c:txPr>
              <c:showLegendKey val="0"/>
              <c:showVal val="1"/>
              <c:showCatName val="0"/>
              <c:showSerName val="0"/>
              <c:showPercent val="0"/>
              <c:showBubbleSize val="0"/>
              <c:extLst>
                <c:ext xmlns:c16="http://schemas.microsoft.com/office/drawing/2014/chart" uri="{C3380CC4-5D6E-409C-BE32-E72D297353CC}">
                  <c16:uniqueId val="{00000005-9053-4A67-A989-8DCB0A5F1FB5}"/>
                </c:ext>
              </c:extLst>
            </c:dLbl>
            <c:dLbl>
              <c:idx val="3"/>
              <c:spPr>
                <a:noFill/>
                <a:ln>
                  <a:noFill/>
                </a:ln>
                <a:effectLst/>
              </c:spPr>
              <c:txPr>
                <a:bodyPr wrap="square" lIns="38100" tIns="19050" rIns="38100" bIns="19050" anchor="ctr">
                  <a:spAutoFit/>
                </a:bodyPr>
                <a:lstStyle/>
                <a:p>
                  <a:pPr>
                    <a:defRPr sz="800" b="1">
                      <a:solidFill>
                        <a:srgbClr val="2C307E"/>
                      </a:solidFill>
                    </a:defRPr>
                  </a:pPr>
                  <a:endParaRPr lang="nl-NL"/>
                </a:p>
              </c:txPr>
              <c:showLegendKey val="0"/>
              <c:showVal val="1"/>
              <c:showCatName val="0"/>
              <c:showSerName val="0"/>
              <c:showPercent val="0"/>
              <c:showBubbleSize val="0"/>
              <c:extLst>
                <c:ext xmlns:c16="http://schemas.microsoft.com/office/drawing/2014/chart" uri="{C3380CC4-5D6E-409C-BE32-E72D297353CC}">
                  <c16:uniqueId val="{00000007-9053-4A67-A989-8DCB0A5F1FB5}"/>
                </c:ext>
              </c:extLst>
            </c:dLbl>
            <c:dLbl>
              <c:idx val="4"/>
              <c:spPr>
                <a:noFill/>
                <a:ln>
                  <a:noFill/>
                </a:ln>
                <a:effectLst/>
              </c:spPr>
              <c:txPr>
                <a:bodyPr wrap="square" lIns="38100" tIns="19050" rIns="38100" bIns="19050" anchor="ctr">
                  <a:spAutoFit/>
                </a:bodyPr>
                <a:lstStyle/>
                <a:p>
                  <a:pPr>
                    <a:defRPr sz="800" b="1">
                      <a:solidFill>
                        <a:srgbClr val="2C307E"/>
                      </a:solidFill>
                    </a:defRPr>
                  </a:pPr>
                  <a:endParaRPr lang="nl-NL"/>
                </a:p>
              </c:txPr>
              <c:showLegendKey val="0"/>
              <c:showVal val="1"/>
              <c:showCatName val="0"/>
              <c:showSerName val="0"/>
              <c:showPercent val="0"/>
              <c:showBubbleSize val="0"/>
              <c:extLst>
                <c:ext xmlns:c16="http://schemas.microsoft.com/office/drawing/2014/chart" uri="{C3380CC4-5D6E-409C-BE32-E72D297353CC}">
                  <c16:uniqueId val="{00000009-9053-4A67-A989-8DCB0A5F1FB5}"/>
                </c:ext>
              </c:extLst>
            </c:dLbl>
            <c:dLbl>
              <c:idx val="5"/>
              <c:spPr>
                <a:noFill/>
                <a:ln>
                  <a:noFill/>
                </a:ln>
                <a:effectLst/>
              </c:spPr>
              <c:txPr>
                <a:bodyPr wrap="square" lIns="38100" tIns="19050" rIns="38100" bIns="19050" anchor="ctr">
                  <a:spAutoFit/>
                </a:bodyPr>
                <a:lstStyle/>
                <a:p>
                  <a:pPr>
                    <a:defRPr sz="800" b="1">
                      <a:solidFill>
                        <a:srgbClr val="2C307E"/>
                      </a:solidFill>
                    </a:defRPr>
                  </a:pPr>
                  <a:endParaRPr lang="nl-NL"/>
                </a:p>
              </c:txPr>
              <c:showLegendKey val="0"/>
              <c:showVal val="1"/>
              <c:showCatName val="0"/>
              <c:showSerName val="0"/>
              <c:showPercent val="0"/>
              <c:showBubbleSize val="0"/>
              <c:extLst>
                <c:ext xmlns:c16="http://schemas.microsoft.com/office/drawing/2014/chart" uri="{C3380CC4-5D6E-409C-BE32-E72D297353CC}">
                  <c16:uniqueId val="{0000000B-9053-4A67-A989-8DCB0A5F1FB5}"/>
                </c:ext>
              </c:extLst>
            </c:dLbl>
            <c:spPr>
              <a:noFill/>
              <a:ln>
                <a:noFill/>
              </a:ln>
              <a:effectLst/>
            </c:spPr>
            <c:txPr>
              <a:bodyPr wrap="square" lIns="38100" tIns="19050" rIns="38100" bIns="19050" anchor="ctr">
                <a:spAutoFit/>
              </a:bodyPr>
              <a:lstStyle/>
              <a:p>
                <a:pPr>
                  <a:defRPr sz="800" b="1"/>
                </a:pPr>
                <a:endParaRPr lang="nl-NL"/>
              </a:p>
            </c:txPr>
            <c:showLegendKey val="0"/>
            <c:showVal val="1"/>
            <c:showCatName val="0"/>
            <c:showSerName val="0"/>
            <c:showPercent val="0"/>
            <c:showBubbleSize val="0"/>
            <c:showLeaderLines val="1"/>
            <c:extLst>
              <c:ext xmlns:c15="http://schemas.microsoft.com/office/drawing/2012/chart" uri="{CE6537A1-D6FC-4f65-9D91-7224C49458BB}"/>
            </c:extLst>
          </c:dLbls>
          <c:cat>
            <c:strRef>
              <c:f>'3.4 thuisladen oprit'!$B$51:$B$54</c:f>
              <c:strCache>
                <c:ptCount val="4"/>
                <c:pt idx="0">
                  <c:v>Auto in openbare ruimte – eigen laadpaal  </c:v>
                </c:pt>
                <c:pt idx="1">
                  <c:v>Auto in openbare ruimte – stopcontact  </c:v>
                </c:pt>
                <c:pt idx="2">
                  <c:v>Auto op privé terrein – eigen laadpaal  </c:v>
                </c:pt>
                <c:pt idx="3">
                  <c:v>Auto op privé terrein – stopcontact  </c:v>
                </c:pt>
              </c:strCache>
            </c:strRef>
          </c:cat>
          <c:val>
            <c:numRef>
              <c:f>'3.4 thuisladen oprit'!$E$51:$E$54</c:f>
              <c:numCache>
                <c:formatCode>0%</c:formatCode>
                <c:ptCount val="4"/>
                <c:pt idx="0">
                  <c:v>8.7658592848904274E-2</c:v>
                </c:pt>
                <c:pt idx="1">
                  <c:v>3.690888119953864E-2</c:v>
                </c:pt>
                <c:pt idx="2">
                  <c:v>0.78738946559015766</c:v>
                </c:pt>
                <c:pt idx="3">
                  <c:v>8.8043060361399458E-2</c:v>
                </c:pt>
              </c:numCache>
            </c:numRef>
          </c:val>
          <c:extLst>
            <c:ext xmlns:c16="http://schemas.microsoft.com/office/drawing/2014/chart" uri="{C3380CC4-5D6E-409C-BE32-E72D297353CC}">
              <c16:uniqueId val="{0000000C-9053-4A67-A989-8DCB0A5F1FB5}"/>
            </c:ext>
          </c:extLst>
        </c:ser>
        <c:dLbls>
          <c:showLegendKey val="0"/>
          <c:showVal val="0"/>
          <c:showCatName val="0"/>
          <c:showSerName val="0"/>
          <c:showPercent val="0"/>
          <c:showBubbleSize val="0"/>
          <c:showLeaderLines val="1"/>
        </c:dLbls>
        <c:firstSliceAng val="0"/>
      </c:pieChart>
    </c:plotArea>
    <c:legend>
      <c:legendPos val="b"/>
      <c:layout>
        <c:manualLayout>
          <c:xMode val="edge"/>
          <c:yMode val="edge"/>
          <c:x val="0.10322416656311074"/>
          <c:y val="0.65666602521688466"/>
          <c:w val="0.79355129030678917"/>
          <c:h val="0.34293002107130977"/>
        </c:manualLayout>
      </c:layout>
      <c:overlay val="0"/>
      <c:spPr>
        <a:noFill/>
        <a:ln>
          <a:noFill/>
        </a:ln>
        <a:effectLst/>
      </c:spPr>
      <c:txPr>
        <a:bodyPr rot="0" spcFirstLastPara="1" vertOverflow="ellipsis" vert="horz" wrap="square" anchor="ctr" anchorCtr="1"/>
        <a:lstStyle/>
        <a:p>
          <a:pPr>
            <a:defRPr sz="900" b="0" i="0" u="none" strike="noStrike" kern="1200" baseline="0">
              <a:solidFill>
                <a:srgbClr val="2C307E"/>
              </a:solidFill>
              <a:latin typeface="+mn-lt"/>
              <a:ea typeface="+mn-ea"/>
              <a:cs typeface="+mn-cs"/>
            </a:defRPr>
          </a:pPr>
          <a:endParaRPr lang="nl-NL"/>
        </a:p>
      </c:txPr>
    </c:legend>
    <c:plotVisOnly val="1"/>
    <c:dispBlanksAs val="gap"/>
    <c:showDLblsOverMax val="0"/>
    <c:extLst/>
  </c:chart>
  <c:spPr>
    <a:noFill/>
    <a:ln>
      <a:noFill/>
    </a:ln>
  </c:spPr>
  <c:txPr>
    <a:bodyPr/>
    <a:lstStyle/>
    <a:p>
      <a:pPr>
        <a:defRPr/>
      </a:pPr>
      <a:endParaRPr lang="nl-NL"/>
    </a:p>
  </c:txPr>
  <c:externalData r:id="rId1">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rgbClr val="2C307E"/>
                </a:solidFill>
                <a:latin typeface="+mn-lt"/>
                <a:ea typeface="+mn-ea"/>
                <a:cs typeface="+mn-cs"/>
              </a:defRPr>
            </a:pPr>
            <a:r>
              <a:rPr lang="nl-NL" sz="1100">
                <a:solidFill>
                  <a:srgbClr val="2C307E"/>
                </a:solidFill>
              </a:rPr>
              <a:t>Thuis laden via eigen aansluiting naar constructie</a:t>
            </a:r>
          </a:p>
        </c:rich>
      </c:tx>
      <c:overlay val="0"/>
      <c:spPr>
        <a:noFill/>
        <a:ln>
          <a:noFill/>
        </a:ln>
        <a:effectLst/>
      </c:spPr>
    </c:title>
    <c:autoTitleDeleted val="0"/>
    <c:plotArea>
      <c:layout>
        <c:manualLayout>
          <c:layoutTarget val="inner"/>
          <c:xMode val="edge"/>
          <c:yMode val="edge"/>
          <c:x val="0.14257525546704083"/>
          <c:y val="0.171616919978026"/>
          <c:w val="0.80584209506050897"/>
          <c:h val="0.26976198389284156"/>
        </c:manualLayout>
      </c:layout>
      <c:barChart>
        <c:barDir val="col"/>
        <c:grouping val="stacked"/>
        <c:varyColors val="0"/>
        <c:ser>
          <c:idx val="0"/>
          <c:order val="0"/>
          <c:tx>
            <c:strRef>
              <c:f>'3.4 thuisladen oprit'!$H$107</c:f>
              <c:strCache>
                <c:ptCount val="1"/>
                <c:pt idx="0">
                  <c:v>Parkeren op eigen terrein</c:v>
                </c:pt>
              </c:strCache>
            </c:strRef>
          </c:tx>
          <c:spPr>
            <a:solidFill>
              <a:srgbClr val="2C307E"/>
            </a:solidFill>
          </c:spPr>
          <c:invertIfNegative val="0"/>
          <c:dLbls>
            <c:spPr>
              <a:noFill/>
              <a:ln>
                <a:noFill/>
              </a:ln>
              <a:effectLst/>
            </c:spPr>
            <c:txPr>
              <a:bodyPr wrap="square" lIns="38100" tIns="19050" rIns="38100" bIns="19050" anchor="ctr" anchorCtr="0">
                <a:spAutoFit/>
              </a:bodyPr>
              <a:lstStyle/>
              <a:p>
                <a:pPr algn="ctr">
                  <a:defRPr lang="en-US" sz="800" b="1" i="0" u="none" strike="noStrike" kern="1200" baseline="0">
                    <a:solidFill>
                      <a:schemeClr val="bg1"/>
                    </a:solidFill>
                    <a:latin typeface="+mn-lt"/>
                    <a:ea typeface="+mn-ea"/>
                    <a:cs typeface="+mn-cs"/>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'3.4 thuisladen oprit'!$A$108:$A$112</c:f>
              <c:strCache>
                <c:ptCount val="5"/>
                <c:pt idx="0">
                  <c:v>Privé koop</c:v>
                </c:pt>
                <c:pt idx="1">
                  <c:v>Private lease</c:v>
                </c:pt>
                <c:pt idx="2">
                  <c:v>Zakelijk koop</c:v>
                </c:pt>
                <c:pt idx="3">
                  <c:v>Zakelijk lease als zzp'er of DGA</c:v>
                </c:pt>
                <c:pt idx="4">
                  <c:v>Zakelijk lease als werknemer</c:v>
                </c:pt>
              </c:strCache>
            </c:strRef>
          </c:cat>
          <c:val>
            <c:numRef>
              <c:f>'3.4 thuisladen oprit'!$H$108:$H$112</c:f>
              <c:numCache>
                <c:formatCode>0%</c:formatCode>
                <c:ptCount val="5"/>
                <c:pt idx="0">
                  <c:v>0.70217841246772128</c:v>
                </c:pt>
                <c:pt idx="1">
                  <c:v>0.57180388635191171</c:v>
                </c:pt>
                <c:pt idx="2">
                  <c:v>0.72044893378226715</c:v>
                </c:pt>
                <c:pt idx="3">
                  <c:v>0.67694016382063027</c:v>
                </c:pt>
                <c:pt idx="4">
                  <c:v>0.56235042517439782</c:v>
                </c:pt>
              </c:numCache>
            </c:numRef>
          </c:val>
          <c:extLst>
            <c:ext xmlns:c16="http://schemas.microsoft.com/office/drawing/2014/chart" uri="{C3380CC4-5D6E-409C-BE32-E72D297353CC}">
              <c16:uniqueId val="{00000000-A431-4D3D-AAE9-4D7708964638}"/>
            </c:ext>
          </c:extLst>
        </c:ser>
        <c:ser>
          <c:idx val="1"/>
          <c:order val="1"/>
          <c:tx>
            <c:strRef>
              <c:f>'3.4 thuisladen oprit'!$I$107</c:f>
              <c:strCache>
                <c:ptCount val="1"/>
                <c:pt idx="0">
                  <c:v>Parkeren in openbare ruimte (VPA)</c:v>
                </c:pt>
              </c:strCache>
            </c:strRef>
          </c:tx>
          <c:spPr>
            <a:solidFill>
              <a:srgbClr val="08B466"/>
            </a:solidFill>
          </c:spPr>
          <c:invertIfNegative val="0"/>
          <c:dLbls>
            <c:spPr>
              <a:noFill/>
              <a:ln>
                <a:noFill/>
              </a:ln>
              <a:effectLst/>
            </c:spPr>
            <c:txPr>
              <a:bodyPr wrap="square" lIns="38100" tIns="19050" rIns="38100" bIns="19050" anchor="ctr" anchorCtr="0">
                <a:spAutoFit/>
              </a:bodyPr>
              <a:lstStyle/>
              <a:p>
                <a:pPr algn="ctr">
                  <a:defRPr lang="en-US" sz="800" b="1" i="0" u="none" strike="noStrike" kern="1200" baseline="0">
                    <a:solidFill>
                      <a:schemeClr val="bg1"/>
                    </a:solidFill>
                    <a:latin typeface="+mn-lt"/>
                    <a:ea typeface="+mn-ea"/>
                    <a:cs typeface="+mn-cs"/>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'3.4 thuisladen oprit'!$A$108:$A$112</c:f>
              <c:strCache>
                <c:ptCount val="5"/>
                <c:pt idx="0">
                  <c:v>Privé koop</c:v>
                </c:pt>
                <c:pt idx="1">
                  <c:v>Private lease</c:v>
                </c:pt>
                <c:pt idx="2">
                  <c:v>Zakelijk koop</c:v>
                </c:pt>
                <c:pt idx="3">
                  <c:v>Zakelijk lease als zzp'er of DGA</c:v>
                </c:pt>
                <c:pt idx="4">
                  <c:v>Zakelijk lease als werknemer</c:v>
                </c:pt>
              </c:strCache>
            </c:strRef>
          </c:cat>
          <c:val>
            <c:numRef>
              <c:f>'3.4 thuisladen oprit'!$I$108:$I$112</c:f>
              <c:numCache>
                <c:formatCode>0%</c:formatCode>
                <c:ptCount val="5"/>
                <c:pt idx="0">
                  <c:v>0.11019782515604117</c:v>
                </c:pt>
                <c:pt idx="1">
                  <c:v>0.1342262644018572</c:v>
                </c:pt>
                <c:pt idx="2">
                  <c:v>7.4163860830527506E-2</c:v>
                </c:pt>
                <c:pt idx="3">
                  <c:v>4.4148271553519365E-2</c:v>
                </c:pt>
                <c:pt idx="4">
                  <c:v>4.9844696776821629E-2</c:v>
                </c:pt>
              </c:numCache>
            </c:numRef>
          </c:val>
          <c:extLst>
            <c:ext xmlns:c16="http://schemas.microsoft.com/office/drawing/2014/chart" uri="{C3380CC4-5D6E-409C-BE32-E72D297353CC}">
              <c16:uniqueId val="{00000001-A431-4D3D-AAE9-4D7708964638}"/>
            </c:ext>
          </c:extLst>
        </c:ser>
        <c:dLbls>
          <c:showLegendKey val="0"/>
          <c:showVal val="0"/>
          <c:showCatName val="0"/>
          <c:showSerName val="0"/>
          <c:showPercent val="0"/>
          <c:showBubbleSize val="0"/>
        </c:dLbls>
        <c:gapWidth val="100"/>
        <c:overlap val="100"/>
        <c:axId val="859086912"/>
        <c:axId val="859090872"/>
      </c:barChart>
      <c:catAx>
        <c:axId val="8590869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2C307E"/>
                </a:solidFill>
                <a:latin typeface="+mn-lt"/>
                <a:ea typeface="+mn-ea"/>
                <a:cs typeface="+mn-cs"/>
              </a:defRPr>
            </a:pPr>
            <a:endParaRPr lang="nl-NL"/>
          </a:p>
        </c:txPr>
        <c:crossAx val="859090872"/>
        <c:crosses val="autoZero"/>
        <c:auto val="1"/>
        <c:lblAlgn val="ctr"/>
        <c:lblOffset val="100"/>
        <c:noMultiLvlLbl val="0"/>
      </c:catAx>
      <c:valAx>
        <c:axId val="859090872"/>
        <c:scaling>
          <c:orientation val="minMax"/>
          <c:max val="0.8"/>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2C307E"/>
                </a:solidFill>
                <a:latin typeface="+mn-lt"/>
                <a:ea typeface="+mn-ea"/>
                <a:cs typeface="+mn-cs"/>
              </a:defRPr>
            </a:pPr>
            <a:endParaRPr lang="nl-NL"/>
          </a:p>
        </c:txPr>
        <c:crossAx val="859086912"/>
        <c:crosses val="autoZero"/>
        <c:crossBetween val="between"/>
        <c:majorUnit val="0.2"/>
      </c:valAx>
      <c:spPr>
        <a:noFill/>
        <a:ln>
          <a:noFill/>
        </a:ln>
      </c:spPr>
    </c:plotArea>
    <c:legend>
      <c:legendPos val="b"/>
      <c:overlay val="0"/>
      <c:txPr>
        <a:bodyPr/>
        <a:lstStyle/>
        <a:p>
          <a:pPr>
            <a:defRPr sz="900">
              <a:solidFill>
                <a:srgbClr val="2C307E"/>
              </a:solidFill>
            </a:defRPr>
          </a:pPr>
          <a:endParaRPr lang="nl-NL"/>
        </a:p>
      </c:txPr>
    </c:legend>
    <c:plotVisOnly val="1"/>
    <c:dispBlanksAs val="gap"/>
    <c:showDLblsOverMax val="0"/>
    <c:extLst/>
  </c:chart>
  <c:spPr>
    <a:noFill/>
    <a:ln>
      <a:noFill/>
    </a:ln>
  </c:spPr>
  <c:txPr>
    <a:bodyPr/>
    <a:lstStyle/>
    <a:p>
      <a:pPr>
        <a:defRPr/>
      </a:pPr>
      <a:endParaRPr lang="nl-NL"/>
    </a:p>
  </c:txPr>
  <c:externalData r:id="rId1">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rgbClr val="2C307E"/>
                </a:solidFill>
                <a:latin typeface="+mn-lt"/>
                <a:ea typeface="+mn-ea"/>
                <a:cs typeface="+mn-cs"/>
              </a:defRPr>
            </a:pPr>
            <a:r>
              <a:rPr lang="en-US" sz="1100">
                <a:solidFill>
                  <a:srgbClr val="2C307E"/>
                </a:solidFill>
              </a:rPr>
              <a:t>Laadt via de eigen aansluiting</a:t>
            </a:r>
          </a:p>
        </c:rich>
      </c:tx>
      <c:layout>
        <c:manualLayout>
          <c:xMode val="edge"/>
          <c:yMode val="edge"/>
          <c:x val="0.13767326788599057"/>
          <c:y val="1.2987012987012988E-2"/>
        </c:manualLayout>
      </c:layout>
      <c:overlay val="0"/>
      <c:spPr>
        <a:noFill/>
        <a:ln>
          <a:noFill/>
        </a:ln>
        <a:effectLst/>
      </c:spPr>
    </c:title>
    <c:autoTitleDeleted val="0"/>
    <c:plotArea>
      <c:layout>
        <c:manualLayout>
          <c:layoutTarget val="inner"/>
          <c:xMode val="edge"/>
          <c:yMode val="edge"/>
          <c:x val="0.50148179110322832"/>
          <c:y val="0.12076313564828131"/>
          <c:w val="0.42172490275157498"/>
          <c:h val="0.79659313399843201"/>
        </c:manualLayout>
      </c:layout>
      <c:barChart>
        <c:barDir val="bar"/>
        <c:grouping val="clustered"/>
        <c:varyColors val="0"/>
        <c:ser>
          <c:idx val="0"/>
          <c:order val="0"/>
          <c:tx>
            <c:strRef>
              <c:f>'3.4 thuisladen oprit'!$B$27</c:f>
              <c:strCache>
                <c:ptCount val="1"/>
                <c:pt idx="0">
                  <c:v>thuislader</c:v>
                </c:pt>
              </c:strCache>
            </c:strRef>
          </c:tx>
          <c:spPr>
            <a:solidFill>
              <a:srgbClr val="C9C743"/>
            </a:solidFill>
            <a:ln>
              <a:noFill/>
            </a:ln>
            <a:effectLst/>
          </c:spPr>
          <c:invertIfNegative val="0"/>
          <c:dLbls>
            <c:spPr>
              <a:noFill/>
              <a:ln>
                <a:noFill/>
              </a:ln>
              <a:effectLst/>
            </c:spPr>
            <c:txPr>
              <a:bodyPr wrap="square" lIns="38100" tIns="19050" rIns="38100" bIns="19050" anchor="ctr" anchorCtr="0">
                <a:spAutoFit/>
              </a:bodyPr>
              <a:lstStyle/>
              <a:p>
                <a:pPr algn="ctr">
                  <a:defRPr lang="en-US" sz="800" b="1" i="0" u="none" strike="noStrike" kern="1200" baseline="0">
                    <a:solidFill>
                      <a:srgbClr val="4EAFAA"/>
                    </a:solidFill>
                    <a:latin typeface="+mn-lt"/>
                    <a:ea typeface="+mn-ea"/>
                    <a:cs typeface="+mn-cs"/>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'3.4 thuisladen oprit'!$C$25:$E$25</c:f>
              <c:strCache>
                <c:ptCount val="3"/>
                <c:pt idx="0">
                  <c:v>Woning met voldoende eigen grond om op eigen terrein te parkeren   </c:v>
                </c:pt>
                <c:pt idx="1">
                  <c:v>Woning met onvoldoende eigen grond, parkeren in openbare ruimte   </c:v>
                </c:pt>
                <c:pt idx="2">
                  <c:v>Woning met gezamenlijke parkeergelegenheid/parkeergarage (bijv. via VVE of soortgelijke constructie)    </c:v>
                </c:pt>
              </c:strCache>
            </c:strRef>
          </c:cat>
          <c:val>
            <c:numRef>
              <c:f>'3.4 thuisladen oprit'!$C$27:$E$27</c:f>
              <c:numCache>
                <c:formatCode>0%</c:formatCode>
                <c:ptCount val="3"/>
                <c:pt idx="0">
                  <c:v>0.94521668029435812</c:v>
                </c:pt>
                <c:pt idx="1">
                  <c:v>0.32754629629629628</c:v>
                </c:pt>
                <c:pt idx="2">
                  <c:v>0.33333333333333331</c:v>
                </c:pt>
              </c:numCache>
            </c:numRef>
          </c:val>
          <c:extLst>
            <c:ext xmlns:c16="http://schemas.microsoft.com/office/drawing/2014/chart" uri="{C3380CC4-5D6E-409C-BE32-E72D297353CC}">
              <c16:uniqueId val="{00000000-EA44-4C68-8D0B-58EE608D8EAD}"/>
            </c:ext>
          </c:extLst>
        </c:ser>
        <c:dLbls>
          <c:showLegendKey val="0"/>
          <c:showVal val="0"/>
          <c:showCatName val="0"/>
          <c:showSerName val="0"/>
          <c:showPercent val="0"/>
          <c:showBubbleSize val="0"/>
        </c:dLbls>
        <c:gapWidth val="219"/>
        <c:axId val="859086912"/>
        <c:axId val="859090872"/>
      </c:barChart>
      <c:catAx>
        <c:axId val="85908691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2C307E"/>
                </a:solidFill>
                <a:latin typeface="+mn-lt"/>
                <a:ea typeface="+mn-ea"/>
                <a:cs typeface="+mn-cs"/>
              </a:defRPr>
            </a:pPr>
            <a:endParaRPr lang="nl-NL"/>
          </a:p>
        </c:txPr>
        <c:crossAx val="859090872"/>
        <c:crosses val="autoZero"/>
        <c:auto val="1"/>
        <c:lblAlgn val="ctr"/>
        <c:lblOffset val="100"/>
        <c:noMultiLvlLbl val="0"/>
      </c:catAx>
      <c:valAx>
        <c:axId val="859090872"/>
        <c:scaling>
          <c:orientation val="minMax"/>
          <c:min val="0"/>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2C307E"/>
                </a:solidFill>
                <a:latin typeface="+mn-lt"/>
                <a:ea typeface="+mn-ea"/>
                <a:cs typeface="+mn-cs"/>
              </a:defRPr>
            </a:pPr>
            <a:endParaRPr lang="nl-NL"/>
          </a:p>
        </c:txPr>
        <c:crossAx val="859086912"/>
        <c:crosses val="autoZero"/>
        <c:crossBetween val="between"/>
        <c:majorUnit val="0.25"/>
      </c:valAx>
    </c:plotArea>
    <c:plotVisOnly val="1"/>
    <c:dispBlanksAs val="gap"/>
    <c:showDLblsOverMax val="0"/>
    <c:extLst/>
  </c:chart>
  <c:spPr>
    <a:noFill/>
    <a:ln>
      <a:noFill/>
    </a:ln>
  </c:spPr>
  <c:txPr>
    <a:bodyPr/>
    <a:lstStyle/>
    <a:p>
      <a:pPr>
        <a:defRPr/>
      </a:pPr>
      <a:endParaRPr lang="nl-NL"/>
    </a:p>
  </c:txPr>
  <c:externalData r:id="rId1">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rgbClr val="2C307E"/>
                </a:solidFill>
                <a:latin typeface="+mn-lt"/>
                <a:ea typeface="+mn-ea"/>
                <a:cs typeface="+mn-cs"/>
              </a:defRPr>
            </a:pPr>
            <a:r>
              <a:rPr lang="nl-NL" sz="1100">
                <a:solidFill>
                  <a:srgbClr val="2C307E"/>
                </a:solidFill>
              </a:rPr>
              <a:t>Heb je zonnepanelen?</a:t>
            </a:r>
          </a:p>
        </c:rich>
      </c:tx>
      <c:overlay val="0"/>
      <c:spPr>
        <a:noFill/>
        <a:ln>
          <a:noFill/>
        </a:ln>
        <a:effectLst/>
      </c:spPr>
    </c:title>
    <c:autoTitleDeleted val="0"/>
    <c:plotArea>
      <c:layout>
        <c:manualLayout>
          <c:layoutTarget val="inner"/>
          <c:xMode val="edge"/>
          <c:yMode val="edge"/>
          <c:x val="0.47398148043546207"/>
          <c:y val="5.7875414921586314E-2"/>
          <c:w val="0.44922521341934124"/>
          <c:h val="0.56330674015214999"/>
        </c:manualLayout>
      </c:layout>
      <c:barChart>
        <c:barDir val="bar"/>
        <c:grouping val="stacked"/>
        <c:varyColors val="0"/>
        <c:ser>
          <c:idx val="0"/>
          <c:order val="0"/>
          <c:tx>
            <c:strRef>
              <c:f>'3.4 thuisladen oprit'!$C$356</c:f>
              <c:strCache>
                <c:ptCount val="1"/>
                <c:pt idx="0">
                  <c:v>Ja, en ik laad mijn auto zoveel mogelijk op tijden waarop zonne-energie beschikbaar is.  </c:v>
                </c:pt>
              </c:strCache>
            </c:strRef>
          </c:tx>
          <c:spPr>
            <a:solidFill>
              <a:srgbClr val="2C307E"/>
            </a:solidFill>
            <a:ln>
              <a:noFill/>
            </a:ln>
            <a:effectLst/>
          </c:spPr>
          <c:invertIfNegative val="0"/>
          <c:dLbls>
            <c:dLbl>
              <c:idx val="0"/>
              <c:layout>
                <c:manualLayout>
                  <c:x val="1.434720229555228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9F13-4F76-A07A-CE6B3DC26DBF}"/>
                </c:ext>
              </c:extLst>
            </c:dLbl>
            <c:spPr>
              <a:noFill/>
              <a:ln>
                <a:noFill/>
              </a:ln>
              <a:effectLst/>
            </c:spPr>
            <c:txPr>
              <a:bodyPr wrap="square" lIns="38100" tIns="19050" rIns="38100" bIns="19050" anchor="ctr" anchorCtr="0">
                <a:spAutoFit/>
              </a:bodyPr>
              <a:lstStyle/>
              <a:p>
                <a:pPr algn="ctr">
                  <a:defRPr lang="en-US" sz="800" b="1" i="0" u="none" strike="noStrike" kern="1200" baseline="0">
                    <a:solidFill>
                      <a:schemeClr val="bg1"/>
                    </a:solidFill>
                    <a:latin typeface="+mn-lt"/>
                    <a:ea typeface="+mn-ea"/>
                    <a:cs typeface="+mn-cs"/>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'3.4 thuisladen oprit'!$D$355:$F$355</c:f>
              <c:strCache>
                <c:ptCount val="3"/>
                <c:pt idx="0">
                  <c:v>Niet mogelijk om op eigen terrein te parkeren, maakt gebruik van openbare laadinfrastructuur</c:v>
                </c:pt>
                <c:pt idx="1">
                  <c:v>Niet mogelijk om op eigen terrein te parkeren, laadt via eigen aansluiting (VPA)</c:v>
                </c:pt>
                <c:pt idx="2">
                  <c:v>Laden op eigen aansluiting, parkeren op eigen terrein</c:v>
                </c:pt>
              </c:strCache>
              <c:extLst/>
            </c:strRef>
          </c:cat>
          <c:val>
            <c:numRef>
              <c:f>'3.4 thuisladen oprit'!$D$356:$F$356</c:f>
              <c:numCache>
                <c:formatCode>0%</c:formatCode>
                <c:ptCount val="3"/>
                <c:pt idx="0">
                  <c:v>7.9607415485278082E-2</c:v>
                </c:pt>
                <c:pt idx="1">
                  <c:v>0.69753086419753085</c:v>
                </c:pt>
                <c:pt idx="2">
                  <c:v>0.72024593763724198</c:v>
                </c:pt>
              </c:numCache>
              <c:extLst/>
            </c:numRef>
          </c:val>
          <c:extLst>
            <c:ext xmlns:c16="http://schemas.microsoft.com/office/drawing/2014/chart" uri="{C3380CC4-5D6E-409C-BE32-E72D297353CC}">
              <c16:uniqueId val="{00000000-9826-479E-B89D-B9EC47ABC6DB}"/>
            </c:ext>
          </c:extLst>
        </c:ser>
        <c:ser>
          <c:idx val="1"/>
          <c:order val="1"/>
          <c:tx>
            <c:strRef>
              <c:f>'3.4 thuisladen oprit'!$C$357</c:f>
              <c:strCache>
                <c:ptCount val="1"/>
                <c:pt idx="0">
                  <c:v>Ja, maar ik houd geen rekening met wanneer de zon schijnt als ik mijn auto oplaad.    </c:v>
                </c:pt>
              </c:strCache>
            </c:strRef>
          </c:tx>
          <c:spPr>
            <a:solidFill>
              <a:srgbClr val="08B466"/>
            </a:solidFill>
          </c:spPr>
          <c:invertIfNegative val="0"/>
          <c:dLbls>
            <c:dLbl>
              <c:idx val="1"/>
              <c:layout>
                <c:manualLayout>
                  <c:x val="-1.4347202295552456E-2"/>
                  <c:y val="-6.205151987662477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F13-4F76-A07A-CE6B3DC26DBF}"/>
                </c:ext>
              </c:extLst>
            </c:dLbl>
            <c:dLbl>
              <c:idx val="2"/>
              <c:layout>
                <c:manualLayout>
                  <c:x val="-2.3912003825920701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F13-4F76-A07A-CE6B3DC26DBF}"/>
                </c:ext>
              </c:extLst>
            </c:dLbl>
            <c:spPr>
              <a:noFill/>
              <a:ln>
                <a:noFill/>
              </a:ln>
              <a:effectLst/>
            </c:spPr>
            <c:txPr>
              <a:bodyPr wrap="square" lIns="38100" tIns="19050" rIns="38100" bIns="19050" anchor="ctr" anchorCtr="0">
                <a:spAutoFit/>
              </a:bodyPr>
              <a:lstStyle/>
              <a:p>
                <a:pPr algn="ctr">
                  <a:defRPr lang="en-US" sz="800" b="1" i="0" u="none" strike="noStrike" kern="1200" baseline="0">
                    <a:solidFill>
                      <a:schemeClr val="bg1"/>
                    </a:solidFill>
                    <a:latin typeface="+mn-lt"/>
                    <a:ea typeface="+mn-ea"/>
                    <a:cs typeface="+mn-cs"/>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'3.4 thuisladen oprit'!$D$355:$F$355</c:f>
              <c:strCache>
                <c:ptCount val="3"/>
                <c:pt idx="0">
                  <c:v>Niet mogelijk om op eigen terrein te parkeren, maakt gebruik van openbare laadinfrastructuur</c:v>
                </c:pt>
                <c:pt idx="1">
                  <c:v>Niet mogelijk om op eigen terrein te parkeren, laadt via eigen aansluiting (VPA)</c:v>
                </c:pt>
                <c:pt idx="2">
                  <c:v>Laden op eigen aansluiting, parkeren op eigen terrein</c:v>
                </c:pt>
              </c:strCache>
              <c:extLst/>
            </c:strRef>
          </c:cat>
          <c:val>
            <c:numRef>
              <c:f>'3.4 thuisladen oprit'!$D$357:$F$357</c:f>
              <c:numCache>
                <c:formatCode>0%</c:formatCode>
                <c:ptCount val="3"/>
                <c:pt idx="0">
                  <c:v>0.38058887677208286</c:v>
                </c:pt>
                <c:pt idx="1">
                  <c:v>0.20679012345679013</c:v>
                </c:pt>
                <c:pt idx="2">
                  <c:v>0.19718928414580589</c:v>
                </c:pt>
              </c:numCache>
              <c:extLst/>
            </c:numRef>
          </c:val>
          <c:extLst>
            <c:ext xmlns:c16="http://schemas.microsoft.com/office/drawing/2014/chart" uri="{C3380CC4-5D6E-409C-BE32-E72D297353CC}">
              <c16:uniqueId val="{00000001-9826-479E-B89D-B9EC47ABC6DB}"/>
            </c:ext>
          </c:extLst>
        </c:ser>
        <c:ser>
          <c:idx val="2"/>
          <c:order val="2"/>
          <c:tx>
            <c:strRef>
              <c:f>'3.4 thuisladen oprit'!$C$358</c:f>
              <c:strCache>
                <c:ptCount val="1"/>
                <c:pt idx="0">
                  <c:v>Nee, maar ik wil wel graag zonnepanelen.   </c:v>
                </c:pt>
              </c:strCache>
            </c:strRef>
          </c:tx>
          <c:spPr>
            <a:solidFill>
              <a:srgbClr val="C9C743"/>
            </a:solidFill>
          </c:spPr>
          <c:invertIfNegative val="0"/>
          <c:dLbls>
            <c:dLbl>
              <c:idx val="1"/>
              <c:layout>
                <c:manualLayout>
                  <c:x val="-9.5648015303682454E-3"/>
                  <c:y val="-6.205151987662477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F13-4F76-A07A-CE6B3DC26DBF}"/>
                </c:ext>
              </c:extLst>
            </c:dLbl>
            <c:dLbl>
              <c:idx val="2"/>
              <c:layout>
                <c:manualLayout>
                  <c:x val="-9.5648015303682454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F13-4F76-A07A-CE6B3DC26DBF}"/>
                </c:ext>
              </c:extLst>
            </c:dLbl>
            <c:spPr>
              <a:noFill/>
              <a:ln>
                <a:noFill/>
              </a:ln>
              <a:effectLst/>
            </c:spPr>
            <c:txPr>
              <a:bodyPr wrap="square" lIns="38100" tIns="19050" rIns="38100" bIns="19050" anchor="ctr" anchorCtr="0">
                <a:spAutoFit/>
              </a:bodyPr>
              <a:lstStyle/>
              <a:p>
                <a:pPr algn="ctr">
                  <a:defRPr lang="en-US" sz="800" b="1" i="0" u="none" strike="noStrike" kern="1200" baseline="0">
                    <a:solidFill>
                      <a:schemeClr val="bg1"/>
                    </a:solidFill>
                    <a:latin typeface="+mn-lt"/>
                    <a:ea typeface="+mn-ea"/>
                    <a:cs typeface="+mn-cs"/>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'3.4 thuisladen oprit'!$D$355:$F$355</c:f>
              <c:strCache>
                <c:ptCount val="3"/>
                <c:pt idx="0">
                  <c:v>Niet mogelijk om op eigen terrein te parkeren, maakt gebruik van openbare laadinfrastructuur</c:v>
                </c:pt>
                <c:pt idx="1">
                  <c:v>Niet mogelijk om op eigen terrein te parkeren, laadt via eigen aansluiting (VPA)</c:v>
                </c:pt>
                <c:pt idx="2">
                  <c:v>Laden op eigen aansluiting, parkeren op eigen terrein</c:v>
                </c:pt>
              </c:strCache>
              <c:extLst/>
            </c:strRef>
          </c:cat>
          <c:val>
            <c:numRef>
              <c:f>'3.4 thuisladen oprit'!$D$358:$F$358</c:f>
              <c:numCache>
                <c:formatCode>0%</c:formatCode>
                <c:ptCount val="3"/>
                <c:pt idx="0">
                  <c:v>0.14067611777535441</c:v>
                </c:pt>
                <c:pt idx="1">
                  <c:v>4.0123456790123455E-2</c:v>
                </c:pt>
                <c:pt idx="2">
                  <c:v>3.2059727711901624E-2</c:v>
                </c:pt>
              </c:numCache>
              <c:extLst/>
            </c:numRef>
          </c:val>
          <c:extLst>
            <c:ext xmlns:c16="http://schemas.microsoft.com/office/drawing/2014/chart" uri="{C3380CC4-5D6E-409C-BE32-E72D297353CC}">
              <c16:uniqueId val="{00000002-9826-479E-B89D-B9EC47ABC6DB}"/>
            </c:ext>
          </c:extLst>
        </c:ser>
        <c:ser>
          <c:idx val="3"/>
          <c:order val="3"/>
          <c:tx>
            <c:strRef>
              <c:f>'3.4 thuisladen oprit'!$C$359</c:f>
              <c:strCache>
                <c:ptCount val="1"/>
                <c:pt idx="0">
                  <c:v>Nee, en dit wil ik niet of het kan niet.  </c:v>
                </c:pt>
              </c:strCache>
            </c:strRef>
          </c:tx>
          <c:spPr>
            <a:solidFill>
              <a:srgbClr val="BAD6ED"/>
            </a:solidFill>
          </c:spPr>
          <c:invertIfNegative val="0"/>
          <c:dLbls>
            <c:dLbl>
              <c:idx val="1"/>
              <c:layout>
                <c:manualLayout>
                  <c:x val="1.4347202295552367E-2"/>
                  <c:y val="-6.205151987662477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F13-4F76-A07A-CE6B3DC26DBF}"/>
                </c:ext>
              </c:extLst>
            </c:dLbl>
            <c:dLbl>
              <c:idx val="2"/>
              <c:layout>
                <c:manualLayout>
                  <c:x val="2.8694404591104734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F13-4F76-A07A-CE6B3DC26DBF}"/>
                </c:ext>
              </c:extLst>
            </c:dLbl>
            <c:spPr>
              <a:noFill/>
              <a:ln>
                <a:noFill/>
              </a:ln>
              <a:effectLst/>
            </c:spPr>
            <c:txPr>
              <a:bodyPr wrap="square" lIns="38100" tIns="19050" rIns="38100" bIns="19050" anchor="ctr">
                <a:spAutoFit/>
              </a:bodyPr>
              <a:lstStyle/>
              <a:p>
                <a:pPr>
                  <a:defRPr sz="800" b="1">
                    <a:solidFill>
                      <a:srgbClr val="2C307E"/>
                    </a:solidFill>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'3.4 thuisladen oprit'!$D$355:$F$355</c:f>
              <c:strCache>
                <c:ptCount val="3"/>
                <c:pt idx="0">
                  <c:v>Niet mogelijk om op eigen terrein te parkeren, maakt gebruik van openbare laadinfrastructuur</c:v>
                </c:pt>
                <c:pt idx="1">
                  <c:v>Niet mogelijk om op eigen terrein te parkeren, laadt via eigen aansluiting (VPA)</c:v>
                </c:pt>
                <c:pt idx="2">
                  <c:v>Laden op eigen aansluiting, parkeren op eigen terrein</c:v>
                </c:pt>
              </c:strCache>
              <c:extLst/>
            </c:strRef>
          </c:cat>
          <c:val>
            <c:numRef>
              <c:f>'3.4 thuisladen oprit'!$D$359:$F$359</c:f>
              <c:numCache>
                <c:formatCode>0%</c:formatCode>
                <c:ptCount val="3"/>
                <c:pt idx="0">
                  <c:v>0.39912758996728465</c:v>
                </c:pt>
                <c:pt idx="1">
                  <c:v>5.5555555555555552E-2</c:v>
                </c:pt>
                <c:pt idx="2">
                  <c:v>5.0505050505050504E-2</c:v>
                </c:pt>
              </c:numCache>
              <c:extLst/>
            </c:numRef>
          </c:val>
          <c:extLst>
            <c:ext xmlns:c16="http://schemas.microsoft.com/office/drawing/2014/chart" uri="{C3380CC4-5D6E-409C-BE32-E72D297353CC}">
              <c16:uniqueId val="{00000003-9826-479E-B89D-B9EC47ABC6DB}"/>
            </c:ext>
          </c:extLst>
        </c:ser>
        <c:dLbls>
          <c:showLegendKey val="0"/>
          <c:showVal val="0"/>
          <c:showCatName val="0"/>
          <c:showSerName val="0"/>
          <c:showPercent val="0"/>
          <c:showBubbleSize val="0"/>
        </c:dLbls>
        <c:gapWidth val="219"/>
        <c:overlap val="100"/>
        <c:axId val="859086912"/>
        <c:axId val="859090872"/>
      </c:barChart>
      <c:catAx>
        <c:axId val="85908691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2C307E"/>
                </a:solidFill>
                <a:latin typeface="+mn-lt"/>
                <a:ea typeface="+mn-ea"/>
                <a:cs typeface="+mn-cs"/>
              </a:defRPr>
            </a:pPr>
            <a:endParaRPr lang="nl-NL"/>
          </a:p>
        </c:txPr>
        <c:crossAx val="859090872"/>
        <c:crosses val="autoZero"/>
        <c:auto val="1"/>
        <c:lblAlgn val="ctr"/>
        <c:lblOffset val="100"/>
        <c:noMultiLvlLbl val="0"/>
      </c:catAx>
      <c:valAx>
        <c:axId val="859090872"/>
        <c:scaling>
          <c:orientation val="minMax"/>
          <c:max val="1"/>
        </c:scaling>
        <c:delete val="0"/>
        <c:axPos val="b"/>
        <c:majorGridlines>
          <c:spPr>
            <a:ln w="9525" cap="flat" cmpd="sng" algn="ctr">
              <a:solidFill>
                <a:srgbClr val="D9D9D9"/>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2C307E"/>
                </a:solidFill>
                <a:latin typeface="+mn-lt"/>
                <a:ea typeface="+mn-ea"/>
                <a:cs typeface="+mn-cs"/>
              </a:defRPr>
            </a:pPr>
            <a:endParaRPr lang="nl-NL"/>
          </a:p>
        </c:txPr>
        <c:crossAx val="859086912"/>
        <c:crosses val="autoZero"/>
        <c:crossBetween val="between"/>
        <c:majorUnit val="0.2"/>
      </c:valAx>
      <c:spPr>
        <a:noFill/>
      </c:spPr>
    </c:plotArea>
    <c:legend>
      <c:legendPos val="b"/>
      <c:layout>
        <c:manualLayout>
          <c:xMode val="edge"/>
          <c:yMode val="edge"/>
          <c:x val="5.3586612290393403E-2"/>
          <c:y val="0.69654293746709828"/>
          <c:w val="0.89282639885222381"/>
          <c:h val="0.30345706253290172"/>
        </c:manualLayout>
      </c:layout>
      <c:overlay val="0"/>
      <c:txPr>
        <a:bodyPr/>
        <a:lstStyle/>
        <a:p>
          <a:pPr algn="ctr">
            <a:defRPr lang="en-US" sz="900" b="0" i="0" u="none" strike="noStrike" kern="1200" baseline="0">
              <a:solidFill>
                <a:srgbClr val="2C307E"/>
              </a:solidFill>
              <a:latin typeface="+mn-lt"/>
              <a:ea typeface="+mn-ea"/>
              <a:cs typeface="+mn-cs"/>
            </a:defRPr>
          </a:pPr>
          <a:endParaRPr lang="nl-NL"/>
        </a:p>
      </c:txPr>
    </c:legend>
    <c:plotVisOnly val="1"/>
    <c:dispBlanksAs val="gap"/>
    <c:showDLblsOverMax val="0"/>
    <c:extLst/>
  </c:chart>
  <c:spPr>
    <a:noFill/>
    <a:ln>
      <a:noFill/>
    </a:ln>
  </c:spPr>
  <c:txPr>
    <a:bodyPr/>
    <a:lstStyle/>
    <a:p>
      <a:pPr>
        <a:defRPr/>
      </a:pPr>
      <a:endParaRPr lang="nl-NL"/>
    </a:p>
  </c:txPr>
  <c:externalData r:id="rId1">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rgbClr val="2C307E"/>
                </a:solidFill>
                <a:latin typeface="+mn-lt"/>
                <a:ea typeface="+mn-ea"/>
                <a:cs typeface="+mn-cs"/>
              </a:defRPr>
            </a:pPr>
            <a:r>
              <a:rPr lang="en-US" sz="1100">
                <a:solidFill>
                  <a:srgbClr val="2C307E"/>
                </a:solidFill>
              </a:rPr>
              <a:t>Hoeveel kilometers laadt je</a:t>
            </a:r>
            <a:r>
              <a:rPr lang="en-US" sz="1100" baseline="0">
                <a:solidFill>
                  <a:srgbClr val="2C307E"/>
                </a:solidFill>
              </a:rPr>
              <a:t> thuis?</a:t>
            </a:r>
            <a:endParaRPr lang="en-US" sz="1100">
              <a:solidFill>
                <a:srgbClr val="2C307E"/>
              </a:solidFill>
            </a:endParaRPr>
          </a:p>
        </c:rich>
      </c:tx>
      <c:overlay val="0"/>
      <c:spPr>
        <a:noFill/>
        <a:ln>
          <a:noFill/>
        </a:ln>
        <a:effectLst/>
      </c:spPr>
    </c:title>
    <c:autoTitleDeleted val="0"/>
    <c:plotArea>
      <c:layout>
        <c:manualLayout>
          <c:layoutTarget val="inner"/>
          <c:xMode val="edge"/>
          <c:yMode val="edge"/>
          <c:x val="0.14540494131203471"/>
          <c:y val="0.18798008534850641"/>
          <c:w val="0.80198865027093991"/>
          <c:h val="0.42582184339333118"/>
        </c:manualLayout>
      </c:layout>
      <c:barChart>
        <c:barDir val="col"/>
        <c:grouping val="clustered"/>
        <c:varyColors val="0"/>
        <c:ser>
          <c:idx val="0"/>
          <c:order val="0"/>
          <c:tx>
            <c:v>thuis geladen kilometers via eigen laadpaal</c:v>
          </c:tx>
          <c:spPr>
            <a:solidFill>
              <a:srgbClr val="C9C743"/>
            </a:solidFill>
            <a:ln>
              <a:noFill/>
            </a:ln>
            <a:effectLst/>
          </c:spPr>
          <c:invertIfNegative val="0"/>
          <c:dLbls>
            <c:spPr>
              <a:noFill/>
              <a:ln>
                <a:noFill/>
              </a:ln>
              <a:effectLst/>
            </c:spPr>
            <c:txPr>
              <a:bodyPr wrap="square" lIns="38100" tIns="19050" rIns="38100" bIns="19050" anchor="ctr" anchorCtr="0">
                <a:spAutoFit/>
              </a:bodyPr>
              <a:lstStyle/>
              <a:p>
                <a:pPr algn="ctr">
                  <a:defRPr lang="en-US" sz="800" b="1" i="0" u="none" strike="noStrike" kern="1200" baseline="0">
                    <a:solidFill>
                      <a:srgbClr val="4EAFAA"/>
                    </a:solidFill>
                    <a:latin typeface="+mn-lt"/>
                    <a:ea typeface="+mn-ea"/>
                    <a:cs typeface="+mn-cs"/>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multiLvlStrRef>
              <c:f>'3.4 thuisladen oprit'!$B$99:$J$100</c:f>
              <c:multiLvlStrCache>
                <c:ptCount val="9"/>
                <c:lvl>
                  <c:pt idx="0">
                    <c:v>0-10%</c:v>
                  </c:pt>
                  <c:pt idx="1">
                    <c:v>11-20%</c:v>
                  </c:pt>
                  <c:pt idx="2">
                    <c:v>31-40%</c:v>
                  </c:pt>
                  <c:pt idx="3">
                    <c:v>41-50%</c:v>
                  </c:pt>
                  <c:pt idx="4">
                    <c:v>51-60%</c:v>
                  </c:pt>
                  <c:pt idx="5">
                    <c:v>61-70%</c:v>
                  </c:pt>
                  <c:pt idx="6">
                    <c:v>71-80%</c:v>
                  </c:pt>
                  <c:pt idx="7">
                    <c:v>81-90%</c:v>
                  </c:pt>
                  <c:pt idx="8">
                    <c:v>91-100%</c:v>
                  </c:pt>
                </c:lvl>
                <c:lvl>
                  <c:pt idx="0">
                    <c:v>Percentage thuisgeladen kilometers</c:v>
                  </c:pt>
                </c:lvl>
              </c:multiLvlStrCache>
            </c:multiLvlStrRef>
          </c:cat>
          <c:val>
            <c:numRef>
              <c:f>'3.4 thuisladen oprit'!$B$102:$J$102</c:f>
              <c:numCache>
                <c:formatCode>0%</c:formatCode>
                <c:ptCount val="9"/>
                <c:pt idx="0">
                  <c:v>2.4317406143344711E-2</c:v>
                </c:pt>
                <c:pt idx="1">
                  <c:v>1.9624573378839591E-2</c:v>
                </c:pt>
                <c:pt idx="2">
                  <c:v>1.7064846416382253E-2</c:v>
                </c:pt>
                <c:pt idx="3">
                  <c:v>2.8156996587030716E-2</c:v>
                </c:pt>
                <c:pt idx="4">
                  <c:v>2.9436860068259386E-2</c:v>
                </c:pt>
                <c:pt idx="5">
                  <c:v>4.6928327645051192E-2</c:v>
                </c:pt>
                <c:pt idx="6">
                  <c:v>0.14334470989761092</c:v>
                </c:pt>
                <c:pt idx="7">
                  <c:v>0.28071672354948807</c:v>
                </c:pt>
                <c:pt idx="8">
                  <c:v>0.41040955631399317</c:v>
                </c:pt>
              </c:numCache>
            </c:numRef>
          </c:val>
          <c:extLst>
            <c:ext xmlns:c16="http://schemas.microsoft.com/office/drawing/2014/chart" uri="{C3380CC4-5D6E-409C-BE32-E72D297353CC}">
              <c16:uniqueId val="{00000000-4CDB-4A84-A284-E27F35780AFB}"/>
            </c:ext>
          </c:extLst>
        </c:ser>
        <c:dLbls>
          <c:showLegendKey val="0"/>
          <c:showVal val="0"/>
          <c:showCatName val="0"/>
          <c:showSerName val="0"/>
          <c:showPercent val="0"/>
          <c:showBubbleSize val="0"/>
        </c:dLbls>
        <c:gapWidth val="219"/>
        <c:overlap val="-27"/>
        <c:axId val="859086912"/>
        <c:axId val="859090872"/>
      </c:barChart>
      <c:catAx>
        <c:axId val="8590869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vert="horz" wrap="square" anchor="ctr" anchorCtr="1"/>
          <a:lstStyle/>
          <a:p>
            <a:pPr>
              <a:defRPr sz="900" b="0" i="0" u="none" strike="noStrike" kern="1200" baseline="0">
                <a:solidFill>
                  <a:srgbClr val="2C307E"/>
                </a:solidFill>
                <a:latin typeface="+mn-lt"/>
                <a:ea typeface="+mn-ea"/>
                <a:cs typeface="+mn-cs"/>
              </a:defRPr>
            </a:pPr>
            <a:endParaRPr lang="nl-NL"/>
          </a:p>
        </c:txPr>
        <c:crossAx val="859090872"/>
        <c:crosses val="autoZero"/>
        <c:auto val="1"/>
        <c:lblAlgn val="ctr"/>
        <c:lblOffset val="100"/>
        <c:noMultiLvlLbl val="0"/>
      </c:catAx>
      <c:valAx>
        <c:axId val="859090872"/>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2C307E"/>
                </a:solidFill>
                <a:latin typeface="+mn-lt"/>
                <a:ea typeface="+mn-ea"/>
                <a:cs typeface="+mn-cs"/>
              </a:defRPr>
            </a:pPr>
            <a:endParaRPr lang="nl-NL"/>
          </a:p>
        </c:txPr>
        <c:crossAx val="859086912"/>
        <c:crosses val="autoZero"/>
        <c:crossBetween val="between"/>
        <c:majorUnit val="0.1"/>
      </c:valAx>
      <c:spPr>
        <a:noFill/>
      </c:spPr>
    </c:plotArea>
    <c:plotVisOnly val="1"/>
    <c:dispBlanksAs val="gap"/>
    <c:showDLblsOverMax val="0"/>
    <c:extLst/>
  </c:chart>
  <c:spPr>
    <a:noFill/>
    <a:ln>
      <a:noFill/>
    </a:ln>
  </c:spPr>
  <c:txPr>
    <a:bodyPr/>
    <a:lstStyle/>
    <a:p>
      <a:pPr>
        <a:defRPr/>
      </a:pPr>
      <a:endParaRPr lang="nl-NL"/>
    </a:p>
  </c:txPr>
  <c:externalData r:id="rId1">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rgbClr val="2C307E"/>
                </a:solidFill>
                <a:latin typeface="+mn-lt"/>
                <a:ea typeface="+mn-ea"/>
                <a:cs typeface="+mn-cs"/>
              </a:defRPr>
            </a:pPr>
            <a:r>
              <a:rPr lang="en-US" sz="1100">
                <a:solidFill>
                  <a:srgbClr val="2C307E"/>
                </a:solidFill>
              </a:rPr>
              <a:t>Hoe belangrijk was het hebben van een laadmogelijkheid op eigen privé aansluiting bij het kiezen voor elektrisch rijden? - naar startjaar</a:t>
            </a:r>
          </a:p>
        </c:rich>
      </c:tx>
      <c:overlay val="0"/>
      <c:spPr>
        <a:noFill/>
        <a:ln>
          <a:noFill/>
        </a:ln>
        <a:effectLst/>
      </c:spPr>
    </c:title>
    <c:autoTitleDeleted val="0"/>
    <c:plotArea>
      <c:layout/>
      <c:barChart>
        <c:barDir val="col"/>
        <c:grouping val="clustered"/>
        <c:varyColors val="0"/>
        <c:ser>
          <c:idx val="0"/>
          <c:order val="0"/>
          <c:tx>
            <c:strRef>
              <c:f>'3.4 thuisladen oprit'!$B$152</c:f>
              <c:strCache>
                <c:ptCount val="1"/>
                <c:pt idx="0">
                  <c:v>grote rol / doorslaggevend </c:v>
                </c:pt>
              </c:strCache>
            </c:strRef>
          </c:tx>
          <c:spPr>
            <a:solidFill>
              <a:srgbClr val="C9C743"/>
            </a:solidFill>
            <a:ln>
              <a:noFill/>
            </a:ln>
            <a:effectLst/>
          </c:spPr>
          <c:invertIfNegative val="0"/>
          <c:dLbls>
            <c:spPr>
              <a:noFill/>
              <a:ln>
                <a:noFill/>
              </a:ln>
              <a:effectLst/>
            </c:spPr>
            <c:txPr>
              <a:bodyPr wrap="square" lIns="38100" tIns="19050" rIns="38100" bIns="19050" anchor="ctr" anchorCtr="0">
                <a:spAutoFit/>
              </a:bodyPr>
              <a:lstStyle/>
              <a:p>
                <a:pPr algn="ctr">
                  <a:defRPr lang="en-US" sz="800" b="1" i="0" u="none" strike="noStrike" kern="1200" baseline="0">
                    <a:solidFill>
                      <a:srgbClr val="4EAFAA"/>
                    </a:solidFill>
                    <a:latin typeface="+mn-lt"/>
                    <a:ea typeface="+mn-ea"/>
                    <a:cs typeface="+mn-cs"/>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multiLvlStrRef>
              <c:f>'3.4 thuisladen oprit'!$C$150:$H$151</c:f>
              <c:multiLvlStrCache>
                <c:ptCount val="6"/>
                <c:lvl>
                  <c:pt idx="0">
                    <c:v>Minder dan één jaar</c:v>
                  </c:pt>
                  <c:pt idx="1">
                    <c:v>één jaar</c:v>
                  </c:pt>
                  <c:pt idx="2">
                    <c:v>twee jaar</c:v>
                  </c:pt>
                  <c:pt idx="3">
                    <c:v>drie jaar</c:v>
                  </c:pt>
                  <c:pt idx="4">
                    <c:v>vier jaar</c:v>
                  </c:pt>
                  <c:pt idx="5">
                    <c:v>meer dan 4 jaar</c:v>
                  </c:pt>
                </c:lvl>
                <c:lvl>
                  <c:pt idx="0">
                    <c:v>Hoe lang rijd je elektrisch?</c:v>
                  </c:pt>
                </c:lvl>
              </c:multiLvlStrCache>
            </c:multiLvlStrRef>
          </c:cat>
          <c:val>
            <c:numRef>
              <c:f>'3.4 thuisladen oprit'!$C$152:$H$152</c:f>
              <c:numCache>
                <c:formatCode>0%</c:formatCode>
                <c:ptCount val="6"/>
                <c:pt idx="0">
                  <c:v>0.73043478260869565</c:v>
                </c:pt>
                <c:pt idx="1">
                  <c:v>0.76829268292682928</c:v>
                </c:pt>
                <c:pt idx="2">
                  <c:v>0.79136690647482011</c:v>
                </c:pt>
                <c:pt idx="3">
                  <c:v>0.72527472527472525</c:v>
                </c:pt>
                <c:pt idx="4">
                  <c:v>0.65131578947368418</c:v>
                </c:pt>
                <c:pt idx="5">
                  <c:v>0.61733615221987315</c:v>
                </c:pt>
              </c:numCache>
            </c:numRef>
          </c:val>
          <c:extLst>
            <c:ext xmlns:c16="http://schemas.microsoft.com/office/drawing/2014/chart" uri="{C3380CC4-5D6E-409C-BE32-E72D297353CC}">
              <c16:uniqueId val="{00000000-1C61-4C93-9B1D-659661C00EC9}"/>
            </c:ext>
          </c:extLst>
        </c:ser>
        <c:dLbls>
          <c:showLegendKey val="0"/>
          <c:showVal val="0"/>
          <c:showCatName val="0"/>
          <c:showSerName val="0"/>
          <c:showPercent val="0"/>
          <c:showBubbleSize val="0"/>
        </c:dLbls>
        <c:gapWidth val="219"/>
        <c:overlap val="-27"/>
        <c:axId val="859086912"/>
        <c:axId val="859090872"/>
      </c:barChart>
      <c:catAx>
        <c:axId val="8590869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2C307E"/>
                </a:solidFill>
                <a:latin typeface="+mn-lt"/>
                <a:ea typeface="+mn-ea"/>
                <a:cs typeface="+mn-cs"/>
              </a:defRPr>
            </a:pPr>
            <a:endParaRPr lang="nl-NL"/>
          </a:p>
        </c:txPr>
        <c:crossAx val="859090872"/>
        <c:crosses val="autoZero"/>
        <c:auto val="1"/>
        <c:lblAlgn val="ctr"/>
        <c:lblOffset val="100"/>
        <c:noMultiLvlLbl val="0"/>
      </c:catAx>
      <c:valAx>
        <c:axId val="859090872"/>
        <c:scaling>
          <c:orientation val="minMax"/>
          <c:max val="1"/>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2C307E"/>
                </a:solidFill>
                <a:latin typeface="+mn-lt"/>
                <a:ea typeface="+mn-ea"/>
                <a:cs typeface="+mn-cs"/>
              </a:defRPr>
            </a:pPr>
            <a:endParaRPr lang="nl-NL"/>
          </a:p>
        </c:txPr>
        <c:crossAx val="859086912"/>
        <c:crosses val="autoZero"/>
        <c:crossBetween val="between"/>
        <c:majorUnit val="0.5"/>
      </c:valAx>
      <c:spPr>
        <a:noFill/>
      </c:spPr>
    </c:plotArea>
    <c:plotVisOnly val="1"/>
    <c:dispBlanksAs val="gap"/>
    <c:showDLblsOverMax val="0"/>
    <c:extLst/>
  </c:chart>
  <c:spPr>
    <a:noFill/>
    <a:ln>
      <a:noFill/>
    </a:ln>
  </c:spPr>
  <c:txPr>
    <a:bodyPr/>
    <a:lstStyle/>
    <a:p>
      <a:pPr>
        <a:defRPr/>
      </a:pPr>
      <a:endParaRPr lang="nl-NL"/>
    </a:p>
  </c:txPr>
  <c:externalData r:id="rId1">
    <c:autoUpdate val="0"/>
  </c:externalData>
</c:chartSpace>
</file>

<file path=word/charts/chart5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lgn="ctr" rtl="0">
              <a:defRPr lang="en-US" sz="1100" b="0" i="0" u="none" strike="noStrike" kern="1200" spc="0" baseline="0">
                <a:solidFill>
                  <a:srgbClr val="2C307E"/>
                </a:solidFill>
                <a:latin typeface="+mn-lt"/>
                <a:ea typeface="+mn-ea"/>
                <a:cs typeface="+mn-cs"/>
              </a:defRPr>
            </a:pPr>
            <a:r>
              <a:rPr lang="en-US" sz="1100" b="0" i="0" u="none" strike="noStrike" baseline="0">
                <a:effectLst/>
              </a:rPr>
              <a:t>Hoe wordt jouw thuisgeladen elektriciteit (kWh) vergoed door je werkgever?</a:t>
            </a:r>
            <a:endParaRPr lang="en-US" sz="1100" b="0" i="0" u="none" strike="noStrike" kern="1200" spc="0" baseline="0">
              <a:solidFill>
                <a:srgbClr val="2C307E"/>
              </a:solidFill>
              <a:latin typeface="+mn-lt"/>
              <a:ea typeface="+mn-ea"/>
              <a:cs typeface="+mn-cs"/>
            </a:endParaRPr>
          </a:p>
        </c:rich>
      </c:tx>
      <c:overlay val="0"/>
    </c:title>
    <c:autoTitleDeleted val="0"/>
    <c:plotArea>
      <c:layout>
        <c:manualLayout>
          <c:layoutTarget val="inner"/>
          <c:xMode val="edge"/>
          <c:yMode val="edge"/>
          <c:x val="0.30165162281544078"/>
          <c:y val="0.23635930989198953"/>
          <c:w val="0.3374556121661263"/>
          <c:h val="0.32066334244006822"/>
        </c:manualLayout>
      </c:layout>
      <c:pieChart>
        <c:varyColors val="1"/>
        <c:ser>
          <c:idx val="0"/>
          <c:order val="0"/>
          <c:spPr>
            <a:solidFill>
              <a:srgbClr val="08B466"/>
            </a:solidFill>
            <a:ln>
              <a:noFill/>
            </a:ln>
          </c:spPr>
          <c:dPt>
            <c:idx val="0"/>
            <c:bubble3D val="0"/>
            <c:spPr>
              <a:solidFill>
                <a:srgbClr val="2C307E"/>
              </a:solidFill>
              <a:ln w="19050">
                <a:noFill/>
              </a:ln>
              <a:effectLst/>
            </c:spPr>
            <c:extLst>
              <c:ext xmlns:c16="http://schemas.microsoft.com/office/drawing/2014/chart" uri="{C3380CC4-5D6E-409C-BE32-E72D297353CC}">
                <c16:uniqueId val="{00000001-D606-4C63-9F86-11C1BA5C728A}"/>
              </c:ext>
            </c:extLst>
          </c:dPt>
          <c:dPt>
            <c:idx val="1"/>
            <c:bubble3D val="0"/>
            <c:spPr>
              <a:solidFill>
                <a:srgbClr val="08B466"/>
              </a:solidFill>
              <a:ln w="19050">
                <a:noFill/>
              </a:ln>
              <a:effectLst/>
            </c:spPr>
            <c:extLst>
              <c:ext xmlns:c16="http://schemas.microsoft.com/office/drawing/2014/chart" uri="{C3380CC4-5D6E-409C-BE32-E72D297353CC}">
                <c16:uniqueId val="{00000003-D606-4C63-9F86-11C1BA5C728A}"/>
              </c:ext>
            </c:extLst>
          </c:dPt>
          <c:dPt>
            <c:idx val="2"/>
            <c:bubble3D val="0"/>
            <c:spPr>
              <a:solidFill>
                <a:srgbClr val="C9C743"/>
              </a:solidFill>
              <a:ln>
                <a:noFill/>
              </a:ln>
            </c:spPr>
            <c:extLst>
              <c:ext xmlns:c16="http://schemas.microsoft.com/office/drawing/2014/chart" uri="{C3380CC4-5D6E-409C-BE32-E72D297353CC}">
                <c16:uniqueId val="{00000005-D606-4C63-9F86-11C1BA5C728A}"/>
              </c:ext>
            </c:extLst>
          </c:dPt>
          <c:dPt>
            <c:idx val="3"/>
            <c:bubble3D val="0"/>
            <c:spPr>
              <a:solidFill>
                <a:srgbClr val="BAD6ED"/>
              </a:solidFill>
              <a:ln>
                <a:noFill/>
              </a:ln>
            </c:spPr>
            <c:extLst>
              <c:ext xmlns:c16="http://schemas.microsoft.com/office/drawing/2014/chart" uri="{C3380CC4-5D6E-409C-BE32-E72D297353CC}">
                <c16:uniqueId val="{00000007-D606-4C63-9F86-11C1BA5C728A}"/>
              </c:ext>
            </c:extLst>
          </c:dPt>
          <c:dPt>
            <c:idx val="4"/>
            <c:bubble3D val="0"/>
            <c:spPr>
              <a:solidFill>
                <a:srgbClr val="4EAFAA"/>
              </a:solidFill>
              <a:ln>
                <a:noFill/>
              </a:ln>
            </c:spPr>
            <c:extLst>
              <c:ext xmlns:c16="http://schemas.microsoft.com/office/drawing/2014/chart" uri="{C3380CC4-5D6E-409C-BE32-E72D297353CC}">
                <c16:uniqueId val="{00000009-D606-4C63-9F86-11C1BA5C728A}"/>
              </c:ext>
            </c:extLst>
          </c:dPt>
          <c:dPt>
            <c:idx val="5"/>
            <c:bubble3D val="0"/>
            <c:spPr>
              <a:solidFill>
                <a:srgbClr val="696969"/>
              </a:solidFill>
              <a:ln>
                <a:noFill/>
              </a:ln>
            </c:spPr>
            <c:extLst>
              <c:ext xmlns:c16="http://schemas.microsoft.com/office/drawing/2014/chart" uri="{C3380CC4-5D6E-409C-BE32-E72D297353CC}">
                <c16:uniqueId val="{0000000B-D606-4C63-9F86-11C1BA5C728A}"/>
              </c:ext>
            </c:extLst>
          </c:dPt>
          <c:dLbls>
            <c:dLbl>
              <c:idx val="0"/>
              <c:spPr>
                <a:noFill/>
                <a:ln>
                  <a:noFill/>
                </a:ln>
                <a:effectLst/>
              </c:spPr>
              <c:txPr>
                <a:bodyPr wrap="square" lIns="38100" tIns="19050" rIns="38100" bIns="19050" anchor="ctr">
                  <a:spAutoFit/>
                </a:bodyPr>
                <a:lstStyle/>
                <a:p>
                  <a:pPr>
                    <a:defRPr sz="800" b="1">
                      <a:solidFill>
                        <a:schemeClr val="bg1"/>
                      </a:solidFill>
                    </a:defRPr>
                  </a:pPr>
                  <a:endParaRPr lang="nl-NL"/>
                </a:p>
              </c:txPr>
              <c:showLegendKey val="0"/>
              <c:showVal val="1"/>
              <c:showCatName val="0"/>
              <c:showSerName val="0"/>
              <c:showPercent val="0"/>
              <c:showBubbleSize val="0"/>
              <c:extLst>
                <c:ext xmlns:c16="http://schemas.microsoft.com/office/drawing/2014/chart" uri="{C3380CC4-5D6E-409C-BE32-E72D297353CC}">
                  <c16:uniqueId val="{00000001-D606-4C63-9F86-11C1BA5C728A}"/>
                </c:ext>
              </c:extLst>
            </c:dLbl>
            <c:dLbl>
              <c:idx val="1"/>
              <c:spPr>
                <a:noFill/>
                <a:ln>
                  <a:noFill/>
                </a:ln>
                <a:effectLst/>
              </c:spPr>
              <c:txPr>
                <a:bodyPr wrap="square" lIns="38100" tIns="19050" rIns="38100" bIns="19050" anchor="ctr">
                  <a:spAutoFit/>
                </a:bodyPr>
                <a:lstStyle/>
                <a:p>
                  <a:pPr>
                    <a:defRPr sz="800" b="1">
                      <a:solidFill>
                        <a:schemeClr val="bg1"/>
                      </a:solidFill>
                    </a:defRPr>
                  </a:pPr>
                  <a:endParaRPr lang="nl-NL"/>
                </a:p>
              </c:txPr>
              <c:showLegendKey val="0"/>
              <c:showVal val="1"/>
              <c:showCatName val="0"/>
              <c:showSerName val="0"/>
              <c:showPercent val="0"/>
              <c:showBubbleSize val="0"/>
              <c:extLst>
                <c:ext xmlns:c16="http://schemas.microsoft.com/office/drawing/2014/chart" uri="{C3380CC4-5D6E-409C-BE32-E72D297353CC}">
                  <c16:uniqueId val="{00000003-D606-4C63-9F86-11C1BA5C728A}"/>
                </c:ext>
              </c:extLst>
            </c:dLbl>
            <c:dLbl>
              <c:idx val="2"/>
              <c:spPr>
                <a:noFill/>
                <a:ln>
                  <a:noFill/>
                </a:ln>
                <a:effectLst/>
              </c:spPr>
              <c:txPr>
                <a:bodyPr wrap="square" lIns="38100" tIns="19050" rIns="38100" bIns="19050" anchor="ctr">
                  <a:spAutoFit/>
                </a:bodyPr>
                <a:lstStyle/>
                <a:p>
                  <a:pPr>
                    <a:defRPr sz="800" b="1">
                      <a:solidFill>
                        <a:schemeClr val="bg1"/>
                      </a:solidFill>
                    </a:defRPr>
                  </a:pPr>
                  <a:endParaRPr lang="nl-NL"/>
                </a:p>
              </c:txPr>
              <c:showLegendKey val="0"/>
              <c:showVal val="1"/>
              <c:showCatName val="0"/>
              <c:showSerName val="0"/>
              <c:showPercent val="0"/>
              <c:showBubbleSize val="0"/>
              <c:extLst>
                <c:ext xmlns:c16="http://schemas.microsoft.com/office/drawing/2014/chart" uri="{C3380CC4-5D6E-409C-BE32-E72D297353CC}">
                  <c16:uniqueId val="{00000005-D606-4C63-9F86-11C1BA5C728A}"/>
                </c:ext>
              </c:extLst>
            </c:dLbl>
            <c:dLbl>
              <c:idx val="3"/>
              <c:spPr>
                <a:noFill/>
                <a:ln>
                  <a:noFill/>
                </a:ln>
                <a:effectLst/>
              </c:spPr>
              <c:txPr>
                <a:bodyPr wrap="square" lIns="38100" tIns="19050" rIns="38100" bIns="19050" anchor="ctr">
                  <a:spAutoFit/>
                </a:bodyPr>
                <a:lstStyle/>
                <a:p>
                  <a:pPr>
                    <a:defRPr sz="800" b="1">
                      <a:solidFill>
                        <a:srgbClr val="2C307E"/>
                      </a:solidFill>
                    </a:defRPr>
                  </a:pPr>
                  <a:endParaRPr lang="nl-NL"/>
                </a:p>
              </c:txPr>
              <c:showLegendKey val="0"/>
              <c:showVal val="1"/>
              <c:showCatName val="0"/>
              <c:showSerName val="0"/>
              <c:showPercent val="0"/>
              <c:showBubbleSize val="0"/>
              <c:extLst>
                <c:ext xmlns:c16="http://schemas.microsoft.com/office/drawing/2014/chart" uri="{C3380CC4-5D6E-409C-BE32-E72D297353CC}">
                  <c16:uniqueId val="{00000007-D606-4C63-9F86-11C1BA5C728A}"/>
                </c:ext>
              </c:extLst>
            </c:dLbl>
            <c:dLbl>
              <c:idx val="4"/>
              <c:spPr>
                <a:noFill/>
                <a:ln>
                  <a:noFill/>
                </a:ln>
                <a:effectLst/>
              </c:spPr>
              <c:txPr>
                <a:bodyPr wrap="square" lIns="38100" tIns="19050" rIns="38100" bIns="19050" anchor="ctr">
                  <a:spAutoFit/>
                </a:bodyPr>
                <a:lstStyle/>
                <a:p>
                  <a:pPr>
                    <a:defRPr sz="800" b="1">
                      <a:solidFill>
                        <a:srgbClr val="2C307E"/>
                      </a:solidFill>
                    </a:defRPr>
                  </a:pPr>
                  <a:endParaRPr lang="nl-NL"/>
                </a:p>
              </c:txPr>
              <c:showLegendKey val="0"/>
              <c:showVal val="1"/>
              <c:showCatName val="0"/>
              <c:showSerName val="0"/>
              <c:showPercent val="0"/>
              <c:showBubbleSize val="0"/>
              <c:extLst>
                <c:ext xmlns:c16="http://schemas.microsoft.com/office/drawing/2014/chart" uri="{C3380CC4-5D6E-409C-BE32-E72D297353CC}">
                  <c16:uniqueId val="{00000009-D606-4C63-9F86-11C1BA5C728A}"/>
                </c:ext>
              </c:extLst>
            </c:dLbl>
            <c:dLbl>
              <c:idx val="5"/>
              <c:spPr>
                <a:noFill/>
                <a:ln>
                  <a:noFill/>
                </a:ln>
                <a:effectLst/>
              </c:spPr>
              <c:txPr>
                <a:bodyPr wrap="square" lIns="38100" tIns="19050" rIns="38100" bIns="19050" anchor="ctr">
                  <a:spAutoFit/>
                </a:bodyPr>
                <a:lstStyle/>
                <a:p>
                  <a:pPr>
                    <a:defRPr sz="800" b="1">
                      <a:solidFill>
                        <a:srgbClr val="2C307E"/>
                      </a:solidFill>
                    </a:defRPr>
                  </a:pPr>
                  <a:endParaRPr lang="nl-NL"/>
                </a:p>
              </c:txPr>
              <c:showLegendKey val="0"/>
              <c:showVal val="1"/>
              <c:showCatName val="0"/>
              <c:showSerName val="0"/>
              <c:showPercent val="0"/>
              <c:showBubbleSize val="0"/>
              <c:extLst>
                <c:ext xmlns:c16="http://schemas.microsoft.com/office/drawing/2014/chart" uri="{C3380CC4-5D6E-409C-BE32-E72D297353CC}">
                  <c16:uniqueId val="{0000000B-D606-4C63-9F86-11C1BA5C728A}"/>
                </c:ext>
              </c:extLst>
            </c:dLbl>
            <c:spPr>
              <a:noFill/>
              <a:ln>
                <a:noFill/>
              </a:ln>
              <a:effectLst/>
            </c:spPr>
            <c:txPr>
              <a:bodyPr wrap="square" lIns="38100" tIns="19050" rIns="38100" bIns="19050" anchor="ctr">
                <a:spAutoFit/>
              </a:bodyPr>
              <a:lstStyle/>
              <a:p>
                <a:pPr>
                  <a:defRPr sz="800" b="1"/>
                </a:pPr>
                <a:endParaRPr lang="nl-NL"/>
              </a:p>
            </c:txPr>
            <c:showLegendKey val="0"/>
            <c:showVal val="1"/>
            <c:showCatName val="0"/>
            <c:showSerName val="0"/>
            <c:showPercent val="0"/>
            <c:showBubbleSize val="0"/>
            <c:showLeaderLines val="1"/>
            <c:extLst>
              <c:ext xmlns:c15="http://schemas.microsoft.com/office/drawing/2012/chart" uri="{CE6537A1-D6FC-4f65-9D91-7224C49458BB}"/>
            </c:extLst>
          </c:dLbls>
          <c:cat>
            <c:strRef>
              <c:f>'3.4 thuisladen oprit'!$B$164:$B$168</c:f>
              <c:strCache>
                <c:ptCount val="5"/>
                <c:pt idx="0">
                  <c:v>Aantal kWh op basis van laadpas. Prijs per kWh op basis van laadpas</c:v>
                </c:pt>
                <c:pt idx="1">
                  <c:v>Aantal kWh op basis van laadpas. Prijs per kWh vastgesteld door werkgever</c:v>
                </c:pt>
                <c:pt idx="2">
                  <c:v>Aantal kWh op basis van eigen waarneming. Prijs per kWh op basis van stroomtarief thuis  </c:v>
                </c:pt>
                <c:pt idx="3">
                  <c:v>Niet</c:v>
                </c:pt>
                <c:pt idx="4">
                  <c:v>Anders namelijk….</c:v>
                </c:pt>
              </c:strCache>
            </c:strRef>
          </c:cat>
          <c:val>
            <c:numRef>
              <c:f>'3.4 thuisladen oprit'!$E$164:$E$168</c:f>
              <c:numCache>
                <c:formatCode>0%</c:formatCode>
                <c:ptCount val="5"/>
                <c:pt idx="0">
                  <c:v>0.44230769230769229</c:v>
                </c:pt>
                <c:pt idx="1">
                  <c:v>0.12692307692307692</c:v>
                </c:pt>
                <c:pt idx="2">
                  <c:v>0.3</c:v>
                </c:pt>
                <c:pt idx="3">
                  <c:v>7.6923076923076927E-3</c:v>
                </c:pt>
                <c:pt idx="4">
                  <c:v>0.12307692307692308</c:v>
                </c:pt>
              </c:numCache>
            </c:numRef>
          </c:val>
          <c:extLst>
            <c:ext xmlns:c16="http://schemas.microsoft.com/office/drawing/2014/chart" uri="{C3380CC4-5D6E-409C-BE32-E72D297353CC}">
              <c16:uniqueId val="{0000000C-D606-4C63-9F86-11C1BA5C728A}"/>
            </c:ext>
          </c:extLst>
        </c:ser>
        <c:dLbls>
          <c:showLegendKey val="0"/>
          <c:showVal val="0"/>
          <c:showCatName val="0"/>
          <c:showSerName val="0"/>
          <c:showPercent val="0"/>
          <c:showBubbleSize val="0"/>
          <c:showLeaderLines val="1"/>
        </c:dLbls>
        <c:firstSliceAng val="0"/>
      </c:pieChart>
    </c:plotArea>
    <c:legend>
      <c:legendPos val="b"/>
      <c:layout>
        <c:manualLayout>
          <c:xMode val="edge"/>
          <c:yMode val="edge"/>
          <c:x val="6.4066848171955557E-2"/>
          <c:y val="0.56369993136705721"/>
          <c:w val="0.87186630365608886"/>
          <c:h val="0.413412408896151"/>
        </c:manualLayout>
      </c:layout>
      <c:overlay val="0"/>
      <c:spPr>
        <a:noFill/>
        <a:ln>
          <a:noFill/>
        </a:ln>
        <a:effectLst/>
      </c:spPr>
      <c:txPr>
        <a:bodyPr rot="0" spcFirstLastPara="1" vertOverflow="ellipsis" vert="horz" wrap="square" anchor="ctr" anchorCtr="1"/>
        <a:lstStyle/>
        <a:p>
          <a:pPr>
            <a:defRPr sz="900" b="0" i="0" u="none" strike="noStrike" kern="1200" baseline="0">
              <a:solidFill>
                <a:srgbClr val="2C307E"/>
              </a:solidFill>
              <a:latin typeface="+mn-lt"/>
              <a:ea typeface="+mn-ea"/>
              <a:cs typeface="+mn-cs"/>
            </a:defRPr>
          </a:pPr>
          <a:endParaRPr lang="nl-NL"/>
        </a:p>
      </c:txPr>
    </c:legend>
    <c:plotVisOnly val="1"/>
    <c:dispBlanksAs val="gap"/>
    <c:showDLblsOverMax val="0"/>
    <c:extLst/>
  </c:chart>
  <c:spPr>
    <a:noFill/>
    <a:ln>
      <a:noFill/>
    </a:ln>
  </c:spPr>
  <c:txPr>
    <a:bodyPr/>
    <a:lstStyle/>
    <a:p>
      <a:pPr>
        <a:defRPr/>
      </a:pPr>
      <a:endParaRPr lang="nl-NL"/>
    </a:p>
  </c:txPr>
  <c:externalData r:id="rId1">
    <c:autoUpdate val="0"/>
  </c:externalData>
</c:chartSpace>
</file>

<file path=word/charts/chart5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rgbClr val="2C307E"/>
                </a:solidFill>
                <a:latin typeface="+mn-lt"/>
                <a:ea typeface="+mn-ea"/>
                <a:cs typeface="+mn-cs"/>
              </a:defRPr>
            </a:pPr>
            <a:r>
              <a:rPr lang="en-US" sz="1100">
                <a:solidFill>
                  <a:srgbClr val="2C307E"/>
                </a:solidFill>
              </a:rPr>
              <a:t>Hoe lang duurde het om een laadpaal thuis te installeren, vanaf het moment van aanschaf?</a:t>
            </a:r>
          </a:p>
        </c:rich>
      </c:tx>
      <c:overlay val="0"/>
      <c:spPr>
        <a:noFill/>
        <a:ln>
          <a:noFill/>
        </a:ln>
        <a:effectLst/>
      </c:spPr>
    </c:title>
    <c:autoTitleDeleted val="0"/>
    <c:plotArea>
      <c:layout>
        <c:manualLayout>
          <c:layoutTarget val="inner"/>
          <c:xMode val="edge"/>
          <c:yMode val="edge"/>
          <c:x val="0.12149293748611409"/>
          <c:y val="0.31681555438780873"/>
          <c:w val="0.8199512722315736"/>
          <c:h val="0.2820118979734621"/>
        </c:manualLayout>
      </c:layout>
      <c:barChart>
        <c:barDir val="col"/>
        <c:grouping val="clustered"/>
        <c:varyColors val="0"/>
        <c:ser>
          <c:idx val="0"/>
          <c:order val="0"/>
          <c:tx>
            <c:strRef>
              <c:f>'3.4 thuisladen oprit'!$H$215</c:f>
              <c:strCache>
                <c:ptCount val="1"/>
                <c:pt idx="0">
                  <c:v>Incl. aansluiting verzwaren</c:v>
                </c:pt>
              </c:strCache>
            </c:strRef>
          </c:tx>
          <c:spPr>
            <a:solidFill>
              <a:srgbClr val="2C307E"/>
            </a:solidFill>
            <a:ln>
              <a:noFill/>
            </a:ln>
            <a:effectLst/>
          </c:spPr>
          <c:invertIfNegative val="0"/>
          <c:dLbls>
            <c:spPr>
              <a:noFill/>
              <a:ln>
                <a:noFill/>
              </a:ln>
              <a:effectLst/>
            </c:spPr>
            <c:txPr>
              <a:bodyPr wrap="square" lIns="38100" tIns="19050" rIns="38100" bIns="19050" anchor="ctr" anchorCtr="0">
                <a:spAutoFit/>
              </a:bodyPr>
              <a:lstStyle/>
              <a:p>
                <a:pPr algn="ctr">
                  <a:defRPr lang="en-US" sz="800" b="1" i="0" u="none" strike="noStrike" kern="1200" baseline="0">
                    <a:solidFill>
                      <a:srgbClr val="4EAFAA"/>
                    </a:solidFill>
                    <a:latin typeface="+mn-lt"/>
                    <a:ea typeface="+mn-ea"/>
                    <a:cs typeface="+mn-cs"/>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'3.4 thuisladen oprit'!$C$216:$C$220</c:f>
              <c:strCache>
                <c:ptCount val="5"/>
                <c:pt idx="0">
                  <c:v>Binnen twee weken</c:v>
                </c:pt>
                <c:pt idx="1">
                  <c:v>Binnen een maand</c:v>
                </c:pt>
                <c:pt idx="2">
                  <c:v>Binnen twee maanden</c:v>
                </c:pt>
                <c:pt idx="3">
                  <c:v>Langer dan twee maanden</c:v>
                </c:pt>
                <c:pt idx="4">
                  <c:v>Het traject is nog bezig</c:v>
                </c:pt>
              </c:strCache>
            </c:strRef>
          </c:cat>
          <c:val>
            <c:numRef>
              <c:f>'3.4 thuisladen oprit'!$H$216:$H$220</c:f>
              <c:numCache>
                <c:formatCode>0%</c:formatCode>
                <c:ptCount val="5"/>
                <c:pt idx="0">
                  <c:v>0.33149171270718231</c:v>
                </c:pt>
                <c:pt idx="1">
                  <c:v>0.36464088397790057</c:v>
                </c:pt>
                <c:pt idx="2">
                  <c:v>0.20994475138121546</c:v>
                </c:pt>
                <c:pt idx="3">
                  <c:v>9.3922651933701654E-2</c:v>
                </c:pt>
                <c:pt idx="4">
                  <c:v>0</c:v>
                </c:pt>
              </c:numCache>
            </c:numRef>
          </c:val>
          <c:extLst>
            <c:ext xmlns:c16="http://schemas.microsoft.com/office/drawing/2014/chart" uri="{C3380CC4-5D6E-409C-BE32-E72D297353CC}">
              <c16:uniqueId val="{00000000-9613-48E1-B990-7EB3B1CCC333}"/>
            </c:ext>
          </c:extLst>
        </c:ser>
        <c:ser>
          <c:idx val="1"/>
          <c:order val="1"/>
          <c:tx>
            <c:strRef>
              <c:f>'3.4 thuisladen oprit'!$I$215</c:f>
              <c:strCache>
                <c:ptCount val="1"/>
                <c:pt idx="0">
                  <c:v>Excl. aansluiting verzwaren</c:v>
                </c:pt>
              </c:strCache>
            </c:strRef>
          </c:tx>
          <c:spPr>
            <a:solidFill>
              <a:srgbClr val="08B466"/>
            </a:solidFill>
          </c:spPr>
          <c:invertIfNegative val="0"/>
          <c:dLbls>
            <c:dLbl>
              <c:idx val="1"/>
              <c:layout>
                <c:manualLayout>
                  <c:x val="1.4012143858010275E-2"/>
                  <c:y val="4.330879168471159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565-4298-83AA-AC82ACCBB7AF}"/>
                </c:ext>
              </c:extLst>
            </c:dLbl>
            <c:spPr>
              <a:noFill/>
              <a:ln>
                <a:noFill/>
              </a:ln>
              <a:effectLst/>
            </c:spPr>
            <c:txPr>
              <a:bodyPr wrap="square" lIns="38100" tIns="19050" rIns="38100" bIns="19050" anchor="ctr" anchorCtr="0">
                <a:spAutoFit/>
              </a:bodyPr>
              <a:lstStyle/>
              <a:p>
                <a:pPr algn="ctr">
                  <a:defRPr lang="en-US" sz="800" b="1" i="0" u="none" strike="noStrike" kern="1200" baseline="0">
                    <a:solidFill>
                      <a:srgbClr val="4EAFAA"/>
                    </a:solidFill>
                    <a:latin typeface="+mn-lt"/>
                    <a:ea typeface="+mn-ea"/>
                    <a:cs typeface="+mn-cs"/>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'3.4 thuisladen oprit'!$C$216:$C$220</c:f>
              <c:strCache>
                <c:ptCount val="5"/>
                <c:pt idx="0">
                  <c:v>Binnen twee weken</c:v>
                </c:pt>
                <c:pt idx="1">
                  <c:v>Binnen een maand</c:v>
                </c:pt>
                <c:pt idx="2">
                  <c:v>Binnen twee maanden</c:v>
                </c:pt>
                <c:pt idx="3">
                  <c:v>Langer dan twee maanden</c:v>
                </c:pt>
                <c:pt idx="4">
                  <c:v>Het traject is nog bezig</c:v>
                </c:pt>
              </c:strCache>
            </c:strRef>
          </c:cat>
          <c:val>
            <c:numRef>
              <c:f>'3.4 thuisladen oprit'!$I$216:$I$220</c:f>
              <c:numCache>
                <c:formatCode>0%</c:formatCode>
                <c:ptCount val="5"/>
                <c:pt idx="0">
                  <c:v>0.46380697050938335</c:v>
                </c:pt>
                <c:pt idx="1">
                  <c:v>0.33512064343163539</c:v>
                </c:pt>
                <c:pt idx="2">
                  <c:v>0.15281501340482573</c:v>
                </c:pt>
                <c:pt idx="3">
                  <c:v>4.2895442359249331E-2</c:v>
                </c:pt>
                <c:pt idx="4">
                  <c:v>5.3619302949061663E-3</c:v>
                </c:pt>
              </c:numCache>
            </c:numRef>
          </c:val>
          <c:extLst>
            <c:ext xmlns:c16="http://schemas.microsoft.com/office/drawing/2014/chart" uri="{C3380CC4-5D6E-409C-BE32-E72D297353CC}">
              <c16:uniqueId val="{00000001-9613-48E1-B990-7EB3B1CCC333}"/>
            </c:ext>
          </c:extLst>
        </c:ser>
        <c:dLbls>
          <c:showLegendKey val="0"/>
          <c:showVal val="0"/>
          <c:showCatName val="0"/>
          <c:showSerName val="0"/>
          <c:showPercent val="0"/>
          <c:showBubbleSize val="0"/>
        </c:dLbls>
        <c:gapWidth val="219"/>
        <c:overlap val="-27"/>
        <c:axId val="859086912"/>
        <c:axId val="859090872"/>
      </c:barChart>
      <c:catAx>
        <c:axId val="8590869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sz="900" b="0" i="0" u="none" strike="noStrike" kern="1200" baseline="0">
                <a:solidFill>
                  <a:srgbClr val="2C307E"/>
                </a:solidFill>
                <a:latin typeface="+mn-lt"/>
                <a:ea typeface="+mn-ea"/>
                <a:cs typeface="+mn-cs"/>
              </a:defRPr>
            </a:pPr>
            <a:endParaRPr lang="nl-NL"/>
          </a:p>
        </c:txPr>
        <c:crossAx val="859090872"/>
        <c:crosses val="autoZero"/>
        <c:auto val="1"/>
        <c:lblAlgn val="ctr"/>
        <c:lblOffset val="100"/>
        <c:noMultiLvlLbl val="0"/>
      </c:catAx>
      <c:valAx>
        <c:axId val="859090872"/>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2C307E"/>
                </a:solidFill>
                <a:latin typeface="+mn-lt"/>
                <a:ea typeface="+mn-ea"/>
                <a:cs typeface="+mn-cs"/>
              </a:defRPr>
            </a:pPr>
            <a:endParaRPr lang="nl-NL"/>
          </a:p>
        </c:txPr>
        <c:crossAx val="859086912"/>
        <c:crosses val="autoZero"/>
        <c:crossBetween val="between"/>
        <c:majorUnit val="0.1"/>
      </c:valAx>
      <c:spPr>
        <a:noFill/>
      </c:spPr>
    </c:plotArea>
    <c:legend>
      <c:legendPos val="b"/>
      <c:layout>
        <c:manualLayout>
          <c:xMode val="edge"/>
          <c:yMode val="edge"/>
          <c:x val="8.3133939177733568E-2"/>
          <c:y val="0.83435934144595547"/>
          <c:w val="0.77301283159315504"/>
          <c:h val="0.15536844489200022"/>
        </c:manualLayout>
      </c:layout>
      <c:overlay val="0"/>
      <c:txPr>
        <a:bodyPr/>
        <a:lstStyle/>
        <a:p>
          <a:pPr>
            <a:defRPr sz="900">
              <a:solidFill>
                <a:srgbClr val="2C307E"/>
              </a:solidFill>
            </a:defRPr>
          </a:pPr>
          <a:endParaRPr lang="nl-NL"/>
        </a:p>
      </c:txPr>
    </c:legend>
    <c:plotVisOnly val="1"/>
    <c:dispBlanksAs val="gap"/>
    <c:showDLblsOverMax val="0"/>
    <c:extLst/>
  </c:chart>
  <c:spPr>
    <a:noFill/>
    <a:ln>
      <a:noFill/>
    </a:ln>
  </c:spPr>
  <c:txPr>
    <a:bodyPr/>
    <a:lstStyle/>
    <a:p>
      <a:pPr>
        <a:defRPr/>
      </a:pPr>
      <a:endParaRPr lang="nl-NL"/>
    </a:p>
  </c:txPr>
  <c:externalData r:id="rId1">
    <c:autoUpdate val="0"/>
  </c:externalData>
</c:chartSpace>
</file>

<file path=word/charts/chart5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rgbClr val="2C307E"/>
                </a:solidFill>
                <a:latin typeface="+mn-lt"/>
                <a:ea typeface="+mn-ea"/>
                <a:cs typeface="+mn-cs"/>
              </a:defRPr>
            </a:pPr>
            <a:r>
              <a:rPr lang="en-US" sz="1100">
                <a:solidFill>
                  <a:srgbClr val="2C307E"/>
                </a:solidFill>
              </a:rPr>
              <a:t>Hoe lang duurde het voordat jouw netaansluiting was verzwaard, vanaf het moment van de formele aanvraag?</a:t>
            </a:r>
          </a:p>
        </c:rich>
      </c:tx>
      <c:overlay val="0"/>
      <c:spPr>
        <a:noFill/>
        <a:ln>
          <a:noFill/>
        </a:ln>
        <a:effectLst/>
      </c:spPr>
    </c:title>
    <c:autoTitleDeleted val="0"/>
    <c:plotArea>
      <c:layout/>
      <c:barChart>
        <c:barDir val="col"/>
        <c:grouping val="clustered"/>
        <c:varyColors val="0"/>
        <c:ser>
          <c:idx val="0"/>
          <c:order val="0"/>
          <c:spPr>
            <a:solidFill>
              <a:srgbClr val="C9C743"/>
            </a:solidFill>
            <a:ln>
              <a:noFill/>
            </a:ln>
            <a:effectLst/>
          </c:spPr>
          <c:invertIfNegative val="0"/>
          <c:dLbls>
            <c:spPr>
              <a:noFill/>
              <a:ln>
                <a:noFill/>
              </a:ln>
              <a:effectLst/>
            </c:spPr>
            <c:txPr>
              <a:bodyPr wrap="square" lIns="38100" tIns="19050" rIns="38100" bIns="19050" anchor="ctr" anchorCtr="0">
                <a:spAutoFit/>
              </a:bodyPr>
              <a:lstStyle/>
              <a:p>
                <a:pPr algn="ctr">
                  <a:defRPr lang="en-US" sz="800" b="1" i="0" u="none" strike="noStrike" kern="1200" baseline="0">
                    <a:solidFill>
                      <a:srgbClr val="4EAFAA"/>
                    </a:solidFill>
                    <a:latin typeface="+mn-lt"/>
                    <a:ea typeface="+mn-ea"/>
                    <a:cs typeface="+mn-cs"/>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'3.4 thuisladen oprit'!$C$234:$C$238</c:f>
              <c:strCache>
                <c:ptCount val="5"/>
                <c:pt idx="0">
                  <c:v>Binnen twee weken</c:v>
                </c:pt>
                <c:pt idx="1">
                  <c:v>Binnen een maand</c:v>
                </c:pt>
                <c:pt idx="2">
                  <c:v>Binnen twee maanden</c:v>
                </c:pt>
                <c:pt idx="3">
                  <c:v>Binnen drie maanden</c:v>
                </c:pt>
                <c:pt idx="4">
                  <c:v>Langer dan drie maanden</c:v>
                </c:pt>
              </c:strCache>
            </c:strRef>
          </c:cat>
          <c:val>
            <c:numRef>
              <c:f>'3.4 thuisladen oprit'!$F$234:$F$238</c:f>
              <c:numCache>
                <c:formatCode>0%</c:formatCode>
                <c:ptCount val="5"/>
                <c:pt idx="0">
                  <c:v>0.143646408839779</c:v>
                </c:pt>
                <c:pt idx="1">
                  <c:v>0.34254143646408841</c:v>
                </c:pt>
                <c:pt idx="2">
                  <c:v>0.2983425414364641</c:v>
                </c:pt>
                <c:pt idx="3">
                  <c:v>0.11049723756906077</c:v>
                </c:pt>
                <c:pt idx="4">
                  <c:v>0.10497237569060773</c:v>
                </c:pt>
              </c:numCache>
            </c:numRef>
          </c:val>
          <c:extLst>
            <c:ext xmlns:c16="http://schemas.microsoft.com/office/drawing/2014/chart" uri="{C3380CC4-5D6E-409C-BE32-E72D297353CC}">
              <c16:uniqueId val="{00000000-3EA2-4D29-AA3F-8493A7E9B301}"/>
            </c:ext>
          </c:extLst>
        </c:ser>
        <c:dLbls>
          <c:showLegendKey val="0"/>
          <c:showVal val="0"/>
          <c:showCatName val="0"/>
          <c:showSerName val="0"/>
          <c:showPercent val="0"/>
          <c:showBubbleSize val="0"/>
        </c:dLbls>
        <c:gapWidth val="219"/>
        <c:overlap val="-27"/>
        <c:axId val="859086912"/>
        <c:axId val="859090872"/>
      </c:barChart>
      <c:catAx>
        <c:axId val="8590869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2C307E"/>
                </a:solidFill>
                <a:latin typeface="+mn-lt"/>
                <a:ea typeface="+mn-ea"/>
                <a:cs typeface="+mn-cs"/>
              </a:defRPr>
            </a:pPr>
            <a:endParaRPr lang="nl-NL"/>
          </a:p>
        </c:txPr>
        <c:crossAx val="859090872"/>
        <c:crosses val="autoZero"/>
        <c:auto val="1"/>
        <c:lblAlgn val="ctr"/>
        <c:lblOffset val="100"/>
        <c:noMultiLvlLbl val="0"/>
      </c:catAx>
      <c:valAx>
        <c:axId val="859090872"/>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2C307E"/>
                </a:solidFill>
                <a:latin typeface="+mn-lt"/>
                <a:ea typeface="+mn-ea"/>
                <a:cs typeface="+mn-cs"/>
              </a:defRPr>
            </a:pPr>
            <a:endParaRPr lang="nl-NL"/>
          </a:p>
        </c:txPr>
        <c:crossAx val="859086912"/>
        <c:crosses val="autoZero"/>
        <c:crossBetween val="between"/>
        <c:majorUnit val="0.1"/>
      </c:valAx>
      <c:spPr>
        <a:noFill/>
      </c:spPr>
    </c:plotArea>
    <c:plotVisOnly val="1"/>
    <c:dispBlanksAs val="gap"/>
    <c:showDLblsOverMax val="0"/>
    <c:extLst/>
  </c:chart>
  <c:spPr>
    <a:noFill/>
    <a:ln>
      <a:noFill/>
    </a:ln>
  </c:spPr>
  <c:txPr>
    <a:bodyPr/>
    <a:lstStyle/>
    <a:p>
      <a:pPr>
        <a:defRPr/>
      </a:pPr>
      <a:endParaRPr lang="nl-NL"/>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b="0">
                <a:solidFill>
                  <a:srgbClr val="2C307E"/>
                </a:solidFill>
              </a:defRPr>
            </a:pPr>
            <a:r>
              <a:rPr lang="en-US" sz="1100" b="0">
                <a:solidFill>
                  <a:srgbClr val="2C307E"/>
                </a:solidFill>
              </a:rPr>
              <a:t>welk merk en model rijdt je?</a:t>
            </a:r>
          </a:p>
        </c:rich>
      </c:tx>
      <c:overlay val="0"/>
    </c:title>
    <c:autoTitleDeleted val="0"/>
    <c:plotArea>
      <c:layout>
        <c:manualLayout>
          <c:layoutTarget val="inner"/>
          <c:xMode val="edge"/>
          <c:yMode val="edge"/>
          <c:x val="0.37367005953524102"/>
          <c:y val="7.1778459454354807E-2"/>
          <c:w val="0.5299766151899592"/>
          <c:h val="0.78048729020534968"/>
        </c:manualLayout>
      </c:layout>
      <c:barChart>
        <c:barDir val="bar"/>
        <c:grouping val="clustered"/>
        <c:varyColors val="0"/>
        <c:ser>
          <c:idx val="0"/>
          <c:order val="0"/>
          <c:tx>
            <c:strRef>
              <c:f>'top 10 modellen'!$J$2</c:f>
              <c:strCache>
                <c:ptCount val="1"/>
                <c:pt idx="0">
                  <c:v>Totaal wagenpark</c:v>
                </c:pt>
              </c:strCache>
            </c:strRef>
          </c:tx>
          <c:spPr>
            <a:solidFill>
              <a:srgbClr val="2C307E"/>
            </a:solidFill>
            <a:ln>
              <a:noFill/>
            </a:ln>
            <a:effectLst/>
          </c:spPr>
          <c:invertIfNegative val="0"/>
          <c:dLbls>
            <c:spPr>
              <a:noFill/>
              <a:ln>
                <a:noFill/>
              </a:ln>
              <a:effectLst/>
            </c:spPr>
            <c:txPr>
              <a:bodyPr wrap="square" lIns="38100" tIns="19050" rIns="38100" bIns="19050" anchor="ctr">
                <a:spAutoFit/>
              </a:bodyPr>
              <a:lstStyle/>
              <a:p>
                <a:pPr>
                  <a:defRPr sz="800">
                    <a:solidFill>
                      <a:srgbClr val="2C307E"/>
                    </a:solidFill>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'top 10 modellen'!$E$3:$E$12</c:f>
              <c:strCache>
                <c:ptCount val="10"/>
                <c:pt idx="0">
                  <c:v>Tesla model 3</c:v>
                </c:pt>
                <c:pt idx="1">
                  <c:v>Tesla model y</c:v>
                </c:pt>
                <c:pt idx="2">
                  <c:v>Kia Niro</c:v>
                </c:pt>
                <c:pt idx="3">
                  <c:v>Hyundai Kona</c:v>
                </c:pt>
                <c:pt idx="4">
                  <c:v>Skoda Enyaq</c:v>
                </c:pt>
                <c:pt idx="5">
                  <c:v>Wolkswagen ID.3</c:v>
                </c:pt>
                <c:pt idx="6">
                  <c:v>Volvo EX40</c:v>
                </c:pt>
                <c:pt idx="7">
                  <c:v>Kia EV6</c:v>
                </c:pt>
                <c:pt idx="8">
                  <c:v>Volkswagen ID.4</c:v>
                </c:pt>
                <c:pt idx="9">
                  <c:v>Renault Zoe</c:v>
                </c:pt>
              </c:strCache>
            </c:strRef>
          </c:cat>
          <c:val>
            <c:numRef>
              <c:f>'top 10 modellen'!$J$3:$J$12</c:f>
              <c:numCache>
                <c:formatCode>0.0%</c:formatCode>
                <c:ptCount val="10"/>
                <c:pt idx="0">
                  <c:v>7.9248045683421045E-2</c:v>
                </c:pt>
                <c:pt idx="1">
                  <c:v>7.010485386348661E-2</c:v>
                </c:pt>
                <c:pt idx="2">
                  <c:v>4.4502289865211132E-2</c:v>
                </c:pt>
                <c:pt idx="3">
                  <c:v>3.1976767832884577E-2</c:v>
                </c:pt>
                <c:pt idx="4">
                  <c:v>3.5567341560036769E-2</c:v>
                </c:pt>
                <c:pt idx="5">
                  <c:v>3.8598260841271263E-2</c:v>
                </c:pt>
                <c:pt idx="6">
                  <c:v>3.1334141361554671E-2</c:v>
                </c:pt>
                <c:pt idx="7">
                  <c:v>1.7554277533290492E-2</c:v>
                </c:pt>
                <c:pt idx="8">
                  <c:v>2.771265648768028E-2</c:v>
                </c:pt>
                <c:pt idx="9">
                  <c:v>2.3186613846566829E-2</c:v>
                </c:pt>
              </c:numCache>
            </c:numRef>
          </c:val>
          <c:extLst>
            <c:ext xmlns:c16="http://schemas.microsoft.com/office/drawing/2014/chart" uri="{C3380CC4-5D6E-409C-BE32-E72D297353CC}">
              <c16:uniqueId val="{00000000-B7DB-4A85-8B21-50D8299B206B}"/>
            </c:ext>
          </c:extLst>
        </c:ser>
        <c:ser>
          <c:idx val="1"/>
          <c:order val="1"/>
          <c:tx>
            <c:strRef>
              <c:f>'top 10 modellen'!$G$2</c:f>
              <c:strCache>
                <c:ptCount val="1"/>
                <c:pt idx="0">
                  <c:v>Laadonderzoek</c:v>
                </c:pt>
              </c:strCache>
            </c:strRef>
          </c:tx>
          <c:spPr>
            <a:solidFill>
              <a:srgbClr val="08B466"/>
            </a:solidFill>
          </c:spPr>
          <c:invertIfNegative val="0"/>
          <c:dLbls>
            <c:spPr>
              <a:noFill/>
              <a:ln>
                <a:noFill/>
              </a:ln>
              <a:effectLst/>
            </c:spPr>
            <c:txPr>
              <a:bodyPr wrap="square" lIns="38100" tIns="19050" rIns="38100" bIns="19050" anchor="ctr">
                <a:spAutoFit/>
              </a:bodyPr>
              <a:lstStyle/>
              <a:p>
                <a:pPr>
                  <a:defRPr sz="800">
                    <a:solidFill>
                      <a:srgbClr val="2C307E"/>
                    </a:solidFill>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'top 10 modellen'!$E$3:$E$12</c:f>
              <c:strCache>
                <c:ptCount val="10"/>
                <c:pt idx="0">
                  <c:v>Tesla model 3</c:v>
                </c:pt>
                <c:pt idx="1">
                  <c:v>Tesla model y</c:v>
                </c:pt>
                <c:pt idx="2">
                  <c:v>Kia Niro</c:v>
                </c:pt>
                <c:pt idx="3">
                  <c:v>Hyundai Kona</c:v>
                </c:pt>
                <c:pt idx="4">
                  <c:v>Skoda Enyaq</c:v>
                </c:pt>
                <c:pt idx="5">
                  <c:v>Wolkswagen ID.3</c:v>
                </c:pt>
                <c:pt idx="6">
                  <c:v>Volvo EX40</c:v>
                </c:pt>
                <c:pt idx="7">
                  <c:v>Kia EV6</c:v>
                </c:pt>
                <c:pt idx="8">
                  <c:v>Volkswagen ID.4</c:v>
                </c:pt>
                <c:pt idx="9">
                  <c:v>Renault Zoe</c:v>
                </c:pt>
              </c:strCache>
            </c:strRef>
          </c:cat>
          <c:val>
            <c:numRef>
              <c:f>'top 10 modellen'!$G$3:$G$12</c:f>
              <c:numCache>
                <c:formatCode>0.0%</c:formatCode>
                <c:ptCount val="10"/>
                <c:pt idx="0">
                  <c:v>7.4747474747474743E-2</c:v>
                </c:pt>
                <c:pt idx="1">
                  <c:v>7.045454545454545E-2</c:v>
                </c:pt>
                <c:pt idx="2">
                  <c:v>5.3535353535353533E-2</c:v>
                </c:pt>
                <c:pt idx="3">
                  <c:v>5.1010101010101012E-2</c:v>
                </c:pt>
                <c:pt idx="4">
                  <c:v>3.4848484848484851E-2</c:v>
                </c:pt>
                <c:pt idx="5">
                  <c:v>3.3838383838383841E-2</c:v>
                </c:pt>
                <c:pt idx="6">
                  <c:v>3.0555555555555555E-2</c:v>
                </c:pt>
                <c:pt idx="7">
                  <c:v>3.0303030303030304E-2</c:v>
                </c:pt>
                <c:pt idx="8">
                  <c:v>2.6515151515151516E-2</c:v>
                </c:pt>
                <c:pt idx="9">
                  <c:v>2.5505050505050506E-2</c:v>
                </c:pt>
              </c:numCache>
            </c:numRef>
          </c:val>
          <c:extLst>
            <c:ext xmlns:c16="http://schemas.microsoft.com/office/drawing/2014/chart" uri="{C3380CC4-5D6E-409C-BE32-E72D297353CC}">
              <c16:uniqueId val="{00000001-B7DB-4A85-8B21-50D8299B206B}"/>
            </c:ext>
          </c:extLst>
        </c:ser>
        <c:dLbls>
          <c:showLegendKey val="0"/>
          <c:showVal val="0"/>
          <c:showCatName val="0"/>
          <c:showSerName val="0"/>
          <c:showPercent val="0"/>
          <c:showBubbleSize val="0"/>
        </c:dLbls>
        <c:gapWidth val="219"/>
        <c:axId val="488549280"/>
        <c:axId val="488558136"/>
      </c:barChart>
      <c:catAx>
        <c:axId val="48854928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sz="900" b="0" i="0" u="none" strike="noStrike" kern="1200" baseline="0">
                <a:solidFill>
                  <a:srgbClr val="2C307E"/>
                </a:solidFill>
                <a:latin typeface="+mn-lt"/>
                <a:ea typeface="+mn-ea"/>
                <a:cs typeface="+mn-cs"/>
              </a:defRPr>
            </a:pPr>
            <a:endParaRPr lang="nl-NL"/>
          </a:p>
        </c:txPr>
        <c:crossAx val="488558136"/>
        <c:crosses val="autoZero"/>
        <c:auto val="1"/>
        <c:lblAlgn val="ctr"/>
        <c:lblOffset val="100"/>
        <c:noMultiLvlLbl val="0"/>
      </c:catAx>
      <c:valAx>
        <c:axId val="488558136"/>
        <c:scaling>
          <c:orientation val="minMax"/>
        </c:scaling>
        <c:delete val="0"/>
        <c:axPos val="b"/>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2C307E"/>
                </a:solidFill>
                <a:latin typeface="+mn-lt"/>
                <a:ea typeface="+mn-ea"/>
                <a:cs typeface="+mn-cs"/>
              </a:defRPr>
            </a:pPr>
            <a:endParaRPr lang="nl-NL"/>
          </a:p>
        </c:txPr>
        <c:crossAx val="488549280"/>
        <c:crosses val="autoZero"/>
        <c:crossBetween val="between"/>
        <c:majorUnit val="2.0000000000000004E-2"/>
      </c:valAx>
      <c:spPr>
        <a:noFill/>
        <a:ln>
          <a:noFill/>
        </a:ln>
      </c:spPr>
    </c:plotArea>
    <c:legend>
      <c:legendPos val="b"/>
      <c:overlay val="0"/>
      <c:txPr>
        <a:bodyPr/>
        <a:lstStyle/>
        <a:p>
          <a:pPr>
            <a:defRPr sz="900">
              <a:solidFill>
                <a:srgbClr val="2C307E"/>
              </a:solidFill>
            </a:defRPr>
          </a:pPr>
          <a:endParaRPr lang="nl-NL"/>
        </a:p>
      </c:txPr>
    </c:legend>
    <c:plotVisOnly val="1"/>
    <c:dispBlanksAs val="gap"/>
    <c:showDLblsOverMax val="0"/>
    <c:extLst/>
  </c:chart>
  <c:spPr>
    <a:noFill/>
    <a:ln w="9525" cap="flat" cmpd="sng" algn="ctr">
      <a:noFill/>
      <a:round/>
    </a:ln>
    <a:effectLst/>
  </c:spPr>
  <c:txPr>
    <a:bodyPr/>
    <a:lstStyle/>
    <a:p>
      <a:pPr>
        <a:defRPr/>
      </a:pPr>
      <a:endParaRPr lang="nl-NL"/>
    </a:p>
  </c:txPr>
  <c:externalData r:id="rId1">
    <c:autoUpdate val="0"/>
  </c:externalData>
</c:chartSpace>
</file>

<file path=word/charts/chart6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lgn="ctr" rtl="0">
              <a:defRPr lang="en-US" sz="1100" b="0" i="0" u="none" strike="noStrike" kern="1200" spc="0" baseline="0">
                <a:solidFill>
                  <a:srgbClr val="2C307E"/>
                </a:solidFill>
                <a:latin typeface="+mn-lt"/>
                <a:ea typeface="+mn-ea"/>
                <a:cs typeface="+mn-cs"/>
              </a:defRPr>
            </a:pPr>
            <a:r>
              <a:rPr lang="en-US" sz="1100" b="0" i="0" u="none" strike="noStrike" baseline="0">
                <a:effectLst/>
              </a:rPr>
              <a:t>Laadmogelijkheden EV rijder die woont in VvE (of vergelijkbaar collectief.</a:t>
            </a:r>
            <a:endParaRPr lang="en-US" sz="1100" b="0" i="0" u="none" strike="noStrike" kern="1200" spc="0" baseline="0">
              <a:solidFill>
                <a:srgbClr val="2C307E"/>
              </a:solidFill>
              <a:latin typeface="+mn-lt"/>
              <a:ea typeface="+mn-ea"/>
              <a:cs typeface="+mn-cs"/>
            </a:endParaRPr>
          </a:p>
        </c:rich>
      </c:tx>
      <c:overlay val="0"/>
    </c:title>
    <c:autoTitleDeleted val="0"/>
    <c:plotArea>
      <c:layout>
        <c:manualLayout>
          <c:layoutTarget val="inner"/>
          <c:xMode val="edge"/>
          <c:yMode val="edge"/>
          <c:x val="0.240250868928328"/>
          <c:y val="0.25989407755646199"/>
          <c:w val="0.48602145678705505"/>
          <c:h val="0.39375081989218602"/>
        </c:manualLayout>
      </c:layout>
      <c:pieChart>
        <c:varyColors val="1"/>
        <c:ser>
          <c:idx val="0"/>
          <c:order val="0"/>
          <c:spPr>
            <a:solidFill>
              <a:srgbClr val="08B466"/>
            </a:solidFill>
            <a:ln>
              <a:noFill/>
            </a:ln>
          </c:spPr>
          <c:dPt>
            <c:idx val="0"/>
            <c:bubble3D val="0"/>
            <c:spPr>
              <a:solidFill>
                <a:srgbClr val="2C307E"/>
              </a:solidFill>
              <a:ln w="19050">
                <a:noFill/>
              </a:ln>
              <a:effectLst/>
            </c:spPr>
            <c:extLst>
              <c:ext xmlns:c16="http://schemas.microsoft.com/office/drawing/2014/chart" uri="{C3380CC4-5D6E-409C-BE32-E72D297353CC}">
                <c16:uniqueId val="{00000001-C40E-4188-8128-B1A67488A24B}"/>
              </c:ext>
            </c:extLst>
          </c:dPt>
          <c:dPt>
            <c:idx val="1"/>
            <c:bubble3D val="0"/>
            <c:spPr>
              <a:solidFill>
                <a:srgbClr val="08B466"/>
              </a:solidFill>
              <a:ln w="19050">
                <a:noFill/>
              </a:ln>
              <a:effectLst/>
            </c:spPr>
            <c:extLst>
              <c:ext xmlns:c16="http://schemas.microsoft.com/office/drawing/2014/chart" uri="{C3380CC4-5D6E-409C-BE32-E72D297353CC}">
                <c16:uniqueId val="{00000003-C40E-4188-8128-B1A67488A24B}"/>
              </c:ext>
            </c:extLst>
          </c:dPt>
          <c:dPt>
            <c:idx val="2"/>
            <c:bubble3D val="0"/>
            <c:spPr>
              <a:solidFill>
                <a:srgbClr val="C9C743"/>
              </a:solidFill>
              <a:ln>
                <a:noFill/>
              </a:ln>
            </c:spPr>
            <c:extLst>
              <c:ext xmlns:c16="http://schemas.microsoft.com/office/drawing/2014/chart" uri="{C3380CC4-5D6E-409C-BE32-E72D297353CC}">
                <c16:uniqueId val="{00000005-C40E-4188-8128-B1A67488A24B}"/>
              </c:ext>
            </c:extLst>
          </c:dPt>
          <c:dPt>
            <c:idx val="3"/>
            <c:bubble3D val="0"/>
            <c:spPr>
              <a:solidFill>
                <a:srgbClr val="BAD6ED"/>
              </a:solidFill>
              <a:ln>
                <a:noFill/>
              </a:ln>
            </c:spPr>
            <c:extLst>
              <c:ext xmlns:c16="http://schemas.microsoft.com/office/drawing/2014/chart" uri="{C3380CC4-5D6E-409C-BE32-E72D297353CC}">
                <c16:uniqueId val="{00000007-C40E-4188-8128-B1A67488A24B}"/>
              </c:ext>
            </c:extLst>
          </c:dPt>
          <c:dPt>
            <c:idx val="4"/>
            <c:bubble3D val="0"/>
            <c:spPr>
              <a:solidFill>
                <a:srgbClr val="4EAFAA"/>
              </a:solidFill>
              <a:ln>
                <a:noFill/>
              </a:ln>
            </c:spPr>
            <c:extLst>
              <c:ext xmlns:c16="http://schemas.microsoft.com/office/drawing/2014/chart" uri="{C3380CC4-5D6E-409C-BE32-E72D297353CC}">
                <c16:uniqueId val="{00000009-C40E-4188-8128-B1A67488A24B}"/>
              </c:ext>
            </c:extLst>
          </c:dPt>
          <c:dPt>
            <c:idx val="5"/>
            <c:bubble3D val="0"/>
            <c:spPr>
              <a:solidFill>
                <a:srgbClr val="696969"/>
              </a:solidFill>
              <a:ln>
                <a:noFill/>
              </a:ln>
            </c:spPr>
            <c:extLst>
              <c:ext xmlns:c16="http://schemas.microsoft.com/office/drawing/2014/chart" uri="{C3380CC4-5D6E-409C-BE32-E72D297353CC}">
                <c16:uniqueId val="{0000000B-C40E-4188-8128-B1A67488A24B}"/>
              </c:ext>
            </c:extLst>
          </c:dPt>
          <c:dLbls>
            <c:dLbl>
              <c:idx val="0"/>
              <c:spPr>
                <a:noFill/>
                <a:ln>
                  <a:noFill/>
                </a:ln>
                <a:effectLst/>
              </c:spPr>
              <c:txPr>
                <a:bodyPr wrap="square" lIns="38100" tIns="19050" rIns="38100" bIns="19050" anchor="ctr">
                  <a:spAutoFit/>
                </a:bodyPr>
                <a:lstStyle/>
                <a:p>
                  <a:pPr>
                    <a:defRPr sz="800" b="1">
                      <a:solidFill>
                        <a:schemeClr val="bg1"/>
                      </a:solidFill>
                    </a:defRPr>
                  </a:pPr>
                  <a:endParaRPr lang="nl-NL"/>
                </a:p>
              </c:txPr>
              <c:showLegendKey val="0"/>
              <c:showVal val="1"/>
              <c:showCatName val="0"/>
              <c:showSerName val="0"/>
              <c:showPercent val="0"/>
              <c:showBubbleSize val="0"/>
              <c:extLst>
                <c:ext xmlns:c16="http://schemas.microsoft.com/office/drawing/2014/chart" uri="{C3380CC4-5D6E-409C-BE32-E72D297353CC}">
                  <c16:uniqueId val="{00000001-C40E-4188-8128-B1A67488A24B}"/>
                </c:ext>
              </c:extLst>
            </c:dLbl>
            <c:dLbl>
              <c:idx val="1"/>
              <c:spPr>
                <a:noFill/>
                <a:ln>
                  <a:noFill/>
                </a:ln>
                <a:effectLst/>
              </c:spPr>
              <c:txPr>
                <a:bodyPr wrap="square" lIns="38100" tIns="19050" rIns="38100" bIns="19050" anchor="ctr">
                  <a:spAutoFit/>
                </a:bodyPr>
                <a:lstStyle/>
                <a:p>
                  <a:pPr>
                    <a:defRPr sz="800" b="1">
                      <a:solidFill>
                        <a:schemeClr val="bg1"/>
                      </a:solidFill>
                    </a:defRPr>
                  </a:pPr>
                  <a:endParaRPr lang="nl-NL"/>
                </a:p>
              </c:txPr>
              <c:showLegendKey val="0"/>
              <c:showVal val="1"/>
              <c:showCatName val="0"/>
              <c:showSerName val="0"/>
              <c:showPercent val="0"/>
              <c:showBubbleSize val="0"/>
              <c:extLst>
                <c:ext xmlns:c16="http://schemas.microsoft.com/office/drawing/2014/chart" uri="{C3380CC4-5D6E-409C-BE32-E72D297353CC}">
                  <c16:uniqueId val="{00000003-C40E-4188-8128-B1A67488A24B}"/>
                </c:ext>
              </c:extLst>
            </c:dLbl>
            <c:dLbl>
              <c:idx val="2"/>
              <c:spPr>
                <a:noFill/>
                <a:ln>
                  <a:noFill/>
                </a:ln>
                <a:effectLst/>
              </c:spPr>
              <c:txPr>
                <a:bodyPr wrap="square" lIns="38100" tIns="19050" rIns="38100" bIns="19050" anchor="ctr">
                  <a:spAutoFit/>
                </a:bodyPr>
                <a:lstStyle/>
                <a:p>
                  <a:pPr>
                    <a:defRPr sz="800" b="1">
                      <a:solidFill>
                        <a:srgbClr val="002060"/>
                      </a:solidFill>
                    </a:defRPr>
                  </a:pPr>
                  <a:endParaRPr lang="nl-NL"/>
                </a:p>
              </c:txPr>
              <c:showLegendKey val="0"/>
              <c:showVal val="1"/>
              <c:showCatName val="0"/>
              <c:showSerName val="0"/>
              <c:showPercent val="0"/>
              <c:showBubbleSize val="0"/>
              <c:extLst>
                <c:ext xmlns:c16="http://schemas.microsoft.com/office/drawing/2014/chart" uri="{C3380CC4-5D6E-409C-BE32-E72D297353CC}">
                  <c16:uniqueId val="{00000005-C40E-4188-8128-B1A67488A24B}"/>
                </c:ext>
              </c:extLst>
            </c:dLbl>
            <c:dLbl>
              <c:idx val="3"/>
              <c:spPr>
                <a:noFill/>
                <a:ln>
                  <a:noFill/>
                </a:ln>
                <a:effectLst/>
              </c:spPr>
              <c:txPr>
                <a:bodyPr wrap="square" lIns="38100" tIns="19050" rIns="38100" bIns="19050" anchor="ctr">
                  <a:spAutoFit/>
                </a:bodyPr>
                <a:lstStyle/>
                <a:p>
                  <a:pPr>
                    <a:defRPr sz="800" b="1">
                      <a:solidFill>
                        <a:srgbClr val="2C307E"/>
                      </a:solidFill>
                    </a:defRPr>
                  </a:pPr>
                  <a:endParaRPr lang="nl-NL"/>
                </a:p>
              </c:txPr>
              <c:showLegendKey val="0"/>
              <c:showVal val="1"/>
              <c:showCatName val="0"/>
              <c:showSerName val="0"/>
              <c:showPercent val="0"/>
              <c:showBubbleSize val="0"/>
              <c:extLst>
                <c:ext xmlns:c16="http://schemas.microsoft.com/office/drawing/2014/chart" uri="{C3380CC4-5D6E-409C-BE32-E72D297353CC}">
                  <c16:uniqueId val="{00000007-C40E-4188-8128-B1A67488A24B}"/>
                </c:ext>
              </c:extLst>
            </c:dLbl>
            <c:dLbl>
              <c:idx val="4"/>
              <c:spPr>
                <a:noFill/>
                <a:ln>
                  <a:noFill/>
                </a:ln>
                <a:effectLst/>
              </c:spPr>
              <c:txPr>
                <a:bodyPr wrap="square" lIns="38100" tIns="19050" rIns="38100" bIns="19050" anchor="ctr">
                  <a:spAutoFit/>
                </a:bodyPr>
                <a:lstStyle/>
                <a:p>
                  <a:pPr>
                    <a:defRPr sz="800" b="1">
                      <a:solidFill>
                        <a:srgbClr val="2C307E"/>
                      </a:solidFill>
                    </a:defRPr>
                  </a:pPr>
                  <a:endParaRPr lang="nl-NL"/>
                </a:p>
              </c:txPr>
              <c:showLegendKey val="0"/>
              <c:showVal val="1"/>
              <c:showCatName val="0"/>
              <c:showSerName val="0"/>
              <c:showPercent val="0"/>
              <c:showBubbleSize val="0"/>
              <c:extLst>
                <c:ext xmlns:c16="http://schemas.microsoft.com/office/drawing/2014/chart" uri="{C3380CC4-5D6E-409C-BE32-E72D297353CC}">
                  <c16:uniqueId val="{00000009-C40E-4188-8128-B1A67488A24B}"/>
                </c:ext>
              </c:extLst>
            </c:dLbl>
            <c:dLbl>
              <c:idx val="5"/>
              <c:spPr>
                <a:noFill/>
                <a:ln>
                  <a:noFill/>
                </a:ln>
                <a:effectLst/>
              </c:spPr>
              <c:txPr>
                <a:bodyPr wrap="square" lIns="38100" tIns="19050" rIns="38100" bIns="19050" anchor="ctr">
                  <a:spAutoFit/>
                </a:bodyPr>
                <a:lstStyle/>
                <a:p>
                  <a:pPr>
                    <a:defRPr sz="800" b="1">
                      <a:solidFill>
                        <a:srgbClr val="2C307E"/>
                      </a:solidFill>
                    </a:defRPr>
                  </a:pPr>
                  <a:endParaRPr lang="nl-NL"/>
                </a:p>
              </c:txPr>
              <c:showLegendKey val="0"/>
              <c:showVal val="1"/>
              <c:showCatName val="0"/>
              <c:showSerName val="0"/>
              <c:showPercent val="0"/>
              <c:showBubbleSize val="0"/>
              <c:extLst>
                <c:ext xmlns:c16="http://schemas.microsoft.com/office/drawing/2014/chart" uri="{C3380CC4-5D6E-409C-BE32-E72D297353CC}">
                  <c16:uniqueId val="{0000000B-C40E-4188-8128-B1A67488A24B}"/>
                </c:ext>
              </c:extLst>
            </c:dLbl>
            <c:spPr>
              <a:noFill/>
              <a:ln>
                <a:noFill/>
              </a:ln>
              <a:effectLst/>
            </c:spPr>
            <c:txPr>
              <a:bodyPr wrap="square" lIns="38100" tIns="19050" rIns="38100" bIns="19050" anchor="ctr">
                <a:spAutoFit/>
              </a:bodyPr>
              <a:lstStyle/>
              <a:p>
                <a:pPr>
                  <a:defRPr sz="800" b="1"/>
                </a:pPr>
                <a:endParaRPr lang="nl-NL"/>
              </a:p>
            </c:txPr>
            <c:showLegendKey val="0"/>
            <c:showVal val="1"/>
            <c:showCatName val="0"/>
            <c:showSerName val="0"/>
            <c:showPercent val="0"/>
            <c:showBubbleSize val="0"/>
            <c:showLeaderLines val="1"/>
            <c:extLst>
              <c:ext xmlns:c15="http://schemas.microsoft.com/office/drawing/2012/chart" uri="{CE6537A1-D6FC-4f65-9D91-7224C49458BB}"/>
            </c:extLst>
          </c:dLbls>
          <c:cat>
            <c:strRef>
              <c:f>'3.4 thuisladen oprit'!$B$287:$B$290</c:f>
              <c:strCache>
                <c:ptCount val="4"/>
                <c:pt idx="0">
                  <c:v>Thuis via eigen aansluiting</c:v>
                </c:pt>
                <c:pt idx="1">
                  <c:v>Thuis via VvE aansluiting</c:v>
                </c:pt>
                <c:pt idx="2">
                  <c:v>Thuis anders</c:v>
                </c:pt>
                <c:pt idx="3">
                  <c:v>Niet thuis</c:v>
                </c:pt>
              </c:strCache>
            </c:strRef>
          </c:cat>
          <c:val>
            <c:numRef>
              <c:f>'3.4 thuisladen oprit'!$E$287:$E$290</c:f>
              <c:numCache>
                <c:formatCode>0%</c:formatCode>
                <c:ptCount val="4"/>
                <c:pt idx="0">
                  <c:v>0.18702290076335878</c:v>
                </c:pt>
                <c:pt idx="1">
                  <c:v>0.12213740458015267</c:v>
                </c:pt>
                <c:pt idx="2">
                  <c:v>1.9083969465648856E-2</c:v>
                </c:pt>
                <c:pt idx="3">
                  <c:v>0.6717557251908397</c:v>
                </c:pt>
              </c:numCache>
            </c:numRef>
          </c:val>
          <c:extLst>
            <c:ext xmlns:c16="http://schemas.microsoft.com/office/drawing/2014/chart" uri="{C3380CC4-5D6E-409C-BE32-E72D297353CC}">
              <c16:uniqueId val="{0000000C-C40E-4188-8128-B1A67488A24B}"/>
            </c:ext>
          </c:extLst>
        </c:ser>
        <c:dLbls>
          <c:showLegendKey val="0"/>
          <c:showVal val="0"/>
          <c:showCatName val="0"/>
          <c:showSerName val="0"/>
          <c:showPercent val="0"/>
          <c:showBubbleSize val="0"/>
          <c:showLeaderLines val="1"/>
        </c:dLbls>
        <c:firstSliceAng val="0"/>
      </c:pieChart>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rgbClr val="2C307E"/>
              </a:solidFill>
              <a:latin typeface="+mn-lt"/>
              <a:ea typeface="+mn-ea"/>
              <a:cs typeface="+mn-cs"/>
            </a:defRPr>
          </a:pPr>
          <a:endParaRPr lang="nl-NL"/>
        </a:p>
      </c:txPr>
    </c:legend>
    <c:plotVisOnly val="1"/>
    <c:dispBlanksAs val="gap"/>
    <c:showDLblsOverMax val="0"/>
    <c:extLst/>
  </c:chart>
  <c:spPr>
    <a:noFill/>
    <a:ln>
      <a:noFill/>
    </a:ln>
  </c:spPr>
  <c:txPr>
    <a:bodyPr/>
    <a:lstStyle/>
    <a:p>
      <a:pPr>
        <a:defRPr/>
      </a:pPr>
      <a:endParaRPr lang="nl-NL"/>
    </a:p>
  </c:txPr>
  <c:externalData r:id="rId1">
    <c:autoUpdate val="0"/>
  </c:externalData>
</c:chartSpace>
</file>

<file path=word/charts/chart6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rgbClr val="2C307E"/>
                </a:solidFill>
                <a:latin typeface="+mn-lt"/>
                <a:ea typeface="+mn-ea"/>
                <a:cs typeface="+mn-cs"/>
              </a:defRPr>
            </a:pPr>
            <a:r>
              <a:rPr lang="en-US" sz="1100">
                <a:solidFill>
                  <a:srgbClr val="2C307E"/>
                </a:solidFill>
              </a:rPr>
              <a:t>Hoe belangrijk was het hebben van een laadmogelijkheid bij de parkeerplaats bij de woning (VvE of vergelijkbaar collectief) bij het kiezen voor elektrisch rijden?</a:t>
            </a:r>
          </a:p>
        </c:rich>
      </c:tx>
      <c:overlay val="0"/>
      <c:spPr>
        <a:noFill/>
        <a:ln>
          <a:noFill/>
        </a:ln>
        <a:effectLst/>
      </c:spPr>
    </c:title>
    <c:autoTitleDeleted val="0"/>
    <c:plotArea>
      <c:layout>
        <c:manualLayout>
          <c:layoutTarget val="inner"/>
          <c:xMode val="edge"/>
          <c:yMode val="edge"/>
          <c:x val="0.20452219297551938"/>
          <c:y val="0.34583333333333333"/>
          <c:w val="0.74287139860745532"/>
          <c:h val="0.26797337832770901"/>
        </c:manualLayout>
      </c:layout>
      <c:barChart>
        <c:barDir val="col"/>
        <c:grouping val="clustered"/>
        <c:varyColors val="0"/>
        <c:ser>
          <c:idx val="0"/>
          <c:order val="0"/>
          <c:spPr>
            <a:solidFill>
              <a:srgbClr val="C9C743"/>
            </a:solidFill>
            <a:ln>
              <a:noFill/>
            </a:ln>
            <a:effectLst/>
          </c:spPr>
          <c:invertIfNegative val="0"/>
          <c:dLbls>
            <c:spPr>
              <a:noFill/>
              <a:ln>
                <a:noFill/>
              </a:ln>
              <a:effectLst/>
            </c:spPr>
            <c:txPr>
              <a:bodyPr wrap="square" lIns="38100" tIns="19050" rIns="38100" bIns="19050" anchor="ctr" anchorCtr="0">
                <a:spAutoFit/>
              </a:bodyPr>
              <a:lstStyle/>
              <a:p>
                <a:pPr algn="ctr">
                  <a:defRPr lang="en-US" sz="800" b="1" i="0" u="none" strike="noStrike" kern="1200" baseline="0">
                    <a:solidFill>
                      <a:srgbClr val="4EAFAA"/>
                    </a:solidFill>
                    <a:latin typeface="+mn-lt"/>
                    <a:ea typeface="+mn-ea"/>
                    <a:cs typeface="+mn-cs"/>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'3.4 thuisladen oprit'!$B$260:$B$264</c:f>
              <c:strCache>
                <c:ptCount val="5"/>
                <c:pt idx="0">
                  <c:v>Dit speelde geen rol</c:v>
                </c:pt>
                <c:pt idx="1">
                  <c:v>dit speelde enigszins een rol</c:v>
                </c:pt>
                <c:pt idx="2">
                  <c:v>neutraal</c:v>
                </c:pt>
                <c:pt idx="3">
                  <c:v>dit speelde een grote rol</c:v>
                </c:pt>
                <c:pt idx="4">
                  <c:v>dit was doorslaggevend</c:v>
                </c:pt>
              </c:strCache>
            </c:strRef>
          </c:cat>
          <c:val>
            <c:numRef>
              <c:f>'3.4 thuisladen oprit'!$E$260:$E$264</c:f>
              <c:numCache>
                <c:formatCode>0%</c:formatCode>
                <c:ptCount val="5"/>
                <c:pt idx="0">
                  <c:v>5.128205128205128E-2</c:v>
                </c:pt>
                <c:pt idx="1">
                  <c:v>0.12820512820512819</c:v>
                </c:pt>
                <c:pt idx="2">
                  <c:v>0.17948717948717949</c:v>
                </c:pt>
                <c:pt idx="3">
                  <c:v>0.46153846153846156</c:v>
                </c:pt>
                <c:pt idx="4">
                  <c:v>0.17948717948717949</c:v>
                </c:pt>
              </c:numCache>
            </c:numRef>
          </c:val>
          <c:extLst>
            <c:ext xmlns:c16="http://schemas.microsoft.com/office/drawing/2014/chart" uri="{C3380CC4-5D6E-409C-BE32-E72D297353CC}">
              <c16:uniqueId val="{00000000-E2D6-4AAF-A74E-969EE958737E}"/>
            </c:ext>
          </c:extLst>
        </c:ser>
        <c:dLbls>
          <c:showLegendKey val="0"/>
          <c:showVal val="0"/>
          <c:showCatName val="0"/>
          <c:showSerName val="0"/>
          <c:showPercent val="0"/>
          <c:showBubbleSize val="0"/>
        </c:dLbls>
        <c:gapWidth val="219"/>
        <c:overlap val="-27"/>
        <c:axId val="859086912"/>
        <c:axId val="859090872"/>
      </c:barChart>
      <c:catAx>
        <c:axId val="8590869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2C307E"/>
                </a:solidFill>
                <a:latin typeface="+mn-lt"/>
                <a:ea typeface="+mn-ea"/>
                <a:cs typeface="+mn-cs"/>
              </a:defRPr>
            </a:pPr>
            <a:endParaRPr lang="nl-NL"/>
          </a:p>
        </c:txPr>
        <c:crossAx val="859090872"/>
        <c:crosses val="autoZero"/>
        <c:auto val="1"/>
        <c:lblAlgn val="ctr"/>
        <c:lblOffset val="100"/>
        <c:noMultiLvlLbl val="0"/>
      </c:catAx>
      <c:valAx>
        <c:axId val="859090872"/>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2C307E"/>
                </a:solidFill>
                <a:latin typeface="+mn-lt"/>
                <a:ea typeface="+mn-ea"/>
                <a:cs typeface="+mn-cs"/>
              </a:defRPr>
            </a:pPr>
            <a:endParaRPr lang="nl-NL"/>
          </a:p>
        </c:txPr>
        <c:crossAx val="859086912"/>
        <c:crosses val="autoZero"/>
        <c:crossBetween val="between"/>
        <c:majorUnit val="0.1"/>
      </c:valAx>
      <c:spPr>
        <a:noFill/>
      </c:spPr>
    </c:plotArea>
    <c:plotVisOnly val="1"/>
    <c:dispBlanksAs val="gap"/>
    <c:showDLblsOverMax val="0"/>
    <c:extLst/>
  </c:chart>
  <c:spPr>
    <a:noFill/>
    <a:ln>
      <a:noFill/>
    </a:ln>
  </c:spPr>
  <c:txPr>
    <a:bodyPr/>
    <a:lstStyle/>
    <a:p>
      <a:pPr>
        <a:defRPr/>
      </a:pPr>
      <a:endParaRPr lang="nl-NL"/>
    </a:p>
  </c:txPr>
  <c:externalData r:id="rId1">
    <c:autoUpdate val="0"/>
  </c:externalData>
</c:chartSpace>
</file>

<file path=word/charts/chart6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rgbClr val="2C307E"/>
                </a:solidFill>
                <a:latin typeface="+mn-lt"/>
                <a:ea typeface="+mn-ea"/>
                <a:cs typeface="+mn-cs"/>
              </a:defRPr>
            </a:pPr>
            <a:r>
              <a:rPr lang="en-US" sz="1100">
                <a:solidFill>
                  <a:srgbClr val="2C307E"/>
                </a:solidFill>
              </a:rPr>
              <a:t>Heb je knelpunten ervaren tijdens de aanvraag van een laadpunt bij een VvE of vergelijkbaar collectief?</a:t>
            </a:r>
          </a:p>
        </c:rich>
      </c:tx>
      <c:overlay val="0"/>
      <c:spPr>
        <a:noFill/>
        <a:ln>
          <a:noFill/>
        </a:ln>
        <a:effectLst/>
      </c:spPr>
    </c:title>
    <c:autoTitleDeleted val="0"/>
    <c:plotArea>
      <c:layout/>
      <c:barChart>
        <c:barDir val="col"/>
        <c:grouping val="clustered"/>
        <c:varyColors val="0"/>
        <c:ser>
          <c:idx val="0"/>
          <c:order val="0"/>
          <c:spPr>
            <a:solidFill>
              <a:srgbClr val="C9C743"/>
            </a:solidFill>
            <a:ln>
              <a:noFill/>
            </a:ln>
            <a:effectLst/>
          </c:spPr>
          <c:invertIfNegative val="0"/>
          <c:dLbls>
            <c:spPr>
              <a:noFill/>
              <a:ln>
                <a:noFill/>
              </a:ln>
              <a:effectLst/>
            </c:spPr>
            <c:txPr>
              <a:bodyPr wrap="square" lIns="38100" tIns="19050" rIns="38100" bIns="19050" anchor="ctr" anchorCtr="0">
                <a:spAutoFit/>
              </a:bodyPr>
              <a:lstStyle/>
              <a:p>
                <a:pPr algn="ctr">
                  <a:defRPr lang="en-US" sz="800" b="1" i="0" u="none" strike="noStrike" kern="1200" baseline="0">
                    <a:solidFill>
                      <a:srgbClr val="4EAFAA"/>
                    </a:solidFill>
                    <a:latin typeface="+mn-lt"/>
                    <a:ea typeface="+mn-ea"/>
                    <a:cs typeface="+mn-cs"/>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'3.4 thuisladen oprit'!$D$319:$I$319</c:f>
              <c:numCache>
                <c:formatCode>General</c:formatCode>
                <c:ptCount val="6"/>
                <c:pt idx="0">
                  <c:v>2020</c:v>
                </c:pt>
                <c:pt idx="1">
                  <c:v>2021</c:v>
                </c:pt>
                <c:pt idx="2">
                  <c:v>2022</c:v>
                </c:pt>
                <c:pt idx="3">
                  <c:v>2023</c:v>
                </c:pt>
                <c:pt idx="4">
                  <c:v>2024</c:v>
                </c:pt>
                <c:pt idx="5">
                  <c:v>2025</c:v>
                </c:pt>
              </c:numCache>
            </c:numRef>
          </c:cat>
          <c:val>
            <c:numRef>
              <c:f>'3.4 thuisladen oprit'!$D$320:$I$320</c:f>
              <c:numCache>
                <c:formatCode>0%</c:formatCode>
                <c:ptCount val="6"/>
                <c:pt idx="0">
                  <c:v>0.7</c:v>
                </c:pt>
                <c:pt idx="1">
                  <c:v>0.86</c:v>
                </c:pt>
                <c:pt idx="2">
                  <c:v>0.76</c:v>
                </c:pt>
                <c:pt idx="3">
                  <c:v>0.75</c:v>
                </c:pt>
                <c:pt idx="4">
                  <c:v>0.7</c:v>
                </c:pt>
                <c:pt idx="5">
                  <c:v>0.78</c:v>
                </c:pt>
              </c:numCache>
            </c:numRef>
          </c:val>
          <c:extLst>
            <c:ext xmlns:c16="http://schemas.microsoft.com/office/drawing/2014/chart" uri="{C3380CC4-5D6E-409C-BE32-E72D297353CC}">
              <c16:uniqueId val="{00000000-4E75-4827-8667-968916826E86}"/>
            </c:ext>
          </c:extLst>
        </c:ser>
        <c:dLbls>
          <c:showLegendKey val="0"/>
          <c:showVal val="0"/>
          <c:showCatName val="0"/>
          <c:showSerName val="0"/>
          <c:showPercent val="0"/>
          <c:showBubbleSize val="0"/>
        </c:dLbls>
        <c:gapWidth val="219"/>
        <c:overlap val="-27"/>
        <c:axId val="859086912"/>
        <c:axId val="859090872"/>
      </c:barChart>
      <c:catAx>
        <c:axId val="8590869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2C307E"/>
                </a:solidFill>
                <a:latin typeface="+mn-lt"/>
                <a:ea typeface="+mn-ea"/>
                <a:cs typeface="+mn-cs"/>
              </a:defRPr>
            </a:pPr>
            <a:endParaRPr lang="nl-NL"/>
          </a:p>
        </c:txPr>
        <c:crossAx val="859090872"/>
        <c:crosses val="autoZero"/>
        <c:auto val="1"/>
        <c:lblAlgn val="ctr"/>
        <c:lblOffset val="100"/>
        <c:noMultiLvlLbl val="0"/>
      </c:catAx>
      <c:valAx>
        <c:axId val="859090872"/>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2C307E"/>
                </a:solidFill>
                <a:latin typeface="+mn-lt"/>
                <a:ea typeface="+mn-ea"/>
                <a:cs typeface="+mn-cs"/>
              </a:defRPr>
            </a:pPr>
            <a:endParaRPr lang="nl-NL"/>
          </a:p>
        </c:txPr>
        <c:crossAx val="859086912"/>
        <c:crosses val="autoZero"/>
        <c:crossBetween val="between"/>
        <c:majorUnit val="0.25"/>
      </c:valAx>
      <c:spPr>
        <a:noFill/>
      </c:spPr>
    </c:plotArea>
    <c:plotVisOnly val="1"/>
    <c:dispBlanksAs val="gap"/>
    <c:showDLblsOverMax val="0"/>
    <c:extLst/>
  </c:chart>
  <c:spPr>
    <a:noFill/>
    <a:ln>
      <a:noFill/>
    </a:ln>
  </c:spPr>
  <c:txPr>
    <a:bodyPr/>
    <a:lstStyle/>
    <a:p>
      <a:pPr>
        <a:defRPr/>
      </a:pPr>
      <a:endParaRPr lang="nl-NL"/>
    </a:p>
  </c:txPr>
  <c:externalData r:id="rId1">
    <c:autoUpdate val="0"/>
  </c:externalData>
</c:chartSpace>
</file>

<file path=word/charts/chart6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lgn="ctr" rtl="0">
              <a:defRPr lang="en-US" sz="1050" b="0" i="0" u="none" strike="noStrike" kern="1200" spc="0" baseline="0">
                <a:solidFill>
                  <a:srgbClr val="2C307E"/>
                </a:solidFill>
                <a:latin typeface="+mn-lt"/>
                <a:ea typeface="+mn-ea"/>
                <a:cs typeface="+mn-cs"/>
              </a:defRPr>
            </a:pPr>
            <a:r>
              <a:rPr lang="en-US" sz="1050" b="0" i="0" u="none" strike="noStrike" kern="1200" spc="0" baseline="0">
                <a:solidFill>
                  <a:srgbClr val="2C307E"/>
                </a:solidFill>
              </a:rPr>
              <a:t>Heb je knelpunten ervaren tijdens de aanvraag van een laadpunt bij een VvE of vergelijkbaar collectief?</a:t>
            </a:r>
          </a:p>
        </c:rich>
      </c:tx>
      <c:overlay val="0"/>
    </c:title>
    <c:autoTitleDeleted val="0"/>
    <c:plotArea>
      <c:layout>
        <c:manualLayout>
          <c:layoutTarget val="inner"/>
          <c:xMode val="edge"/>
          <c:yMode val="edge"/>
          <c:x val="0.31728103570984761"/>
          <c:y val="0.23779835338172306"/>
          <c:w val="0.35990540637226659"/>
          <c:h val="0.33574044377622547"/>
        </c:manualLayout>
      </c:layout>
      <c:pieChart>
        <c:varyColors val="1"/>
        <c:ser>
          <c:idx val="0"/>
          <c:order val="0"/>
          <c:spPr>
            <a:solidFill>
              <a:srgbClr val="08B466"/>
            </a:solidFill>
            <a:ln>
              <a:noFill/>
            </a:ln>
          </c:spPr>
          <c:dPt>
            <c:idx val="0"/>
            <c:bubble3D val="0"/>
            <c:spPr>
              <a:solidFill>
                <a:srgbClr val="2C307E"/>
              </a:solidFill>
              <a:ln w="19050">
                <a:noFill/>
              </a:ln>
              <a:effectLst/>
            </c:spPr>
            <c:extLst>
              <c:ext xmlns:c16="http://schemas.microsoft.com/office/drawing/2014/chart" uri="{C3380CC4-5D6E-409C-BE32-E72D297353CC}">
                <c16:uniqueId val="{00000001-BBBD-473B-B749-6C6770306CE1}"/>
              </c:ext>
            </c:extLst>
          </c:dPt>
          <c:dPt>
            <c:idx val="1"/>
            <c:bubble3D val="0"/>
            <c:spPr>
              <a:solidFill>
                <a:srgbClr val="08B466"/>
              </a:solidFill>
              <a:ln w="19050">
                <a:noFill/>
              </a:ln>
              <a:effectLst/>
            </c:spPr>
            <c:extLst>
              <c:ext xmlns:c16="http://schemas.microsoft.com/office/drawing/2014/chart" uri="{C3380CC4-5D6E-409C-BE32-E72D297353CC}">
                <c16:uniqueId val="{00000003-BBBD-473B-B749-6C6770306CE1}"/>
              </c:ext>
            </c:extLst>
          </c:dPt>
          <c:dPt>
            <c:idx val="2"/>
            <c:bubble3D val="0"/>
            <c:spPr>
              <a:solidFill>
                <a:srgbClr val="C9C743"/>
              </a:solidFill>
              <a:ln>
                <a:noFill/>
              </a:ln>
            </c:spPr>
            <c:extLst>
              <c:ext xmlns:c16="http://schemas.microsoft.com/office/drawing/2014/chart" uri="{C3380CC4-5D6E-409C-BE32-E72D297353CC}">
                <c16:uniqueId val="{00000005-BBBD-473B-B749-6C6770306CE1}"/>
              </c:ext>
            </c:extLst>
          </c:dPt>
          <c:dPt>
            <c:idx val="3"/>
            <c:bubble3D val="0"/>
            <c:spPr>
              <a:solidFill>
                <a:srgbClr val="BAD6ED"/>
              </a:solidFill>
              <a:ln>
                <a:noFill/>
              </a:ln>
            </c:spPr>
            <c:extLst>
              <c:ext xmlns:c16="http://schemas.microsoft.com/office/drawing/2014/chart" uri="{C3380CC4-5D6E-409C-BE32-E72D297353CC}">
                <c16:uniqueId val="{00000007-BBBD-473B-B749-6C6770306CE1}"/>
              </c:ext>
            </c:extLst>
          </c:dPt>
          <c:dPt>
            <c:idx val="4"/>
            <c:bubble3D val="0"/>
            <c:spPr>
              <a:solidFill>
                <a:srgbClr val="4EAFAA"/>
              </a:solidFill>
              <a:ln>
                <a:noFill/>
              </a:ln>
            </c:spPr>
            <c:extLst>
              <c:ext xmlns:c16="http://schemas.microsoft.com/office/drawing/2014/chart" uri="{C3380CC4-5D6E-409C-BE32-E72D297353CC}">
                <c16:uniqueId val="{00000009-BBBD-473B-B749-6C6770306CE1}"/>
              </c:ext>
            </c:extLst>
          </c:dPt>
          <c:dPt>
            <c:idx val="5"/>
            <c:bubble3D val="0"/>
            <c:spPr>
              <a:solidFill>
                <a:srgbClr val="696969"/>
              </a:solidFill>
              <a:ln>
                <a:noFill/>
              </a:ln>
            </c:spPr>
            <c:extLst>
              <c:ext xmlns:c16="http://schemas.microsoft.com/office/drawing/2014/chart" uri="{C3380CC4-5D6E-409C-BE32-E72D297353CC}">
                <c16:uniqueId val="{0000000B-BBBD-473B-B749-6C6770306CE1}"/>
              </c:ext>
            </c:extLst>
          </c:dPt>
          <c:dLbls>
            <c:dLbl>
              <c:idx val="0"/>
              <c:spPr>
                <a:noFill/>
                <a:ln>
                  <a:noFill/>
                </a:ln>
                <a:effectLst/>
              </c:spPr>
              <c:txPr>
                <a:bodyPr wrap="square" lIns="38100" tIns="19050" rIns="38100" bIns="19050" anchor="ctr">
                  <a:spAutoFit/>
                </a:bodyPr>
                <a:lstStyle/>
                <a:p>
                  <a:pPr>
                    <a:defRPr sz="800" b="1">
                      <a:solidFill>
                        <a:schemeClr val="bg1"/>
                      </a:solidFill>
                    </a:defRPr>
                  </a:pPr>
                  <a:endParaRPr lang="nl-NL"/>
                </a:p>
              </c:txPr>
              <c:showLegendKey val="0"/>
              <c:showVal val="1"/>
              <c:showCatName val="0"/>
              <c:showSerName val="0"/>
              <c:showPercent val="0"/>
              <c:showBubbleSize val="0"/>
              <c:extLst>
                <c:ext xmlns:c16="http://schemas.microsoft.com/office/drawing/2014/chart" uri="{C3380CC4-5D6E-409C-BE32-E72D297353CC}">
                  <c16:uniqueId val="{00000001-BBBD-473B-B749-6C6770306CE1}"/>
                </c:ext>
              </c:extLst>
            </c:dLbl>
            <c:dLbl>
              <c:idx val="1"/>
              <c:spPr>
                <a:noFill/>
                <a:ln>
                  <a:noFill/>
                </a:ln>
                <a:effectLst/>
              </c:spPr>
              <c:txPr>
                <a:bodyPr wrap="square" lIns="38100" tIns="19050" rIns="38100" bIns="19050" anchor="ctr">
                  <a:spAutoFit/>
                </a:bodyPr>
                <a:lstStyle/>
                <a:p>
                  <a:pPr>
                    <a:defRPr sz="800" b="1">
                      <a:solidFill>
                        <a:schemeClr val="bg1"/>
                      </a:solidFill>
                    </a:defRPr>
                  </a:pPr>
                  <a:endParaRPr lang="nl-NL"/>
                </a:p>
              </c:txPr>
              <c:showLegendKey val="0"/>
              <c:showVal val="1"/>
              <c:showCatName val="0"/>
              <c:showSerName val="0"/>
              <c:showPercent val="0"/>
              <c:showBubbleSize val="0"/>
              <c:extLst>
                <c:ext xmlns:c16="http://schemas.microsoft.com/office/drawing/2014/chart" uri="{C3380CC4-5D6E-409C-BE32-E72D297353CC}">
                  <c16:uniqueId val="{00000003-BBBD-473B-B749-6C6770306CE1}"/>
                </c:ext>
              </c:extLst>
            </c:dLbl>
            <c:dLbl>
              <c:idx val="2"/>
              <c:spPr>
                <a:noFill/>
                <a:ln>
                  <a:noFill/>
                </a:ln>
                <a:effectLst/>
              </c:spPr>
              <c:txPr>
                <a:bodyPr wrap="square" lIns="38100" tIns="19050" rIns="38100" bIns="19050" anchor="ctr">
                  <a:spAutoFit/>
                </a:bodyPr>
                <a:lstStyle/>
                <a:p>
                  <a:pPr>
                    <a:defRPr sz="800" b="1">
                      <a:solidFill>
                        <a:schemeClr val="bg1"/>
                      </a:solidFill>
                    </a:defRPr>
                  </a:pPr>
                  <a:endParaRPr lang="nl-NL"/>
                </a:p>
              </c:txPr>
              <c:showLegendKey val="0"/>
              <c:showVal val="1"/>
              <c:showCatName val="0"/>
              <c:showSerName val="0"/>
              <c:showPercent val="0"/>
              <c:showBubbleSize val="0"/>
              <c:extLst>
                <c:ext xmlns:c16="http://schemas.microsoft.com/office/drawing/2014/chart" uri="{C3380CC4-5D6E-409C-BE32-E72D297353CC}">
                  <c16:uniqueId val="{00000005-BBBD-473B-B749-6C6770306CE1}"/>
                </c:ext>
              </c:extLst>
            </c:dLbl>
            <c:dLbl>
              <c:idx val="3"/>
              <c:spPr>
                <a:noFill/>
                <a:ln>
                  <a:noFill/>
                </a:ln>
                <a:effectLst/>
              </c:spPr>
              <c:txPr>
                <a:bodyPr wrap="square" lIns="38100" tIns="19050" rIns="38100" bIns="19050" anchor="ctr">
                  <a:spAutoFit/>
                </a:bodyPr>
                <a:lstStyle/>
                <a:p>
                  <a:pPr>
                    <a:defRPr sz="800" b="1">
                      <a:solidFill>
                        <a:srgbClr val="2C307E"/>
                      </a:solidFill>
                    </a:defRPr>
                  </a:pPr>
                  <a:endParaRPr lang="nl-NL"/>
                </a:p>
              </c:txPr>
              <c:showLegendKey val="0"/>
              <c:showVal val="1"/>
              <c:showCatName val="0"/>
              <c:showSerName val="0"/>
              <c:showPercent val="0"/>
              <c:showBubbleSize val="0"/>
              <c:extLst>
                <c:ext xmlns:c16="http://schemas.microsoft.com/office/drawing/2014/chart" uri="{C3380CC4-5D6E-409C-BE32-E72D297353CC}">
                  <c16:uniqueId val="{00000007-BBBD-473B-B749-6C6770306CE1}"/>
                </c:ext>
              </c:extLst>
            </c:dLbl>
            <c:dLbl>
              <c:idx val="4"/>
              <c:spPr>
                <a:noFill/>
                <a:ln>
                  <a:noFill/>
                </a:ln>
                <a:effectLst/>
              </c:spPr>
              <c:txPr>
                <a:bodyPr wrap="square" lIns="38100" tIns="19050" rIns="38100" bIns="19050" anchor="ctr">
                  <a:spAutoFit/>
                </a:bodyPr>
                <a:lstStyle/>
                <a:p>
                  <a:pPr>
                    <a:defRPr sz="800" b="1">
                      <a:solidFill>
                        <a:srgbClr val="2C307E"/>
                      </a:solidFill>
                    </a:defRPr>
                  </a:pPr>
                  <a:endParaRPr lang="nl-NL"/>
                </a:p>
              </c:txPr>
              <c:showLegendKey val="0"/>
              <c:showVal val="1"/>
              <c:showCatName val="0"/>
              <c:showSerName val="0"/>
              <c:showPercent val="0"/>
              <c:showBubbleSize val="0"/>
              <c:extLst>
                <c:ext xmlns:c16="http://schemas.microsoft.com/office/drawing/2014/chart" uri="{C3380CC4-5D6E-409C-BE32-E72D297353CC}">
                  <c16:uniqueId val="{00000009-BBBD-473B-B749-6C6770306CE1}"/>
                </c:ext>
              </c:extLst>
            </c:dLbl>
            <c:dLbl>
              <c:idx val="5"/>
              <c:spPr>
                <a:noFill/>
                <a:ln>
                  <a:noFill/>
                </a:ln>
                <a:effectLst/>
              </c:spPr>
              <c:txPr>
                <a:bodyPr wrap="square" lIns="38100" tIns="19050" rIns="38100" bIns="19050" anchor="ctr">
                  <a:spAutoFit/>
                </a:bodyPr>
                <a:lstStyle/>
                <a:p>
                  <a:pPr>
                    <a:defRPr sz="800" b="1">
                      <a:solidFill>
                        <a:srgbClr val="2C307E"/>
                      </a:solidFill>
                    </a:defRPr>
                  </a:pPr>
                  <a:endParaRPr lang="nl-NL"/>
                </a:p>
              </c:txPr>
              <c:showLegendKey val="0"/>
              <c:showVal val="1"/>
              <c:showCatName val="0"/>
              <c:showSerName val="0"/>
              <c:showPercent val="0"/>
              <c:showBubbleSize val="0"/>
              <c:extLst>
                <c:ext xmlns:c16="http://schemas.microsoft.com/office/drawing/2014/chart" uri="{C3380CC4-5D6E-409C-BE32-E72D297353CC}">
                  <c16:uniqueId val="{0000000B-BBBD-473B-B749-6C6770306CE1}"/>
                </c:ext>
              </c:extLst>
            </c:dLbl>
            <c:spPr>
              <a:noFill/>
              <a:ln>
                <a:noFill/>
              </a:ln>
              <a:effectLst/>
            </c:spPr>
            <c:txPr>
              <a:bodyPr wrap="square" lIns="38100" tIns="19050" rIns="38100" bIns="19050" anchor="ctr">
                <a:spAutoFit/>
              </a:bodyPr>
              <a:lstStyle/>
              <a:p>
                <a:pPr>
                  <a:defRPr sz="800" b="1"/>
                </a:pPr>
                <a:endParaRPr lang="nl-NL"/>
              </a:p>
            </c:txPr>
            <c:showLegendKey val="0"/>
            <c:showVal val="1"/>
            <c:showCatName val="0"/>
            <c:showSerName val="0"/>
            <c:showPercent val="0"/>
            <c:showBubbleSize val="0"/>
            <c:showLeaderLines val="1"/>
            <c:extLst>
              <c:ext xmlns:c15="http://schemas.microsoft.com/office/drawing/2012/chart" uri="{CE6537A1-D6FC-4f65-9D91-7224C49458BB}"/>
            </c:extLst>
          </c:dLbls>
          <c:cat>
            <c:strRef>
              <c:f>'3.4 thuisladen oprit'!$B$325:$B$328</c:f>
              <c:strCache>
                <c:ptCount val="4"/>
                <c:pt idx="0">
                  <c:v>ja, en het laadpunt is  (bijna) gerealiseerd</c:v>
                </c:pt>
                <c:pt idx="1">
                  <c:v>ja, en het laadpunt is niet gerealiseerd</c:v>
                </c:pt>
                <c:pt idx="2">
                  <c:v>ja, en het is onderuidelijk of het laadpunt grealiseerd gaat worden</c:v>
                </c:pt>
                <c:pt idx="3">
                  <c:v>nee</c:v>
                </c:pt>
              </c:strCache>
            </c:strRef>
          </c:cat>
          <c:val>
            <c:numRef>
              <c:f>'3.4 thuisladen oprit'!$E$325:$E$328</c:f>
              <c:numCache>
                <c:formatCode>0%</c:formatCode>
                <c:ptCount val="4"/>
                <c:pt idx="0">
                  <c:v>0.17582417582417584</c:v>
                </c:pt>
                <c:pt idx="1">
                  <c:v>0.24175824175824176</c:v>
                </c:pt>
                <c:pt idx="2">
                  <c:v>0.36263736263736263</c:v>
                </c:pt>
                <c:pt idx="3">
                  <c:v>0.21978021978021978</c:v>
                </c:pt>
              </c:numCache>
            </c:numRef>
          </c:val>
          <c:extLst>
            <c:ext xmlns:c16="http://schemas.microsoft.com/office/drawing/2014/chart" uri="{C3380CC4-5D6E-409C-BE32-E72D297353CC}">
              <c16:uniqueId val="{0000000C-BBBD-473B-B749-6C6770306CE1}"/>
            </c:ext>
          </c:extLst>
        </c:ser>
        <c:dLbls>
          <c:showLegendKey val="0"/>
          <c:showVal val="0"/>
          <c:showCatName val="0"/>
          <c:showSerName val="0"/>
          <c:showPercent val="0"/>
          <c:showBubbleSize val="0"/>
          <c:showLeaderLines val="1"/>
        </c:dLbls>
        <c:firstSliceAng val="0"/>
      </c:pieChart>
    </c:plotArea>
    <c:legend>
      <c:legendPos val="b"/>
      <c:layout>
        <c:manualLayout>
          <c:xMode val="edge"/>
          <c:yMode val="edge"/>
          <c:x val="3.8361255775596202E-2"/>
          <c:y val="0.59434644615441357"/>
          <c:w val="0.90414750882108186"/>
          <c:h val="0.4041626489797352"/>
        </c:manualLayout>
      </c:layout>
      <c:overlay val="0"/>
      <c:spPr>
        <a:noFill/>
        <a:ln>
          <a:noFill/>
        </a:ln>
        <a:effectLst/>
      </c:spPr>
      <c:txPr>
        <a:bodyPr rot="0" spcFirstLastPara="1" vertOverflow="ellipsis" vert="horz" wrap="square" anchor="ctr" anchorCtr="1"/>
        <a:lstStyle/>
        <a:p>
          <a:pPr>
            <a:defRPr sz="900" b="0" i="0" u="none" strike="noStrike" kern="1200" baseline="0">
              <a:solidFill>
                <a:srgbClr val="2C307E"/>
              </a:solidFill>
              <a:latin typeface="+mn-lt"/>
              <a:ea typeface="+mn-ea"/>
              <a:cs typeface="+mn-cs"/>
            </a:defRPr>
          </a:pPr>
          <a:endParaRPr lang="nl-NL"/>
        </a:p>
      </c:txPr>
    </c:legend>
    <c:plotVisOnly val="1"/>
    <c:dispBlanksAs val="gap"/>
    <c:showDLblsOverMax val="0"/>
    <c:extLst/>
  </c:chart>
  <c:spPr>
    <a:noFill/>
    <a:ln>
      <a:noFill/>
    </a:ln>
  </c:spPr>
  <c:txPr>
    <a:bodyPr/>
    <a:lstStyle/>
    <a:p>
      <a:pPr>
        <a:defRPr/>
      </a:pPr>
      <a:endParaRPr lang="nl-NL"/>
    </a:p>
  </c:txPr>
  <c:externalData r:id="rId1">
    <c:autoUpdate val="0"/>
  </c:externalData>
</c:chartSpace>
</file>

<file path=word/charts/chart6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rgbClr val="2C307E"/>
                </a:solidFill>
                <a:latin typeface="+mn-lt"/>
                <a:ea typeface="+mn-ea"/>
                <a:cs typeface="+mn-cs"/>
              </a:defRPr>
            </a:pPr>
            <a:r>
              <a:rPr lang="nl-NL" sz="1100" b="0" i="0" u="none" strike="noStrike" kern="1200" spc="0" baseline="0">
                <a:solidFill>
                  <a:srgbClr val="2C307E"/>
                </a:solidFill>
                <a:latin typeface="Calibri" panose="020F0502020204030204" pitchFamily="34" charset="0"/>
                <a:cs typeface="Calibri" panose="020F0502020204030204" pitchFamily="34" charset="0"/>
              </a:rPr>
              <a:t>Percentage ervaren knelpunten bij openbaar laden</a:t>
            </a:r>
          </a:p>
        </c:rich>
      </c:tx>
      <c:overlay val="0"/>
      <c:spPr>
        <a:noFill/>
        <a:ln>
          <a:noFill/>
        </a:ln>
        <a:effectLst/>
      </c:spPr>
    </c:title>
    <c:autoTitleDeleted val="0"/>
    <c:plotArea>
      <c:layout/>
      <c:barChart>
        <c:barDir val="col"/>
        <c:grouping val="clustered"/>
        <c:varyColors val="0"/>
        <c:ser>
          <c:idx val="0"/>
          <c:order val="0"/>
          <c:spPr>
            <a:solidFill>
              <a:srgbClr val="C9C743"/>
            </a:solidFill>
            <a:ln>
              <a:noFill/>
            </a:ln>
            <a:effectLst/>
          </c:spPr>
          <c:invertIfNegative val="0"/>
          <c:dLbls>
            <c:spPr>
              <a:noFill/>
              <a:ln>
                <a:noFill/>
              </a:ln>
              <a:effectLst/>
            </c:spPr>
            <c:txPr>
              <a:bodyPr wrap="square" lIns="38100" tIns="19050" rIns="38100" bIns="19050" anchor="ctr" anchorCtr="0">
                <a:spAutoFit/>
              </a:bodyPr>
              <a:lstStyle/>
              <a:p>
                <a:pPr algn="ctr">
                  <a:defRPr lang="en-US" sz="800" b="1" i="0" u="none" strike="noStrike" kern="1200" baseline="0">
                    <a:solidFill>
                      <a:srgbClr val="4EAFAA"/>
                    </a:solidFill>
                    <a:latin typeface="+mn-lt"/>
                    <a:ea typeface="+mn-ea"/>
                    <a:cs typeface="+mn-cs"/>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'3.4 openbaar laden'!$B$5:$F$5</c:f>
              <c:numCache>
                <c:formatCode>General</c:formatCode>
                <c:ptCount val="5"/>
                <c:pt idx="0">
                  <c:v>2021</c:v>
                </c:pt>
                <c:pt idx="1">
                  <c:v>2022</c:v>
                </c:pt>
                <c:pt idx="2">
                  <c:v>2023</c:v>
                </c:pt>
                <c:pt idx="3">
                  <c:v>2024</c:v>
                </c:pt>
                <c:pt idx="4">
                  <c:v>2025</c:v>
                </c:pt>
              </c:numCache>
            </c:numRef>
          </c:cat>
          <c:val>
            <c:numRef>
              <c:f>'3.4 openbaar laden'!$B$6:$F$6</c:f>
              <c:numCache>
                <c:formatCode>0%</c:formatCode>
                <c:ptCount val="5"/>
                <c:pt idx="0">
                  <c:v>0.89</c:v>
                </c:pt>
                <c:pt idx="1">
                  <c:v>0.81</c:v>
                </c:pt>
                <c:pt idx="2">
                  <c:v>0.68</c:v>
                </c:pt>
                <c:pt idx="3">
                  <c:v>0.6</c:v>
                </c:pt>
                <c:pt idx="4">
                  <c:v>0.55000000000000004</c:v>
                </c:pt>
              </c:numCache>
            </c:numRef>
          </c:val>
          <c:extLst>
            <c:ext xmlns:c16="http://schemas.microsoft.com/office/drawing/2014/chart" uri="{C3380CC4-5D6E-409C-BE32-E72D297353CC}">
              <c16:uniqueId val="{00000000-5B8D-4701-A87E-8D256BE47955}"/>
            </c:ext>
          </c:extLst>
        </c:ser>
        <c:dLbls>
          <c:showLegendKey val="0"/>
          <c:showVal val="0"/>
          <c:showCatName val="0"/>
          <c:showSerName val="0"/>
          <c:showPercent val="0"/>
          <c:showBubbleSize val="0"/>
        </c:dLbls>
        <c:gapWidth val="219"/>
        <c:overlap val="-27"/>
        <c:axId val="859086912"/>
        <c:axId val="859090872"/>
      </c:barChart>
      <c:catAx>
        <c:axId val="8590869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2C307E"/>
                </a:solidFill>
                <a:latin typeface="+mn-lt"/>
                <a:ea typeface="+mn-ea"/>
                <a:cs typeface="+mn-cs"/>
              </a:defRPr>
            </a:pPr>
            <a:endParaRPr lang="nl-NL"/>
          </a:p>
        </c:txPr>
        <c:crossAx val="859090872"/>
        <c:crosses val="autoZero"/>
        <c:auto val="1"/>
        <c:lblAlgn val="ctr"/>
        <c:lblOffset val="100"/>
        <c:noMultiLvlLbl val="0"/>
      </c:catAx>
      <c:valAx>
        <c:axId val="859090872"/>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2C307E"/>
                </a:solidFill>
                <a:latin typeface="+mn-lt"/>
                <a:ea typeface="+mn-ea"/>
                <a:cs typeface="+mn-cs"/>
              </a:defRPr>
            </a:pPr>
            <a:endParaRPr lang="nl-NL"/>
          </a:p>
        </c:txPr>
        <c:crossAx val="859086912"/>
        <c:crosses val="autoZero"/>
        <c:crossBetween val="between"/>
        <c:majorUnit val="0.25"/>
      </c:valAx>
      <c:spPr>
        <a:noFill/>
        <a:ln>
          <a:noFill/>
        </a:ln>
      </c:spPr>
    </c:plotArea>
    <c:plotVisOnly val="1"/>
    <c:dispBlanksAs val="gap"/>
    <c:showDLblsOverMax val="0"/>
    <c:extLst/>
  </c:chart>
  <c:spPr>
    <a:noFill/>
    <a:ln>
      <a:noFill/>
    </a:ln>
  </c:spPr>
  <c:txPr>
    <a:bodyPr/>
    <a:lstStyle/>
    <a:p>
      <a:pPr>
        <a:defRPr/>
      </a:pPr>
      <a:endParaRPr lang="nl-NL"/>
    </a:p>
  </c:txPr>
  <c:externalData r:id="rId1">
    <c:autoUpdate val="0"/>
  </c:externalData>
</c:chartSpace>
</file>

<file path=word/charts/chart6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rgbClr val="2C307E"/>
                </a:solidFill>
                <a:latin typeface="+mn-lt"/>
                <a:ea typeface="+mn-ea"/>
                <a:cs typeface="+mn-cs"/>
              </a:defRPr>
            </a:pPr>
            <a:r>
              <a:rPr lang="nl-NL" sz="1100" b="0" i="0" u="none" strike="noStrike" baseline="0">
                <a:effectLst/>
              </a:rPr>
              <a:t>Geen laadpaal binnen 5 minuten lopen</a:t>
            </a:r>
            <a:endParaRPr lang="nl-NL" sz="1100" b="0" i="0" u="none" strike="noStrike" kern="1200" spc="0" baseline="0">
              <a:solidFill>
                <a:srgbClr val="2C307E"/>
              </a:solidFill>
              <a:latin typeface="Calibri" panose="020F0502020204030204" pitchFamily="34" charset="0"/>
              <a:cs typeface="Calibri" panose="020F0502020204030204" pitchFamily="34" charset="0"/>
            </a:endParaRPr>
          </a:p>
        </c:rich>
      </c:tx>
      <c:overlay val="0"/>
      <c:spPr>
        <a:noFill/>
        <a:ln>
          <a:noFill/>
        </a:ln>
        <a:effectLst/>
      </c:spPr>
    </c:title>
    <c:autoTitleDeleted val="0"/>
    <c:plotArea>
      <c:layout/>
      <c:barChart>
        <c:barDir val="col"/>
        <c:grouping val="clustered"/>
        <c:varyColors val="0"/>
        <c:ser>
          <c:idx val="0"/>
          <c:order val="0"/>
          <c:spPr>
            <a:solidFill>
              <a:srgbClr val="C9C743"/>
            </a:solidFill>
            <a:ln>
              <a:noFill/>
            </a:ln>
            <a:effectLst/>
          </c:spPr>
          <c:invertIfNegative val="0"/>
          <c:dLbls>
            <c:spPr>
              <a:noFill/>
              <a:ln>
                <a:noFill/>
              </a:ln>
              <a:effectLst/>
            </c:spPr>
            <c:txPr>
              <a:bodyPr wrap="square" lIns="38100" tIns="19050" rIns="38100" bIns="19050" anchor="ctr" anchorCtr="0">
                <a:spAutoFit/>
              </a:bodyPr>
              <a:lstStyle/>
              <a:p>
                <a:pPr algn="ctr">
                  <a:defRPr lang="en-US" sz="800" b="1" i="0" u="none" strike="noStrike" kern="1200" baseline="0">
                    <a:solidFill>
                      <a:srgbClr val="4EAFAA"/>
                    </a:solidFill>
                    <a:latin typeface="+mn-lt"/>
                    <a:ea typeface="+mn-ea"/>
                    <a:cs typeface="+mn-cs"/>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'3.4 openbaar laden'!$B$211:$B$214</c:f>
              <c:numCache>
                <c:formatCode>General</c:formatCode>
                <c:ptCount val="4"/>
                <c:pt idx="0">
                  <c:v>2022</c:v>
                </c:pt>
                <c:pt idx="1">
                  <c:v>2023</c:v>
                </c:pt>
                <c:pt idx="2">
                  <c:v>2024</c:v>
                </c:pt>
                <c:pt idx="3">
                  <c:v>2025</c:v>
                </c:pt>
              </c:numCache>
            </c:numRef>
          </c:cat>
          <c:val>
            <c:numRef>
              <c:f>'3.4 openbaar laden'!$C$211:$C$214</c:f>
              <c:numCache>
                <c:formatCode>0%</c:formatCode>
                <c:ptCount val="4"/>
                <c:pt idx="0">
                  <c:v>0.13</c:v>
                </c:pt>
                <c:pt idx="1">
                  <c:v>0.1</c:v>
                </c:pt>
                <c:pt idx="2">
                  <c:v>7.0000000000000007E-2</c:v>
                </c:pt>
                <c:pt idx="3">
                  <c:v>4.9728752260397829E-2</c:v>
                </c:pt>
              </c:numCache>
            </c:numRef>
          </c:val>
          <c:extLst>
            <c:ext xmlns:c16="http://schemas.microsoft.com/office/drawing/2014/chart" uri="{C3380CC4-5D6E-409C-BE32-E72D297353CC}">
              <c16:uniqueId val="{00000000-35C1-43AA-9E02-AC509C9D9FC1}"/>
            </c:ext>
          </c:extLst>
        </c:ser>
        <c:dLbls>
          <c:showLegendKey val="0"/>
          <c:showVal val="0"/>
          <c:showCatName val="0"/>
          <c:showSerName val="0"/>
          <c:showPercent val="0"/>
          <c:showBubbleSize val="0"/>
        </c:dLbls>
        <c:gapWidth val="219"/>
        <c:overlap val="-27"/>
        <c:axId val="859086912"/>
        <c:axId val="859090872"/>
      </c:barChart>
      <c:catAx>
        <c:axId val="8590869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2C307E"/>
                </a:solidFill>
                <a:latin typeface="+mn-lt"/>
                <a:ea typeface="+mn-ea"/>
                <a:cs typeface="+mn-cs"/>
              </a:defRPr>
            </a:pPr>
            <a:endParaRPr lang="nl-NL"/>
          </a:p>
        </c:txPr>
        <c:crossAx val="859090872"/>
        <c:crosses val="autoZero"/>
        <c:auto val="1"/>
        <c:lblAlgn val="ctr"/>
        <c:lblOffset val="100"/>
        <c:noMultiLvlLbl val="0"/>
      </c:catAx>
      <c:valAx>
        <c:axId val="859090872"/>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2C307E"/>
                </a:solidFill>
                <a:latin typeface="+mn-lt"/>
                <a:ea typeface="+mn-ea"/>
                <a:cs typeface="+mn-cs"/>
              </a:defRPr>
            </a:pPr>
            <a:endParaRPr lang="nl-NL"/>
          </a:p>
        </c:txPr>
        <c:crossAx val="859086912"/>
        <c:crosses val="autoZero"/>
        <c:crossBetween val="between"/>
        <c:majorUnit val="5.000000000000001E-2"/>
      </c:valAx>
      <c:spPr>
        <a:noFill/>
        <a:ln>
          <a:noFill/>
        </a:ln>
      </c:spPr>
    </c:plotArea>
    <c:plotVisOnly val="1"/>
    <c:dispBlanksAs val="gap"/>
    <c:showDLblsOverMax val="0"/>
    <c:extLst/>
  </c:chart>
  <c:spPr>
    <a:noFill/>
    <a:ln>
      <a:noFill/>
    </a:ln>
  </c:spPr>
  <c:txPr>
    <a:bodyPr/>
    <a:lstStyle/>
    <a:p>
      <a:pPr>
        <a:defRPr/>
      </a:pPr>
      <a:endParaRPr lang="nl-NL"/>
    </a:p>
  </c:txPr>
  <c:externalData r:id="rId1">
    <c:autoUpdate val="0"/>
  </c:externalData>
</c:chartSpace>
</file>

<file path=word/charts/chart6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rgbClr val="2C307E"/>
                </a:solidFill>
                <a:latin typeface="Calibri" panose="020F0502020204030204" pitchFamily="34" charset="0"/>
                <a:ea typeface="+mn-ea"/>
                <a:cs typeface="Calibri" panose="020F0502020204030204" pitchFamily="34" charset="0"/>
              </a:defRPr>
            </a:pPr>
            <a:r>
              <a:rPr lang="nl-NL" sz="1100">
                <a:latin typeface="Calibri" panose="020F0502020204030204" pitchFamily="34" charset="0"/>
                <a:cs typeface="Calibri" panose="020F0502020204030204" pitchFamily="34" charset="0"/>
              </a:rPr>
              <a:t>Aantal laadpunten</a:t>
            </a:r>
            <a:r>
              <a:rPr lang="nl-NL" sz="1100" baseline="0">
                <a:latin typeface="Calibri" panose="020F0502020204030204" pitchFamily="34" charset="0"/>
                <a:cs typeface="Calibri" panose="020F0502020204030204" pitchFamily="34" charset="0"/>
              </a:rPr>
              <a:t> binnen 5 minuten lopen  en stedelijkheidsklasse. [N=976]</a:t>
            </a:r>
            <a:endParaRPr lang="nl-NL" sz="1100">
              <a:latin typeface="Calibri" panose="020F0502020204030204" pitchFamily="34" charset="0"/>
              <a:cs typeface="Calibri" panose="020F0502020204030204" pitchFamily="34" charset="0"/>
            </a:endParaRPr>
          </a:p>
        </c:rich>
      </c:tx>
      <c:overlay val="0"/>
      <c:spPr>
        <a:noFill/>
        <a:ln>
          <a:noFill/>
        </a:ln>
        <a:effectLst/>
      </c:spPr>
    </c:title>
    <c:autoTitleDeleted val="0"/>
    <c:plotArea>
      <c:layout/>
      <c:barChart>
        <c:barDir val="bar"/>
        <c:grouping val="stacked"/>
        <c:varyColors val="0"/>
        <c:ser>
          <c:idx val="0"/>
          <c:order val="0"/>
          <c:tx>
            <c:strRef>
              <c:f>'3.4 openbaar laden'!$J$224</c:f>
              <c:strCache>
                <c:ptCount val="1"/>
                <c:pt idx="0">
                  <c:v>Geen</c:v>
                </c:pt>
              </c:strCache>
            </c:strRef>
          </c:tx>
          <c:spPr>
            <a:solidFill>
              <a:srgbClr val="2C307E"/>
            </a:solidFill>
            <a:ln>
              <a:solidFill>
                <a:srgbClr val="2C307E"/>
              </a:solid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0-46B8-41E8-A805-40529E74D74F}"/>
                </c:ext>
              </c:extLst>
            </c:dLbl>
            <c:dLbl>
              <c:idx val="1"/>
              <c:delete val="1"/>
              <c:extLst>
                <c:ext xmlns:c15="http://schemas.microsoft.com/office/drawing/2012/chart" uri="{CE6537A1-D6FC-4f65-9D91-7224C49458BB}"/>
                <c:ext xmlns:c16="http://schemas.microsoft.com/office/drawing/2014/chart" uri="{C3380CC4-5D6E-409C-BE32-E72D297353CC}">
                  <c16:uniqueId val="{00000001-837F-459B-90EE-682CB377BFF2}"/>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bg1"/>
                    </a:solidFill>
                    <a:latin typeface="Calibri" panose="020F0502020204030204" pitchFamily="34" charset="0"/>
                    <a:ea typeface="+mn-ea"/>
                    <a:cs typeface="Calibri" panose="020F0502020204030204" pitchFamily="34" charset="0"/>
                  </a:defRPr>
                </a:pPr>
                <a:endParaRPr lang="nl-N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'3.4 openbaar laden'!$K$222:$O$223</c:f>
              <c:multiLvlStrCache>
                <c:ptCount val="5"/>
                <c:lvl>
                  <c:pt idx="0">
                    <c:v>1</c:v>
                  </c:pt>
                  <c:pt idx="1">
                    <c:v>2</c:v>
                  </c:pt>
                  <c:pt idx="2">
                    <c:v>3</c:v>
                  </c:pt>
                  <c:pt idx="3">
                    <c:v>4</c:v>
                  </c:pt>
                  <c:pt idx="4">
                    <c:v>5</c:v>
                  </c:pt>
                </c:lvl>
                <c:lvl>
                  <c:pt idx="0">
                    <c:v>Stedelijkheidsklasse</c:v>
                  </c:pt>
                </c:lvl>
              </c:multiLvlStrCache>
            </c:multiLvlStrRef>
          </c:cat>
          <c:val>
            <c:numRef>
              <c:f>'3.4 openbaar laden'!$K$224:$O$224</c:f>
              <c:numCache>
                <c:formatCode>0%</c:formatCode>
                <c:ptCount val="5"/>
                <c:pt idx="0">
                  <c:v>5.3763440860215058E-3</c:v>
                </c:pt>
                <c:pt idx="1">
                  <c:v>1.3698630136986301E-2</c:v>
                </c:pt>
                <c:pt idx="2">
                  <c:v>3.4285714285714287E-2</c:v>
                </c:pt>
                <c:pt idx="3">
                  <c:v>7.6086956521739135E-2</c:v>
                </c:pt>
                <c:pt idx="4">
                  <c:v>0.15827338129496402</c:v>
                </c:pt>
              </c:numCache>
            </c:numRef>
          </c:val>
          <c:extLst>
            <c:ext xmlns:c16="http://schemas.microsoft.com/office/drawing/2014/chart" uri="{C3380CC4-5D6E-409C-BE32-E72D297353CC}">
              <c16:uniqueId val="{00000001-46B8-41E8-A805-40529E74D74F}"/>
            </c:ext>
          </c:extLst>
        </c:ser>
        <c:ser>
          <c:idx val="1"/>
          <c:order val="1"/>
          <c:tx>
            <c:strRef>
              <c:f>'3.4 openbaar laden'!$J$225</c:f>
              <c:strCache>
                <c:ptCount val="1"/>
                <c:pt idx="0">
                  <c:v>1</c:v>
                </c:pt>
              </c:strCache>
            </c:strRef>
          </c:tx>
          <c:spPr>
            <a:solidFill>
              <a:srgbClr val="08B466"/>
            </a:solidFill>
            <a:ln>
              <a:solidFill>
                <a:srgbClr val="08B466"/>
              </a:solidFill>
            </a:ln>
            <a:effectLst/>
          </c:spPr>
          <c:invertIfNegative val="0"/>
          <c:dLbls>
            <c:dLbl>
              <c:idx val="0"/>
              <c:layout>
                <c:manualLayout>
                  <c:x val="1.5128202231535957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6B8-41E8-A805-40529E74D74F}"/>
                </c:ext>
              </c:extLst>
            </c:dLbl>
            <c:dLbl>
              <c:idx val="1"/>
              <c:layout>
                <c:manualLayout>
                  <c:x val="9.5648015303682454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37F-459B-90EE-682CB377BFF2}"/>
                </c:ext>
              </c:extLst>
            </c:dLbl>
            <c:spPr>
              <a:noFill/>
              <a:ln>
                <a:noFill/>
              </a:ln>
              <a:effectLst/>
            </c:spPr>
            <c:txPr>
              <a:bodyPr wrap="square" lIns="38100" tIns="19050" rIns="38100" bIns="19050" anchor="ctr" anchorCtr="0">
                <a:spAutoFit/>
              </a:bodyPr>
              <a:lstStyle/>
              <a:p>
                <a:pPr algn="ctr">
                  <a:defRPr lang="en-US" sz="800" b="1" i="0" u="none" strike="noStrike" kern="1200" baseline="0">
                    <a:solidFill>
                      <a:schemeClr val="bg1"/>
                    </a:solidFill>
                    <a:latin typeface="Calibri" panose="020F0502020204030204" pitchFamily="34" charset="0"/>
                    <a:ea typeface="+mn-ea"/>
                    <a:cs typeface="Calibri" panose="020F0502020204030204" pitchFamily="34" charset="0"/>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multiLvlStrRef>
              <c:f>'3.4 openbaar laden'!$K$222:$O$223</c:f>
              <c:multiLvlStrCache>
                <c:ptCount val="5"/>
                <c:lvl>
                  <c:pt idx="0">
                    <c:v>1</c:v>
                  </c:pt>
                  <c:pt idx="1">
                    <c:v>2</c:v>
                  </c:pt>
                  <c:pt idx="2">
                    <c:v>3</c:v>
                  </c:pt>
                  <c:pt idx="3">
                    <c:v>4</c:v>
                  </c:pt>
                  <c:pt idx="4">
                    <c:v>5</c:v>
                  </c:pt>
                </c:lvl>
                <c:lvl>
                  <c:pt idx="0">
                    <c:v>Stedelijkheidsklasse</c:v>
                  </c:pt>
                </c:lvl>
              </c:multiLvlStrCache>
            </c:multiLvlStrRef>
          </c:cat>
          <c:val>
            <c:numRef>
              <c:f>'3.4 openbaar laden'!$K$225:$O$225</c:f>
              <c:numCache>
                <c:formatCode>0%</c:formatCode>
                <c:ptCount val="5"/>
                <c:pt idx="0">
                  <c:v>1.0752688172043012E-2</c:v>
                </c:pt>
                <c:pt idx="1">
                  <c:v>2.7397260273972601E-2</c:v>
                </c:pt>
                <c:pt idx="2">
                  <c:v>0.08</c:v>
                </c:pt>
                <c:pt idx="3">
                  <c:v>8.6956521739130432E-2</c:v>
                </c:pt>
                <c:pt idx="4">
                  <c:v>0.1223021582733813</c:v>
                </c:pt>
              </c:numCache>
            </c:numRef>
          </c:val>
          <c:extLst>
            <c:ext xmlns:c16="http://schemas.microsoft.com/office/drawing/2014/chart" uri="{C3380CC4-5D6E-409C-BE32-E72D297353CC}">
              <c16:uniqueId val="{00000003-46B8-41E8-A805-40529E74D74F}"/>
            </c:ext>
          </c:extLst>
        </c:ser>
        <c:ser>
          <c:idx val="2"/>
          <c:order val="2"/>
          <c:tx>
            <c:strRef>
              <c:f>'3.4 openbaar laden'!$J$226</c:f>
              <c:strCache>
                <c:ptCount val="1"/>
                <c:pt idx="0">
                  <c:v>2 of 3</c:v>
                </c:pt>
              </c:strCache>
            </c:strRef>
          </c:tx>
          <c:spPr>
            <a:solidFill>
              <a:srgbClr val="C9C743"/>
            </a:solidFill>
          </c:spPr>
          <c:invertIfNegative val="0"/>
          <c:dLbls>
            <c:dLbl>
              <c:idx val="0"/>
              <c:layout>
                <c:manualLayout>
                  <c:x val="9.5648015303682454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37F-459B-90EE-682CB377BFF2}"/>
                </c:ext>
              </c:extLst>
            </c:dLbl>
            <c:spPr>
              <a:noFill/>
              <a:ln>
                <a:noFill/>
              </a:ln>
              <a:effectLst/>
            </c:spPr>
            <c:txPr>
              <a:bodyPr wrap="square" lIns="38100" tIns="19050" rIns="38100" bIns="19050" anchor="ctr" anchorCtr="0">
                <a:spAutoFit/>
              </a:bodyPr>
              <a:lstStyle/>
              <a:p>
                <a:pPr algn="ctr">
                  <a:defRPr lang="en-US" sz="800" b="1" i="0" u="none" strike="noStrike" kern="1200" baseline="0">
                    <a:solidFill>
                      <a:schemeClr val="bg1"/>
                    </a:solidFill>
                    <a:latin typeface="Calibri" panose="020F0502020204030204" pitchFamily="34" charset="0"/>
                    <a:ea typeface="+mn-ea"/>
                    <a:cs typeface="Calibri" panose="020F0502020204030204" pitchFamily="34" charset="0"/>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multiLvlStrRef>
              <c:f>'3.4 openbaar laden'!$K$222:$O$223</c:f>
              <c:multiLvlStrCache>
                <c:ptCount val="5"/>
                <c:lvl>
                  <c:pt idx="0">
                    <c:v>1</c:v>
                  </c:pt>
                  <c:pt idx="1">
                    <c:v>2</c:v>
                  </c:pt>
                  <c:pt idx="2">
                    <c:v>3</c:v>
                  </c:pt>
                  <c:pt idx="3">
                    <c:v>4</c:v>
                  </c:pt>
                  <c:pt idx="4">
                    <c:v>5</c:v>
                  </c:pt>
                </c:lvl>
                <c:lvl>
                  <c:pt idx="0">
                    <c:v>Stedelijkheidsklasse</c:v>
                  </c:pt>
                </c:lvl>
              </c:multiLvlStrCache>
            </c:multiLvlStrRef>
          </c:cat>
          <c:val>
            <c:numRef>
              <c:f>'3.4 openbaar laden'!$K$226:$O$226</c:f>
              <c:numCache>
                <c:formatCode>0%</c:formatCode>
                <c:ptCount val="5"/>
                <c:pt idx="0">
                  <c:v>0.18817204301075269</c:v>
                </c:pt>
                <c:pt idx="1">
                  <c:v>0.20547945205479451</c:v>
                </c:pt>
                <c:pt idx="2">
                  <c:v>0.34857142857142859</c:v>
                </c:pt>
                <c:pt idx="3">
                  <c:v>0.33695652173913043</c:v>
                </c:pt>
                <c:pt idx="4">
                  <c:v>0.34532374100719426</c:v>
                </c:pt>
              </c:numCache>
            </c:numRef>
          </c:val>
          <c:extLst>
            <c:ext xmlns:c16="http://schemas.microsoft.com/office/drawing/2014/chart" uri="{C3380CC4-5D6E-409C-BE32-E72D297353CC}">
              <c16:uniqueId val="{00000004-46B8-41E8-A805-40529E74D74F}"/>
            </c:ext>
          </c:extLst>
        </c:ser>
        <c:ser>
          <c:idx val="3"/>
          <c:order val="3"/>
          <c:tx>
            <c:strRef>
              <c:f>'3.4 openbaar laden'!$J$227</c:f>
              <c:strCache>
                <c:ptCount val="1"/>
                <c:pt idx="0">
                  <c:v>4,5 of 6</c:v>
                </c:pt>
              </c:strCache>
            </c:strRef>
          </c:tx>
          <c:spPr>
            <a:solidFill>
              <a:srgbClr val="BAD6ED"/>
            </a:solidFill>
          </c:spPr>
          <c:invertIfNegative val="0"/>
          <c:dLbls>
            <c:spPr>
              <a:noFill/>
              <a:ln>
                <a:noFill/>
              </a:ln>
              <a:effectLst/>
            </c:spPr>
            <c:txPr>
              <a:bodyPr wrap="square" lIns="38100" tIns="19050" rIns="38100" bIns="19050" anchor="ctr" anchorCtr="0">
                <a:spAutoFit/>
              </a:bodyPr>
              <a:lstStyle/>
              <a:p>
                <a:pPr algn="ctr">
                  <a:defRPr lang="en-US" sz="800" b="1" i="0" u="none" strike="noStrike" kern="1200" baseline="0">
                    <a:solidFill>
                      <a:srgbClr val="2C307E"/>
                    </a:solidFill>
                    <a:latin typeface="Calibri" panose="020F0502020204030204" pitchFamily="34" charset="0"/>
                    <a:ea typeface="+mn-ea"/>
                    <a:cs typeface="Calibri" panose="020F0502020204030204" pitchFamily="34" charset="0"/>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multiLvlStrRef>
              <c:f>'3.4 openbaar laden'!$K$222:$O$223</c:f>
              <c:multiLvlStrCache>
                <c:ptCount val="5"/>
                <c:lvl>
                  <c:pt idx="0">
                    <c:v>1</c:v>
                  </c:pt>
                  <c:pt idx="1">
                    <c:v>2</c:v>
                  </c:pt>
                  <c:pt idx="2">
                    <c:v>3</c:v>
                  </c:pt>
                  <c:pt idx="3">
                    <c:v>4</c:v>
                  </c:pt>
                  <c:pt idx="4">
                    <c:v>5</c:v>
                  </c:pt>
                </c:lvl>
                <c:lvl>
                  <c:pt idx="0">
                    <c:v>Stedelijkheidsklasse</c:v>
                  </c:pt>
                </c:lvl>
              </c:multiLvlStrCache>
            </c:multiLvlStrRef>
          </c:cat>
          <c:val>
            <c:numRef>
              <c:f>'3.4 openbaar laden'!$K$227:$O$227</c:f>
              <c:numCache>
                <c:formatCode>0%</c:formatCode>
                <c:ptCount val="5"/>
                <c:pt idx="0">
                  <c:v>0.30107526881720431</c:v>
                </c:pt>
                <c:pt idx="1">
                  <c:v>0.3904109589041096</c:v>
                </c:pt>
                <c:pt idx="2">
                  <c:v>0.21142857142857144</c:v>
                </c:pt>
                <c:pt idx="3">
                  <c:v>0.29891304347826086</c:v>
                </c:pt>
                <c:pt idx="4">
                  <c:v>0.23741007194244604</c:v>
                </c:pt>
              </c:numCache>
            </c:numRef>
          </c:val>
          <c:extLst>
            <c:ext xmlns:c16="http://schemas.microsoft.com/office/drawing/2014/chart" uri="{C3380CC4-5D6E-409C-BE32-E72D297353CC}">
              <c16:uniqueId val="{00000005-46B8-41E8-A805-40529E74D74F}"/>
            </c:ext>
          </c:extLst>
        </c:ser>
        <c:ser>
          <c:idx val="4"/>
          <c:order val="4"/>
          <c:tx>
            <c:strRef>
              <c:f>'3.4 openbaar laden'!$J$228</c:f>
              <c:strCache>
                <c:ptCount val="1"/>
                <c:pt idx="0">
                  <c:v>Meer dan 6</c:v>
                </c:pt>
              </c:strCache>
            </c:strRef>
          </c:tx>
          <c:spPr>
            <a:solidFill>
              <a:srgbClr val="4EAFAA"/>
            </a:solidFill>
          </c:spPr>
          <c:invertIfNegative val="0"/>
          <c:dLbls>
            <c:spPr>
              <a:noFill/>
              <a:ln>
                <a:noFill/>
              </a:ln>
              <a:effectLst/>
            </c:spPr>
            <c:txPr>
              <a:bodyPr wrap="square" lIns="38100" tIns="19050" rIns="38100" bIns="19050" anchor="ctr" anchorCtr="0">
                <a:spAutoFit/>
              </a:bodyPr>
              <a:lstStyle/>
              <a:p>
                <a:pPr algn="ctr">
                  <a:defRPr lang="en-US" sz="800" b="1" i="0" u="none" strike="noStrike" kern="1200" baseline="0">
                    <a:solidFill>
                      <a:schemeClr val="bg1"/>
                    </a:solidFill>
                    <a:latin typeface="Calibri" panose="020F0502020204030204" pitchFamily="34" charset="0"/>
                    <a:ea typeface="+mn-ea"/>
                    <a:cs typeface="Calibri" panose="020F0502020204030204" pitchFamily="34" charset="0"/>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multiLvlStrRef>
              <c:f>'3.4 openbaar laden'!$K$222:$O$223</c:f>
              <c:multiLvlStrCache>
                <c:ptCount val="5"/>
                <c:lvl>
                  <c:pt idx="0">
                    <c:v>1</c:v>
                  </c:pt>
                  <c:pt idx="1">
                    <c:v>2</c:v>
                  </c:pt>
                  <c:pt idx="2">
                    <c:v>3</c:v>
                  </c:pt>
                  <c:pt idx="3">
                    <c:v>4</c:v>
                  </c:pt>
                  <c:pt idx="4">
                    <c:v>5</c:v>
                  </c:pt>
                </c:lvl>
                <c:lvl>
                  <c:pt idx="0">
                    <c:v>Stedelijkheidsklasse</c:v>
                  </c:pt>
                </c:lvl>
              </c:multiLvlStrCache>
            </c:multiLvlStrRef>
          </c:cat>
          <c:val>
            <c:numRef>
              <c:f>'3.4 openbaar laden'!$K$228:$O$228</c:f>
              <c:numCache>
                <c:formatCode>0%</c:formatCode>
                <c:ptCount val="5"/>
                <c:pt idx="0">
                  <c:v>0.4946236559139785</c:v>
                </c:pt>
                <c:pt idx="1">
                  <c:v>0.34246575342465752</c:v>
                </c:pt>
                <c:pt idx="2">
                  <c:v>0.28000000000000003</c:v>
                </c:pt>
                <c:pt idx="3">
                  <c:v>0.16304347826086957</c:v>
                </c:pt>
                <c:pt idx="4">
                  <c:v>9.3525179856115109E-2</c:v>
                </c:pt>
              </c:numCache>
            </c:numRef>
          </c:val>
          <c:extLst>
            <c:ext xmlns:c16="http://schemas.microsoft.com/office/drawing/2014/chart" uri="{C3380CC4-5D6E-409C-BE32-E72D297353CC}">
              <c16:uniqueId val="{00000006-46B8-41E8-A805-40529E74D74F}"/>
            </c:ext>
          </c:extLst>
        </c:ser>
        <c:ser>
          <c:idx val="5"/>
          <c:order val="5"/>
          <c:tx>
            <c:strRef>
              <c:f>'3.4 openbaar laden'!$J$229</c:f>
              <c:strCache>
                <c:ptCount val="1"/>
                <c:pt idx="0">
                  <c:v>Weet ik niet</c:v>
                </c:pt>
              </c:strCache>
            </c:strRef>
          </c:tx>
          <c:spPr>
            <a:solidFill>
              <a:srgbClr val="696969"/>
            </a:solidFill>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7-46B8-41E8-A805-40529E74D74F}"/>
                </c:ext>
              </c:extLst>
            </c:dLbl>
            <c:spPr>
              <a:noFill/>
              <a:ln>
                <a:noFill/>
              </a:ln>
              <a:effectLst/>
            </c:spPr>
            <c:txPr>
              <a:bodyPr wrap="square" lIns="38100" tIns="19050" rIns="38100" bIns="19050" anchor="ctr" anchorCtr="0">
                <a:spAutoFit/>
              </a:bodyPr>
              <a:lstStyle/>
              <a:p>
                <a:pPr algn="ctr">
                  <a:defRPr lang="en-US" sz="800" b="1" i="0" u="none" strike="noStrike" kern="1200" baseline="0">
                    <a:solidFill>
                      <a:schemeClr val="bg1"/>
                    </a:solidFill>
                    <a:latin typeface="Calibri" panose="020F0502020204030204" pitchFamily="34" charset="0"/>
                    <a:ea typeface="+mn-ea"/>
                    <a:cs typeface="Calibri" panose="020F0502020204030204" pitchFamily="34" charset="0"/>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multiLvlStrRef>
              <c:f>'3.4 openbaar laden'!$K$222:$O$223</c:f>
              <c:multiLvlStrCache>
                <c:ptCount val="5"/>
                <c:lvl>
                  <c:pt idx="0">
                    <c:v>1</c:v>
                  </c:pt>
                  <c:pt idx="1">
                    <c:v>2</c:v>
                  </c:pt>
                  <c:pt idx="2">
                    <c:v>3</c:v>
                  </c:pt>
                  <c:pt idx="3">
                    <c:v>4</c:v>
                  </c:pt>
                  <c:pt idx="4">
                    <c:v>5</c:v>
                  </c:pt>
                </c:lvl>
                <c:lvl>
                  <c:pt idx="0">
                    <c:v>Stedelijkheidsklasse</c:v>
                  </c:pt>
                </c:lvl>
              </c:multiLvlStrCache>
            </c:multiLvlStrRef>
          </c:cat>
          <c:val>
            <c:numRef>
              <c:f>'3.4 openbaar laden'!$K$229:$O$229</c:f>
              <c:numCache>
                <c:formatCode>0%</c:formatCode>
                <c:ptCount val="5"/>
                <c:pt idx="0">
                  <c:v>0</c:v>
                </c:pt>
                <c:pt idx="1">
                  <c:v>2.0547945205479451E-2</c:v>
                </c:pt>
                <c:pt idx="2">
                  <c:v>4.5714285714285714E-2</c:v>
                </c:pt>
                <c:pt idx="3">
                  <c:v>3.8043478260869568E-2</c:v>
                </c:pt>
                <c:pt idx="4">
                  <c:v>4.3165467625899283E-2</c:v>
                </c:pt>
              </c:numCache>
            </c:numRef>
          </c:val>
          <c:extLst>
            <c:ext xmlns:c16="http://schemas.microsoft.com/office/drawing/2014/chart" uri="{C3380CC4-5D6E-409C-BE32-E72D297353CC}">
              <c16:uniqueId val="{00000008-46B8-41E8-A805-40529E74D74F}"/>
            </c:ext>
          </c:extLst>
        </c:ser>
        <c:dLbls>
          <c:showLegendKey val="0"/>
          <c:showVal val="0"/>
          <c:showCatName val="0"/>
          <c:showSerName val="0"/>
          <c:showPercent val="0"/>
          <c:showBubbleSize val="0"/>
        </c:dLbls>
        <c:gapWidth val="150"/>
        <c:overlap val="100"/>
        <c:axId val="658508264"/>
        <c:axId val="658507904"/>
      </c:barChart>
      <c:catAx>
        <c:axId val="65850826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2C307E"/>
                </a:solidFill>
                <a:latin typeface="Calibri" panose="020F0502020204030204" pitchFamily="34" charset="0"/>
                <a:ea typeface="+mn-ea"/>
                <a:cs typeface="Calibri" panose="020F0502020204030204" pitchFamily="34" charset="0"/>
              </a:defRPr>
            </a:pPr>
            <a:endParaRPr lang="nl-NL"/>
          </a:p>
        </c:txPr>
        <c:crossAx val="658507904"/>
        <c:crosses val="autoZero"/>
        <c:auto val="1"/>
        <c:lblAlgn val="ctr"/>
        <c:lblOffset val="100"/>
        <c:noMultiLvlLbl val="0"/>
      </c:catAx>
      <c:valAx>
        <c:axId val="658507904"/>
        <c:scaling>
          <c:orientation val="minMax"/>
          <c:max val="1"/>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2C307E"/>
                </a:solidFill>
                <a:latin typeface="Calibri" panose="020F0502020204030204" pitchFamily="34" charset="0"/>
                <a:ea typeface="+mn-ea"/>
                <a:cs typeface="Calibri" panose="020F0502020204030204" pitchFamily="34" charset="0"/>
              </a:defRPr>
            </a:pPr>
            <a:endParaRPr lang="nl-NL"/>
          </a:p>
        </c:txPr>
        <c:crossAx val="658508264"/>
        <c:crosses val="autoZero"/>
        <c:crossBetween val="between"/>
      </c:valAx>
      <c:spPr>
        <a:noFill/>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rgbClr val="2C307E"/>
              </a:solidFill>
              <a:latin typeface="Calibri" panose="020F0502020204030204" pitchFamily="34" charset="0"/>
              <a:ea typeface="+mn-ea"/>
              <a:cs typeface="Calibri" panose="020F0502020204030204" pitchFamily="34" charset="0"/>
            </a:defRPr>
          </a:pPr>
          <a:endParaRPr lang="nl-NL"/>
        </a:p>
      </c:txPr>
    </c:legend>
    <c:plotVisOnly val="1"/>
    <c:dispBlanksAs val="gap"/>
    <c:showDLblsOverMax val="0"/>
  </c:chart>
  <c:spPr>
    <a:noFill/>
    <a:ln>
      <a:noFill/>
    </a:ln>
  </c:spPr>
  <c:txPr>
    <a:bodyPr/>
    <a:lstStyle/>
    <a:p>
      <a:pPr>
        <a:defRPr>
          <a:solidFill>
            <a:srgbClr val="2C307E"/>
          </a:solidFill>
        </a:defRPr>
      </a:pPr>
      <a:endParaRPr lang="nl-NL"/>
    </a:p>
  </c:txPr>
  <c:externalData r:id="rId1">
    <c:autoUpdate val="0"/>
  </c:externalData>
</c:chartSpace>
</file>

<file path=word/charts/chart6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rgbClr val="2C307E"/>
                </a:solidFill>
                <a:latin typeface="+mn-lt"/>
                <a:ea typeface="+mn-ea"/>
                <a:cs typeface="+mn-cs"/>
              </a:defRPr>
            </a:pPr>
            <a:r>
              <a:rPr lang="nl-NL" sz="1100">
                <a:solidFill>
                  <a:srgbClr val="2C307E"/>
                </a:solidFill>
              </a:rPr>
              <a:t>Als je gaat laden bij een openbare laadpaal in de buurt van je woning, hoe vaak is deze beschikbaar?</a:t>
            </a:r>
          </a:p>
        </c:rich>
      </c:tx>
      <c:overlay val="0"/>
      <c:spPr>
        <a:noFill/>
        <a:ln>
          <a:noFill/>
        </a:ln>
        <a:effectLst/>
      </c:spPr>
    </c:title>
    <c:autoTitleDeleted val="0"/>
    <c:plotArea>
      <c:layout/>
      <c:barChart>
        <c:barDir val="col"/>
        <c:grouping val="clustered"/>
        <c:varyColors val="0"/>
        <c:ser>
          <c:idx val="0"/>
          <c:order val="0"/>
          <c:tx>
            <c:strRef>
              <c:f>'3.4 openbaar laden'!$G$75</c:f>
              <c:strCache>
                <c:ptCount val="1"/>
                <c:pt idx="0">
                  <c:v>2022</c:v>
                </c:pt>
              </c:strCache>
            </c:strRef>
          </c:tx>
          <c:spPr>
            <a:solidFill>
              <a:srgbClr val="C9C743"/>
            </a:solidFill>
            <a:ln>
              <a:noFill/>
            </a:ln>
            <a:effectLst/>
          </c:spPr>
          <c:invertIfNegative val="0"/>
          <c:cat>
            <c:strRef>
              <c:f>'3.4 openbaar laden'!$B$76:$B$80</c:f>
              <c:strCache>
                <c:ptCount val="5"/>
                <c:pt idx="0">
                  <c:v>Altijd (10/10 keer)</c:v>
                </c:pt>
                <c:pt idx="1">
                  <c:v>Meestal (9/10 keer)</c:v>
                </c:pt>
                <c:pt idx="2">
                  <c:v>Regelmatig (6/10 keer)</c:v>
                </c:pt>
                <c:pt idx="3">
                  <c:v>Af en toe (4/10 keer)</c:v>
                </c:pt>
                <c:pt idx="4">
                  <c:v>Bijna niet (1/10 keer)</c:v>
                </c:pt>
              </c:strCache>
            </c:strRef>
          </c:cat>
          <c:val>
            <c:numRef>
              <c:f>'3.4 openbaar laden'!$G$76:$G$80</c:f>
              <c:numCache>
                <c:formatCode>0%</c:formatCode>
                <c:ptCount val="5"/>
                <c:pt idx="0">
                  <c:v>0.08</c:v>
                </c:pt>
                <c:pt idx="1">
                  <c:v>0.38</c:v>
                </c:pt>
                <c:pt idx="2">
                  <c:v>0.39</c:v>
                </c:pt>
                <c:pt idx="3">
                  <c:v>0.11</c:v>
                </c:pt>
                <c:pt idx="4">
                  <c:v>0.04</c:v>
                </c:pt>
              </c:numCache>
            </c:numRef>
          </c:val>
          <c:extLst>
            <c:ext xmlns:c16="http://schemas.microsoft.com/office/drawing/2014/chart" uri="{C3380CC4-5D6E-409C-BE32-E72D297353CC}">
              <c16:uniqueId val="{00000000-69A0-47B5-A1ED-5696A3D130F7}"/>
            </c:ext>
          </c:extLst>
        </c:ser>
        <c:ser>
          <c:idx val="1"/>
          <c:order val="1"/>
          <c:tx>
            <c:strRef>
              <c:f>'3.4 openbaar laden'!$H$75</c:f>
              <c:strCache>
                <c:ptCount val="1"/>
                <c:pt idx="0">
                  <c:v>2023</c:v>
                </c:pt>
              </c:strCache>
            </c:strRef>
          </c:tx>
          <c:spPr>
            <a:solidFill>
              <a:srgbClr val="2C307E"/>
            </a:solidFill>
          </c:spPr>
          <c:invertIfNegative val="0"/>
          <c:cat>
            <c:strRef>
              <c:f>'3.4 openbaar laden'!$B$76:$B$80</c:f>
              <c:strCache>
                <c:ptCount val="5"/>
                <c:pt idx="0">
                  <c:v>Altijd (10/10 keer)</c:v>
                </c:pt>
                <c:pt idx="1">
                  <c:v>Meestal (9/10 keer)</c:v>
                </c:pt>
                <c:pt idx="2">
                  <c:v>Regelmatig (6/10 keer)</c:v>
                </c:pt>
                <c:pt idx="3">
                  <c:v>Af en toe (4/10 keer)</c:v>
                </c:pt>
                <c:pt idx="4">
                  <c:v>Bijna niet (1/10 keer)</c:v>
                </c:pt>
              </c:strCache>
            </c:strRef>
          </c:cat>
          <c:val>
            <c:numRef>
              <c:f>'3.4 openbaar laden'!$H$76:$H$80</c:f>
              <c:numCache>
                <c:formatCode>0%</c:formatCode>
                <c:ptCount val="5"/>
                <c:pt idx="0">
                  <c:v>0.06</c:v>
                </c:pt>
                <c:pt idx="1">
                  <c:v>0.43</c:v>
                </c:pt>
                <c:pt idx="2">
                  <c:v>0.39</c:v>
                </c:pt>
                <c:pt idx="3">
                  <c:v>0.09</c:v>
                </c:pt>
                <c:pt idx="4">
                  <c:v>0.03</c:v>
                </c:pt>
              </c:numCache>
            </c:numRef>
          </c:val>
          <c:extLst>
            <c:ext xmlns:c16="http://schemas.microsoft.com/office/drawing/2014/chart" uri="{C3380CC4-5D6E-409C-BE32-E72D297353CC}">
              <c16:uniqueId val="{00000001-69A0-47B5-A1ED-5696A3D130F7}"/>
            </c:ext>
          </c:extLst>
        </c:ser>
        <c:ser>
          <c:idx val="2"/>
          <c:order val="2"/>
          <c:tx>
            <c:strRef>
              <c:f>'3.4 openbaar laden'!$I$75</c:f>
              <c:strCache>
                <c:ptCount val="1"/>
                <c:pt idx="0">
                  <c:v>2024</c:v>
                </c:pt>
              </c:strCache>
            </c:strRef>
          </c:tx>
          <c:spPr>
            <a:solidFill>
              <a:srgbClr val="08B466"/>
            </a:solidFill>
          </c:spPr>
          <c:invertIfNegative val="0"/>
          <c:cat>
            <c:strRef>
              <c:f>'3.4 openbaar laden'!$B$76:$B$80</c:f>
              <c:strCache>
                <c:ptCount val="5"/>
                <c:pt idx="0">
                  <c:v>Altijd (10/10 keer)</c:v>
                </c:pt>
                <c:pt idx="1">
                  <c:v>Meestal (9/10 keer)</c:v>
                </c:pt>
                <c:pt idx="2">
                  <c:v>Regelmatig (6/10 keer)</c:v>
                </c:pt>
                <c:pt idx="3">
                  <c:v>Af en toe (4/10 keer)</c:v>
                </c:pt>
                <c:pt idx="4">
                  <c:v>Bijna niet (1/10 keer)</c:v>
                </c:pt>
              </c:strCache>
            </c:strRef>
          </c:cat>
          <c:val>
            <c:numRef>
              <c:f>'3.4 openbaar laden'!$I$76:$I$80</c:f>
              <c:numCache>
                <c:formatCode>0%</c:formatCode>
                <c:ptCount val="5"/>
                <c:pt idx="0">
                  <c:v>0.09</c:v>
                </c:pt>
                <c:pt idx="1">
                  <c:v>0.46</c:v>
                </c:pt>
                <c:pt idx="2">
                  <c:v>0.35</c:v>
                </c:pt>
                <c:pt idx="3">
                  <c:v>0.08</c:v>
                </c:pt>
                <c:pt idx="4">
                  <c:v>0.02</c:v>
                </c:pt>
              </c:numCache>
            </c:numRef>
          </c:val>
          <c:extLst>
            <c:ext xmlns:c16="http://schemas.microsoft.com/office/drawing/2014/chart" uri="{C3380CC4-5D6E-409C-BE32-E72D297353CC}">
              <c16:uniqueId val="{00000002-69A0-47B5-A1ED-5696A3D130F7}"/>
            </c:ext>
          </c:extLst>
        </c:ser>
        <c:ser>
          <c:idx val="3"/>
          <c:order val="3"/>
          <c:tx>
            <c:strRef>
              <c:f>'3.4 openbaar laden'!$J$75</c:f>
              <c:strCache>
                <c:ptCount val="1"/>
                <c:pt idx="0">
                  <c:v>2025</c:v>
                </c:pt>
              </c:strCache>
            </c:strRef>
          </c:tx>
          <c:spPr>
            <a:solidFill>
              <a:srgbClr val="BAD6ED"/>
            </a:solidFill>
          </c:spPr>
          <c:invertIfNegative val="0"/>
          <c:dLbls>
            <c:spPr>
              <a:noFill/>
              <a:ln>
                <a:noFill/>
              </a:ln>
              <a:effectLst/>
            </c:spPr>
            <c:txPr>
              <a:bodyPr wrap="square" lIns="38100" tIns="19050" rIns="38100" bIns="19050" anchor="ctr">
                <a:spAutoFit/>
              </a:bodyPr>
              <a:lstStyle/>
              <a:p>
                <a:pPr>
                  <a:defRPr sz="800" b="1">
                    <a:solidFill>
                      <a:srgbClr val="2C307E"/>
                    </a:solidFill>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'3.4 openbaar laden'!$B$76:$B$80</c:f>
              <c:strCache>
                <c:ptCount val="5"/>
                <c:pt idx="0">
                  <c:v>Altijd (10/10 keer)</c:v>
                </c:pt>
                <c:pt idx="1">
                  <c:v>Meestal (9/10 keer)</c:v>
                </c:pt>
                <c:pt idx="2">
                  <c:v>Regelmatig (6/10 keer)</c:v>
                </c:pt>
                <c:pt idx="3">
                  <c:v>Af en toe (4/10 keer)</c:v>
                </c:pt>
                <c:pt idx="4">
                  <c:v>Bijna niet (1/10 keer)</c:v>
                </c:pt>
              </c:strCache>
            </c:strRef>
          </c:cat>
          <c:val>
            <c:numRef>
              <c:f>'3.4 openbaar laden'!$J$76:$J$80</c:f>
              <c:numCache>
                <c:formatCode>0%</c:formatCode>
                <c:ptCount val="5"/>
                <c:pt idx="0">
                  <c:v>0.10957324106113034</c:v>
                </c:pt>
                <c:pt idx="1">
                  <c:v>0.48442906574394462</c:v>
                </c:pt>
                <c:pt idx="2">
                  <c:v>0.32871972318339099</c:v>
                </c:pt>
                <c:pt idx="3">
                  <c:v>6.4590542099192613E-2</c:v>
                </c:pt>
                <c:pt idx="4">
                  <c:v>1.2687427912341407E-2</c:v>
                </c:pt>
              </c:numCache>
            </c:numRef>
          </c:val>
          <c:extLst>
            <c:ext xmlns:c16="http://schemas.microsoft.com/office/drawing/2014/chart" uri="{C3380CC4-5D6E-409C-BE32-E72D297353CC}">
              <c16:uniqueId val="{00000003-69A0-47B5-A1ED-5696A3D130F7}"/>
            </c:ext>
          </c:extLst>
        </c:ser>
        <c:dLbls>
          <c:showLegendKey val="0"/>
          <c:showVal val="0"/>
          <c:showCatName val="0"/>
          <c:showSerName val="0"/>
          <c:showPercent val="0"/>
          <c:showBubbleSize val="0"/>
        </c:dLbls>
        <c:gapWidth val="219"/>
        <c:overlap val="-27"/>
        <c:axId val="859086912"/>
        <c:axId val="859090872"/>
      </c:barChart>
      <c:catAx>
        <c:axId val="8590869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2C307E"/>
                </a:solidFill>
                <a:latin typeface="+mn-lt"/>
                <a:ea typeface="+mn-ea"/>
                <a:cs typeface="+mn-cs"/>
              </a:defRPr>
            </a:pPr>
            <a:endParaRPr lang="nl-NL"/>
          </a:p>
        </c:txPr>
        <c:crossAx val="859090872"/>
        <c:crosses val="autoZero"/>
        <c:auto val="1"/>
        <c:lblAlgn val="ctr"/>
        <c:lblOffset val="100"/>
        <c:noMultiLvlLbl val="0"/>
      </c:catAx>
      <c:valAx>
        <c:axId val="859090872"/>
        <c:scaling>
          <c:orientation val="minMax"/>
          <c:max val="0.5"/>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2C307E"/>
                </a:solidFill>
                <a:latin typeface="+mn-lt"/>
                <a:ea typeface="+mn-ea"/>
                <a:cs typeface="+mn-cs"/>
              </a:defRPr>
            </a:pPr>
            <a:endParaRPr lang="nl-NL"/>
          </a:p>
        </c:txPr>
        <c:crossAx val="859086912"/>
        <c:crosses val="autoZero"/>
        <c:crossBetween val="between"/>
        <c:majorUnit val="0.1"/>
      </c:valAx>
      <c:spPr>
        <a:ln>
          <a:noFill/>
        </a:ln>
      </c:spPr>
    </c:plotArea>
    <c:legend>
      <c:legendPos val="b"/>
      <c:overlay val="0"/>
      <c:txPr>
        <a:bodyPr/>
        <a:lstStyle/>
        <a:p>
          <a:pPr algn="ctr">
            <a:defRPr lang="en-US" sz="900" b="0" i="0" u="none" strike="noStrike" kern="1200" baseline="0">
              <a:solidFill>
                <a:srgbClr val="2C307E"/>
              </a:solidFill>
              <a:latin typeface="+mn-lt"/>
              <a:ea typeface="+mn-ea"/>
              <a:cs typeface="+mn-cs"/>
            </a:defRPr>
          </a:pPr>
          <a:endParaRPr lang="nl-NL"/>
        </a:p>
      </c:txPr>
    </c:legend>
    <c:plotVisOnly val="1"/>
    <c:dispBlanksAs val="gap"/>
    <c:showDLblsOverMax val="0"/>
    <c:extLst/>
  </c:chart>
  <c:spPr>
    <a:noFill/>
    <a:ln>
      <a:noFill/>
    </a:ln>
  </c:spPr>
  <c:txPr>
    <a:bodyPr/>
    <a:lstStyle/>
    <a:p>
      <a:pPr>
        <a:defRPr/>
      </a:pPr>
      <a:endParaRPr lang="nl-NL"/>
    </a:p>
  </c:txPr>
  <c:externalData r:id="rId1">
    <c:autoUpdate val="0"/>
  </c:externalData>
</c:chartSpace>
</file>

<file path=word/charts/chart6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rgbClr val="2C307E"/>
                </a:solidFill>
                <a:latin typeface="Calibri" panose="020F0502020204030204" pitchFamily="34" charset="0"/>
                <a:ea typeface="+mn-ea"/>
                <a:cs typeface="Calibri" panose="020F0502020204030204" pitchFamily="34" charset="0"/>
              </a:defRPr>
            </a:pPr>
            <a:r>
              <a:rPr lang="nl-NL" sz="1100">
                <a:latin typeface="Calibri" panose="020F0502020204030204" pitchFamily="34" charset="0"/>
                <a:cs typeface="Calibri" panose="020F0502020204030204" pitchFamily="34" charset="0"/>
              </a:rPr>
              <a:t>Was er al een openbare</a:t>
            </a:r>
            <a:r>
              <a:rPr lang="nl-NL" sz="1100" baseline="0">
                <a:latin typeface="Calibri" panose="020F0502020204030204" pitchFamily="34" charset="0"/>
                <a:cs typeface="Calibri" panose="020F0502020204030204" pitchFamily="34" charset="0"/>
              </a:rPr>
              <a:t> laadpaal aanwezig voordat je besloot elektrisch te rijden?</a:t>
            </a:r>
          </a:p>
          <a:p>
            <a:pPr>
              <a:defRPr sz="1100" b="0" i="0" u="none" strike="noStrike" kern="1200" spc="0" baseline="0">
                <a:solidFill>
                  <a:srgbClr val="2C307E"/>
                </a:solidFill>
                <a:latin typeface="Calibri" panose="020F0502020204030204" pitchFamily="34" charset="0"/>
                <a:ea typeface="+mn-ea"/>
                <a:cs typeface="Calibri" panose="020F0502020204030204" pitchFamily="34" charset="0"/>
              </a:defRPr>
            </a:pPr>
            <a:r>
              <a:rPr lang="nl-NL" sz="1100" baseline="0">
                <a:latin typeface="Calibri" panose="020F0502020204030204" pitchFamily="34" charset="0"/>
                <a:cs typeface="Calibri" panose="020F0502020204030204" pitchFamily="34" charset="0"/>
              </a:rPr>
              <a:t>naar startjaar</a:t>
            </a:r>
            <a:endParaRPr lang="nl-NL" sz="1100">
              <a:latin typeface="Calibri" panose="020F0502020204030204" pitchFamily="34" charset="0"/>
              <a:cs typeface="Calibri" panose="020F0502020204030204" pitchFamily="34" charset="0"/>
            </a:endParaRPr>
          </a:p>
        </c:rich>
      </c:tx>
      <c:overlay val="0"/>
      <c:spPr>
        <a:noFill/>
        <a:ln>
          <a:noFill/>
        </a:ln>
        <a:effectLst/>
      </c:spPr>
    </c:title>
    <c:autoTitleDeleted val="0"/>
    <c:plotArea>
      <c:layout>
        <c:manualLayout>
          <c:layoutTarget val="inner"/>
          <c:xMode val="edge"/>
          <c:yMode val="edge"/>
          <c:x val="0.17967065451108424"/>
          <c:y val="0.29055785858534811"/>
          <c:w val="0.71962403551779841"/>
          <c:h val="0.57510959193360056"/>
        </c:manualLayout>
      </c:layout>
      <c:barChart>
        <c:barDir val="bar"/>
        <c:grouping val="stacked"/>
        <c:varyColors val="0"/>
        <c:ser>
          <c:idx val="0"/>
          <c:order val="0"/>
          <c:tx>
            <c:strRef>
              <c:f>'3.4 openbaar laden'!$G$101</c:f>
              <c:strCache>
                <c:ptCount val="1"/>
                <c:pt idx="0">
                  <c:v>Ja</c:v>
                </c:pt>
              </c:strCache>
            </c:strRef>
          </c:tx>
          <c:spPr>
            <a:solidFill>
              <a:srgbClr val="2C307E"/>
            </a:solidFill>
            <a:ln>
              <a:solidFill>
                <a:srgbClr val="2C307E"/>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bg1"/>
                    </a:solidFill>
                    <a:latin typeface="Calibri" panose="020F0502020204030204" pitchFamily="34" charset="0"/>
                    <a:ea typeface="+mn-ea"/>
                    <a:cs typeface="Calibri" panose="020F0502020204030204" pitchFamily="34" charset="0"/>
                  </a:defRPr>
                </a:pPr>
                <a:endParaRPr lang="nl-N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'3.4 openbaar laden'!$B$102:$B$110</c:f>
              <c:strCache>
                <c:ptCount val="9"/>
                <c:pt idx="0">
                  <c:v>2025</c:v>
                </c:pt>
                <c:pt idx="1">
                  <c:v>2024</c:v>
                </c:pt>
                <c:pt idx="2">
                  <c:v>2023</c:v>
                </c:pt>
                <c:pt idx="3">
                  <c:v>2022</c:v>
                </c:pt>
                <c:pt idx="4">
                  <c:v>2021</c:v>
                </c:pt>
                <c:pt idx="5">
                  <c:v>2020</c:v>
                </c:pt>
                <c:pt idx="6">
                  <c:v>2019</c:v>
                </c:pt>
                <c:pt idx="7">
                  <c:v>2018</c:v>
                </c:pt>
                <c:pt idx="8">
                  <c:v>&lt;2018</c:v>
                </c:pt>
              </c:strCache>
            </c:strRef>
          </c:cat>
          <c:val>
            <c:numRef>
              <c:f>'3.4 openbaar laden'!$G$102:$G$110</c:f>
              <c:numCache>
                <c:formatCode>0%</c:formatCode>
                <c:ptCount val="9"/>
                <c:pt idx="0">
                  <c:v>0.93069306930693074</c:v>
                </c:pt>
                <c:pt idx="1">
                  <c:v>0.8423645320197044</c:v>
                </c:pt>
                <c:pt idx="2">
                  <c:v>0.78857142857142859</c:v>
                </c:pt>
                <c:pt idx="3">
                  <c:v>0.75182481751824815</c:v>
                </c:pt>
                <c:pt idx="4">
                  <c:v>0.75384615384615383</c:v>
                </c:pt>
                <c:pt idx="5">
                  <c:v>0.59482758620689657</c:v>
                </c:pt>
                <c:pt idx="6">
                  <c:v>0.73076923076923073</c:v>
                </c:pt>
                <c:pt idx="7">
                  <c:v>0.5161290322580645</c:v>
                </c:pt>
                <c:pt idx="8">
                  <c:v>0.35526315789473684</c:v>
                </c:pt>
              </c:numCache>
            </c:numRef>
          </c:val>
          <c:extLst>
            <c:ext xmlns:c16="http://schemas.microsoft.com/office/drawing/2014/chart" uri="{C3380CC4-5D6E-409C-BE32-E72D297353CC}">
              <c16:uniqueId val="{00000000-D467-43B9-8C41-BB76C3204AD8}"/>
            </c:ext>
          </c:extLst>
        </c:ser>
        <c:ser>
          <c:idx val="1"/>
          <c:order val="1"/>
          <c:tx>
            <c:strRef>
              <c:f>'3.4 openbaar laden'!$H$101</c:f>
              <c:strCache>
                <c:ptCount val="1"/>
                <c:pt idx="0">
                  <c:v>Nee</c:v>
                </c:pt>
              </c:strCache>
            </c:strRef>
          </c:tx>
          <c:spPr>
            <a:solidFill>
              <a:srgbClr val="08B466"/>
            </a:solidFill>
            <a:ln>
              <a:solidFill>
                <a:srgbClr val="08B466"/>
              </a:solidFill>
            </a:ln>
            <a:effectLst/>
          </c:spPr>
          <c:invertIfNegative val="0"/>
          <c:cat>
            <c:strRef>
              <c:f>'3.4 openbaar laden'!$B$102:$B$110</c:f>
              <c:strCache>
                <c:ptCount val="9"/>
                <c:pt idx="0">
                  <c:v>2025</c:v>
                </c:pt>
                <c:pt idx="1">
                  <c:v>2024</c:v>
                </c:pt>
                <c:pt idx="2">
                  <c:v>2023</c:v>
                </c:pt>
                <c:pt idx="3">
                  <c:v>2022</c:v>
                </c:pt>
                <c:pt idx="4">
                  <c:v>2021</c:v>
                </c:pt>
                <c:pt idx="5">
                  <c:v>2020</c:v>
                </c:pt>
                <c:pt idx="6">
                  <c:v>2019</c:v>
                </c:pt>
                <c:pt idx="7">
                  <c:v>2018</c:v>
                </c:pt>
                <c:pt idx="8">
                  <c:v>&lt;2018</c:v>
                </c:pt>
              </c:strCache>
            </c:strRef>
          </c:cat>
          <c:val>
            <c:numRef>
              <c:f>'3.4 openbaar laden'!$H$102:$H$110</c:f>
              <c:numCache>
                <c:formatCode>0%</c:formatCode>
                <c:ptCount val="9"/>
                <c:pt idx="0">
                  <c:v>6.9306930693069313E-2</c:v>
                </c:pt>
                <c:pt idx="1">
                  <c:v>0.15763546798029557</c:v>
                </c:pt>
                <c:pt idx="2">
                  <c:v>0.21142857142857144</c:v>
                </c:pt>
                <c:pt idx="3">
                  <c:v>0.24817518248175183</c:v>
                </c:pt>
                <c:pt idx="4">
                  <c:v>0.24615384615384617</c:v>
                </c:pt>
                <c:pt idx="5">
                  <c:v>0.40517241379310343</c:v>
                </c:pt>
                <c:pt idx="6">
                  <c:v>0.26923076923076922</c:v>
                </c:pt>
                <c:pt idx="7">
                  <c:v>0.4838709677419355</c:v>
                </c:pt>
                <c:pt idx="8">
                  <c:v>0.64473684210526316</c:v>
                </c:pt>
              </c:numCache>
            </c:numRef>
          </c:val>
          <c:extLst>
            <c:ext xmlns:c16="http://schemas.microsoft.com/office/drawing/2014/chart" uri="{C3380CC4-5D6E-409C-BE32-E72D297353CC}">
              <c16:uniqueId val="{00000001-D467-43B9-8C41-BB76C3204AD8}"/>
            </c:ext>
          </c:extLst>
        </c:ser>
        <c:dLbls>
          <c:showLegendKey val="0"/>
          <c:showVal val="0"/>
          <c:showCatName val="0"/>
          <c:showSerName val="0"/>
          <c:showPercent val="0"/>
          <c:showBubbleSize val="0"/>
        </c:dLbls>
        <c:gapWidth val="150"/>
        <c:overlap val="100"/>
        <c:axId val="658508264"/>
        <c:axId val="658507904"/>
      </c:barChart>
      <c:catAx>
        <c:axId val="65850826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2C307E"/>
                </a:solidFill>
                <a:latin typeface="Calibri" panose="020F0502020204030204" pitchFamily="34" charset="0"/>
                <a:ea typeface="+mn-ea"/>
                <a:cs typeface="Calibri" panose="020F0502020204030204" pitchFamily="34" charset="0"/>
              </a:defRPr>
            </a:pPr>
            <a:endParaRPr lang="nl-NL"/>
          </a:p>
        </c:txPr>
        <c:crossAx val="658507904"/>
        <c:crosses val="autoZero"/>
        <c:auto val="1"/>
        <c:lblAlgn val="ctr"/>
        <c:lblOffset val="100"/>
        <c:noMultiLvlLbl val="0"/>
      </c:catAx>
      <c:valAx>
        <c:axId val="658507904"/>
        <c:scaling>
          <c:orientation val="minMax"/>
          <c:max val="1"/>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2C307E"/>
                </a:solidFill>
                <a:latin typeface="Calibri" panose="020F0502020204030204" pitchFamily="34" charset="0"/>
                <a:ea typeface="+mn-ea"/>
                <a:cs typeface="Calibri" panose="020F0502020204030204" pitchFamily="34" charset="0"/>
              </a:defRPr>
            </a:pPr>
            <a:endParaRPr lang="nl-NL"/>
          </a:p>
        </c:txPr>
        <c:crossAx val="658508264"/>
        <c:crosses val="autoZero"/>
        <c:crossBetween val="between"/>
        <c:majorUnit val="0.2"/>
      </c:valAx>
    </c:plotArea>
    <c:legend>
      <c:legendPos val="b"/>
      <c:layout>
        <c:manualLayout>
          <c:xMode val="edge"/>
          <c:yMode val="edge"/>
          <c:x val="0.38506045783014564"/>
          <c:y val="0.93064443097469696"/>
          <c:w val="0.23944350930308747"/>
          <c:h val="6.2006680544685729E-2"/>
        </c:manualLayout>
      </c:layout>
      <c:overlay val="0"/>
      <c:spPr>
        <a:noFill/>
        <a:ln>
          <a:noFill/>
        </a:ln>
        <a:effectLst/>
      </c:spPr>
      <c:txPr>
        <a:bodyPr rot="0" spcFirstLastPara="1" vertOverflow="ellipsis" vert="horz" wrap="square" anchor="ctr" anchorCtr="1"/>
        <a:lstStyle/>
        <a:p>
          <a:pPr>
            <a:defRPr sz="900" b="0" i="0" u="none" strike="noStrike" kern="1200" baseline="0">
              <a:solidFill>
                <a:srgbClr val="2C307E"/>
              </a:solidFill>
              <a:latin typeface="Calibri" panose="020F0502020204030204" pitchFamily="34" charset="0"/>
              <a:ea typeface="+mn-ea"/>
              <a:cs typeface="Calibri" panose="020F0502020204030204" pitchFamily="34" charset="0"/>
            </a:defRPr>
          </a:pPr>
          <a:endParaRPr lang="nl-NL"/>
        </a:p>
      </c:txPr>
    </c:legend>
    <c:plotVisOnly val="1"/>
    <c:dispBlanksAs val="gap"/>
    <c:showDLblsOverMax val="0"/>
  </c:chart>
  <c:spPr>
    <a:noFill/>
    <a:ln>
      <a:noFill/>
    </a:ln>
  </c:spPr>
  <c:txPr>
    <a:bodyPr/>
    <a:lstStyle/>
    <a:p>
      <a:pPr>
        <a:defRPr>
          <a:solidFill>
            <a:srgbClr val="2C307E"/>
          </a:solidFill>
        </a:defRPr>
      </a:pPr>
      <a:endParaRPr lang="nl-NL"/>
    </a:p>
  </c:txPr>
  <c:externalData r:id="rId1">
    <c:autoUpdate val="0"/>
  </c:externalData>
</c:chartSpace>
</file>

<file path=word/charts/chart6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rgbClr val="2C307E"/>
                </a:solidFill>
                <a:latin typeface="+mn-lt"/>
                <a:ea typeface="+mn-ea"/>
                <a:cs typeface="+mn-cs"/>
              </a:defRPr>
            </a:pPr>
            <a:r>
              <a:rPr lang="nl-NL" sz="1100" b="0" i="0" u="none" strike="noStrike" kern="1200" spc="0" baseline="0">
                <a:solidFill>
                  <a:srgbClr val="2C307E"/>
                </a:solidFill>
                <a:latin typeface="Calibri" panose="020F0502020204030204" pitchFamily="34" charset="0"/>
                <a:cs typeface="Calibri" panose="020F0502020204030204" pitchFamily="34" charset="0"/>
              </a:rPr>
              <a:t>Wanneer ik klaar ben met laden verplaats ik mijn auto zo snel mogelijk. </a:t>
            </a:r>
          </a:p>
        </c:rich>
      </c:tx>
      <c:overlay val="0"/>
      <c:spPr>
        <a:noFill/>
        <a:ln>
          <a:noFill/>
        </a:ln>
        <a:effectLst/>
      </c:spPr>
    </c:title>
    <c:autoTitleDeleted val="0"/>
    <c:plotArea>
      <c:layout/>
      <c:barChart>
        <c:barDir val="col"/>
        <c:grouping val="clustered"/>
        <c:varyColors val="0"/>
        <c:ser>
          <c:idx val="0"/>
          <c:order val="0"/>
          <c:tx>
            <c:strRef>
              <c:f>'3.4 openbaar laden'!$J$27</c:f>
              <c:strCache>
                <c:ptCount val="1"/>
                <c:pt idx="0">
                  <c:v>Wanneer ik klaar ben met laden verplaats ik mijn auto zo snel mogelijk. </c:v>
                </c:pt>
              </c:strCache>
            </c:strRef>
          </c:tx>
          <c:spPr>
            <a:solidFill>
              <a:srgbClr val="C9C743"/>
            </a:solidFill>
            <a:ln>
              <a:noFill/>
            </a:ln>
            <a:effectLst/>
          </c:spPr>
          <c:invertIfNegative val="0"/>
          <c:dLbls>
            <c:spPr>
              <a:noFill/>
              <a:ln>
                <a:noFill/>
              </a:ln>
              <a:effectLst/>
            </c:spPr>
            <c:txPr>
              <a:bodyPr wrap="square" lIns="38100" tIns="19050" rIns="38100" bIns="19050" anchor="ctr" anchorCtr="0">
                <a:spAutoFit/>
              </a:bodyPr>
              <a:lstStyle/>
              <a:p>
                <a:pPr algn="ctr">
                  <a:defRPr lang="en-US" sz="800" b="1" i="0" u="none" strike="noStrike" kern="1200" baseline="0">
                    <a:solidFill>
                      <a:srgbClr val="4EAFAA"/>
                    </a:solidFill>
                    <a:latin typeface="+mn-lt"/>
                    <a:ea typeface="+mn-ea"/>
                    <a:cs typeface="+mn-cs"/>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'3.4 openbaar laden'!$L$26:$P$26</c:f>
              <c:strCache>
                <c:ptCount val="5"/>
                <c:pt idx="0">
                  <c:v>Helemaal mee oneens</c:v>
                </c:pt>
                <c:pt idx="1">
                  <c:v>Mee oneens</c:v>
                </c:pt>
                <c:pt idx="2">
                  <c:v>Neutraal</c:v>
                </c:pt>
                <c:pt idx="3">
                  <c:v>Mee eens</c:v>
                </c:pt>
                <c:pt idx="4">
                  <c:v>Helemaal mee eens</c:v>
                </c:pt>
              </c:strCache>
            </c:strRef>
          </c:cat>
          <c:val>
            <c:numRef>
              <c:f>'3.4 openbaar laden'!$L$27:$P$27</c:f>
              <c:numCache>
                <c:formatCode>0%</c:formatCode>
                <c:ptCount val="5"/>
                <c:pt idx="0">
                  <c:v>4.0976460331299043E-2</c:v>
                </c:pt>
                <c:pt idx="1">
                  <c:v>9.1543156059285091E-2</c:v>
                </c:pt>
                <c:pt idx="2">
                  <c:v>0.13862249346120314</c:v>
                </c:pt>
                <c:pt idx="3">
                  <c:v>0.43156059285091541</c:v>
                </c:pt>
                <c:pt idx="4">
                  <c:v>0.29729729729729731</c:v>
                </c:pt>
              </c:numCache>
            </c:numRef>
          </c:val>
          <c:extLst>
            <c:ext xmlns:c16="http://schemas.microsoft.com/office/drawing/2014/chart" uri="{C3380CC4-5D6E-409C-BE32-E72D297353CC}">
              <c16:uniqueId val="{00000000-0F71-4368-A3CC-27C24C3ED441}"/>
            </c:ext>
          </c:extLst>
        </c:ser>
        <c:dLbls>
          <c:showLegendKey val="0"/>
          <c:showVal val="0"/>
          <c:showCatName val="0"/>
          <c:showSerName val="0"/>
          <c:showPercent val="0"/>
          <c:showBubbleSize val="0"/>
        </c:dLbls>
        <c:gapWidth val="219"/>
        <c:overlap val="-27"/>
        <c:axId val="859086912"/>
        <c:axId val="859090872"/>
      </c:barChart>
      <c:catAx>
        <c:axId val="8590869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2C307E"/>
                </a:solidFill>
                <a:latin typeface="+mn-lt"/>
                <a:ea typeface="+mn-ea"/>
                <a:cs typeface="+mn-cs"/>
              </a:defRPr>
            </a:pPr>
            <a:endParaRPr lang="nl-NL"/>
          </a:p>
        </c:txPr>
        <c:crossAx val="859090872"/>
        <c:crosses val="autoZero"/>
        <c:auto val="1"/>
        <c:lblAlgn val="ctr"/>
        <c:lblOffset val="100"/>
        <c:noMultiLvlLbl val="0"/>
      </c:catAx>
      <c:valAx>
        <c:axId val="859090872"/>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2C307E"/>
                </a:solidFill>
                <a:latin typeface="+mn-lt"/>
                <a:ea typeface="+mn-ea"/>
                <a:cs typeface="+mn-cs"/>
              </a:defRPr>
            </a:pPr>
            <a:endParaRPr lang="nl-NL"/>
          </a:p>
        </c:txPr>
        <c:crossAx val="859086912"/>
        <c:crosses val="autoZero"/>
        <c:crossBetween val="between"/>
        <c:majorUnit val="0.1"/>
      </c:valAx>
      <c:spPr>
        <a:noFill/>
        <a:ln>
          <a:noFill/>
        </a:ln>
      </c:spPr>
    </c:plotArea>
    <c:plotVisOnly val="1"/>
    <c:dispBlanksAs val="gap"/>
    <c:showDLblsOverMax val="0"/>
    <c:extLst/>
  </c:chart>
  <c:spPr>
    <a:noFill/>
    <a:ln>
      <a:noFill/>
    </a:ln>
  </c:spPr>
  <c:txPr>
    <a:bodyPr/>
    <a:lstStyle/>
    <a:p>
      <a:pPr>
        <a:defRPr/>
      </a:pPr>
      <a:endParaRPr lang="nl-NL"/>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nl-NL" sz="1050" b="0">
                <a:solidFill>
                  <a:srgbClr val="2C307E"/>
                </a:solidFill>
              </a:rPr>
              <a:t>Hoe vaak heb je meegedaan</a:t>
            </a:r>
            <a:r>
              <a:rPr lang="nl-NL" sz="1050" b="0" baseline="0">
                <a:solidFill>
                  <a:srgbClr val="2C307E"/>
                </a:solidFill>
              </a:rPr>
              <a:t> aan het Nationaal Laadonderzoek?</a:t>
            </a:r>
            <a:endParaRPr lang="nl-NL" sz="1050" b="0">
              <a:solidFill>
                <a:srgbClr val="2C307E"/>
              </a:solidFill>
            </a:endParaRPr>
          </a:p>
        </c:rich>
      </c:tx>
      <c:overlay val="0"/>
    </c:title>
    <c:autoTitleDeleted val="0"/>
    <c:plotArea>
      <c:layout>
        <c:manualLayout>
          <c:layoutTarget val="inner"/>
          <c:xMode val="edge"/>
          <c:yMode val="edge"/>
          <c:x val="6.6900514767074495E-2"/>
          <c:y val="0.23465295629820052"/>
          <c:w val="0.8116065477468114"/>
          <c:h val="0.49096694532720686"/>
        </c:manualLayout>
      </c:layout>
      <c:barChart>
        <c:barDir val="col"/>
        <c:grouping val="clustered"/>
        <c:varyColors val="0"/>
        <c:ser>
          <c:idx val="1"/>
          <c:order val="0"/>
          <c:spPr>
            <a:solidFill>
              <a:srgbClr val="C9C74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rgbClr val="4EAFAA"/>
                    </a:solidFill>
                    <a:latin typeface="+mn-lt"/>
                    <a:ea typeface="+mn-ea"/>
                    <a:cs typeface="+mn-cs"/>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'3.1 de EV-rijder'!$N$3:$N$8</c:f>
              <c:strCache>
                <c:ptCount val="6"/>
                <c:pt idx="0">
                  <c:v>Zes keer</c:v>
                </c:pt>
                <c:pt idx="1">
                  <c:v>Vijf keer</c:v>
                </c:pt>
                <c:pt idx="2">
                  <c:v>Vier keer</c:v>
                </c:pt>
                <c:pt idx="3">
                  <c:v>Drie keer</c:v>
                </c:pt>
                <c:pt idx="4">
                  <c:v>Twee keer</c:v>
                </c:pt>
                <c:pt idx="5">
                  <c:v>Één keer </c:v>
                </c:pt>
              </c:strCache>
            </c:strRef>
          </c:cat>
          <c:val>
            <c:numRef>
              <c:f>'3.1 de EV-rijder'!$O$3:$O$8</c:f>
              <c:numCache>
                <c:formatCode>0%</c:formatCode>
                <c:ptCount val="6"/>
                <c:pt idx="0">
                  <c:v>2.4726134585289515E-2</c:v>
                </c:pt>
                <c:pt idx="1">
                  <c:v>2.9107981220657279E-2</c:v>
                </c:pt>
                <c:pt idx="2">
                  <c:v>6.6353677621283261E-2</c:v>
                </c:pt>
                <c:pt idx="3">
                  <c:v>0.15586854460093896</c:v>
                </c:pt>
                <c:pt idx="4">
                  <c:v>0.21158059467918622</c:v>
                </c:pt>
                <c:pt idx="5">
                  <c:v>0.5123630672926448</c:v>
                </c:pt>
              </c:numCache>
            </c:numRef>
          </c:val>
          <c:extLst>
            <c:ext xmlns:c16="http://schemas.microsoft.com/office/drawing/2014/chart" uri="{C3380CC4-5D6E-409C-BE32-E72D297353CC}">
              <c16:uniqueId val="{00000000-1E96-48E2-944A-C955860EF828}"/>
            </c:ext>
          </c:extLst>
        </c:ser>
        <c:dLbls>
          <c:showLegendKey val="0"/>
          <c:showVal val="0"/>
          <c:showCatName val="0"/>
          <c:showSerName val="0"/>
          <c:showPercent val="0"/>
          <c:showBubbleSize val="0"/>
        </c:dLbls>
        <c:gapWidth val="182"/>
        <c:axId val="487161208"/>
        <c:axId val="487161536"/>
        <c:extLst/>
      </c:barChart>
      <c:catAx>
        <c:axId val="487161208"/>
        <c:scaling>
          <c:orientation val="maxMin"/>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2C307E"/>
                </a:solidFill>
                <a:latin typeface="+mn-lt"/>
                <a:ea typeface="+mn-ea"/>
                <a:cs typeface="+mn-cs"/>
              </a:defRPr>
            </a:pPr>
            <a:endParaRPr lang="nl-NL"/>
          </a:p>
        </c:txPr>
        <c:crossAx val="487161536"/>
        <c:crosses val="autoZero"/>
        <c:auto val="1"/>
        <c:lblAlgn val="ctr"/>
        <c:lblOffset val="100"/>
        <c:noMultiLvlLbl val="0"/>
      </c:catAx>
      <c:valAx>
        <c:axId val="487161536"/>
        <c:scaling>
          <c:orientation val="minMax"/>
          <c:max val="0.60000000000000009"/>
          <c:min val="0"/>
        </c:scaling>
        <c:delete val="0"/>
        <c:axPos val="r"/>
        <c:numFmt formatCode="0%" sourceLinked="0"/>
        <c:majorTickMark val="none"/>
        <c:minorTickMark val="none"/>
        <c:tickLblPos val="nextTo"/>
        <c:spPr>
          <a:noFill/>
          <a:ln>
            <a:noFill/>
          </a:ln>
          <a:effectLst/>
        </c:spPr>
        <c:txPr>
          <a:bodyPr rot="-60000000" spcFirstLastPara="1" vertOverflow="ellipsis" vert="horz" wrap="square" anchor="ctr" anchorCtr="1"/>
          <a:lstStyle/>
          <a:p>
            <a:pPr algn="ctr">
              <a:defRPr lang="en-US" sz="900" b="0" i="0" u="none" strike="noStrike" kern="1200" baseline="0">
                <a:solidFill>
                  <a:srgbClr val="2C307E"/>
                </a:solidFill>
                <a:latin typeface="+mn-lt"/>
                <a:ea typeface="+mn-ea"/>
                <a:cs typeface="+mn-cs"/>
              </a:defRPr>
            </a:pPr>
            <a:endParaRPr lang="nl-NL"/>
          </a:p>
        </c:txPr>
        <c:crossAx val="487161208"/>
        <c:crosses val="autoZero"/>
        <c:crossBetween val="between"/>
        <c:majorUnit val="0.1"/>
      </c:valAx>
      <c:spPr>
        <a:noFill/>
        <a:ln>
          <a:noFill/>
        </a:ln>
      </c:spPr>
    </c:plotArea>
    <c:plotVisOnly val="1"/>
    <c:dispBlanksAs val="gap"/>
    <c:showDLblsOverMax val="0"/>
    <c:extLst/>
  </c:chart>
  <c:spPr>
    <a:noFill/>
    <a:ln w="9525" cap="flat" cmpd="sng" algn="ctr">
      <a:noFill/>
      <a:round/>
    </a:ln>
    <a:effectLst/>
  </c:spPr>
  <c:txPr>
    <a:bodyPr/>
    <a:lstStyle/>
    <a:p>
      <a:pPr>
        <a:defRPr/>
      </a:pPr>
      <a:endParaRPr lang="nl-NL"/>
    </a:p>
  </c:txPr>
  <c:externalData r:id="rId1">
    <c:autoUpdate val="0"/>
  </c:externalData>
</c:chartSpace>
</file>

<file path=word/charts/chart7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rgbClr val="2C307E"/>
                </a:solidFill>
                <a:latin typeface="+mn-lt"/>
                <a:ea typeface="+mn-ea"/>
                <a:cs typeface="+mn-cs"/>
              </a:defRPr>
            </a:pPr>
            <a:r>
              <a:rPr lang="nl-NL" sz="1100" b="0" i="0" u="none" strike="noStrike" kern="1200" spc="0" baseline="0">
                <a:solidFill>
                  <a:srgbClr val="2C307E"/>
                </a:solidFill>
                <a:latin typeface="Calibri" panose="020F0502020204030204" pitchFamily="34" charset="0"/>
                <a:cs typeface="Calibri" panose="020F0502020204030204" pitchFamily="34" charset="0"/>
              </a:rPr>
              <a:t>Hoe lang mag een elektrische auto wat jou betreft overdag aan de laadpaal blijven als deze vol is geladen?</a:t>
            </a:r>
          </a:p>
        </c:rich>
      </c:tx>
      <c:overlay val="0"/>
      <c:spPr>
        <a:noFill/>
        <a:ln>
          <a:noFill/>
        </a:ln>
        <a:effectLst/>
      </c:spPr>
    </c:title>
    <c:autoTitleDeleted val="0"/>
    <c:plotArea>
      <c:layout>
        <c:manualLayout>
          <c:layoutTarget val="inner"/>
          <c:xMode val="edge"/>
          <c:yMode val="edge"/>
          <c:x val="0.12149293748611409"/>
          <c:y val="0.33127711306247098"/>
          <c:w val="0.86491864270194341"/>
          <c:h val="0.53688052377234197"/>
        </c:manualLayout>
      </c:layout>
      <c:barChart>
        <c:barDir val="col"/>
        <c:grouping val="clustered"/>
        <c:varyColors val="0"/>
        <c:ser>
          <c:idx val="0"/>
          <c:order val="0"/>
          <c:spPr>
            <a:solidFill>
              <a:srgbClr val="C9C743"/>
            </a:solidFill>
            <a:ln>
              <a:noFill/>
            </a:ln>
            <a:effectLst/>
          </c:spPr>
          <c:invertIfNegative val="0"/>
          <c:dLbls>
            <c:spPr>
              <a:noFill/>
              <a:ln>
                <a:noFill/>
              </a:ln>
              <a:effectLst/>
            </c:spPr>
            <c:txPr>
              <a:bodyPr wrap="square" lIns="38100" tIns="19050" rIns="38100" bIns="19050" anchor="ctr" anchorCtr="0">
                <a:spAutoFit/>
              </a:bodyPr>
              <a:lstStyle/>
              <a:p>
                <a:pPr algn="ctr">
                  <a:defRPr lang="en-US" sz="800" b="1" i="0" u="none" strike="noStrike" kern="1200" baseline="0">
                    <a:solidFill>
                      <a:srgbClr val="4EAFAA"/>
                    </a:solidFill>
                    <a:latin typeface="+mn-lt"/>
                    <a:ea typeface="+mn-ea"/>
                    <a:cs typeface="+mn-cs"/>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'3.4 openbaar laden'!$B$49:$B$54</c:f>
              <c:strCache>
                <c:ptCount val="6"/>
                <c:pt idx="0">
                  <c:v>Direct weghalen</c:v>
                </c:pt>
                <c:pt idx="1">
                  <c:v>2 uur</c:v>
                </c:pt>
                <c:pt idx="2">
                  <c:v>4 uur</c:v>
                </c:pt>
                <c:pt idx="3">
                  <c:v>6 uur</c:v>
                </c:pt>
                <c:pt idx="4">
                  <c:v>12 uur</c:v>
                </c:pt>
                <c:pt idx="5">
                  <c:v>Langer dan 12 uur</c:v>
                </c:pt>
              </c:strCache>
            </c:strRef>
          </c:cat>
          <c:val>
            <c:numRef>
              <c:f>'3.4 openbaar laden'!$E$49:$E$54</c:f>
              <c:numCache>
                <c:formatCode>0%</c:formatCode>
                <c:ptCount val="6"/>
                <c:pt idx="0">
                  <c:v>0.37522441651705568</c:v>
                </c:pt>
                <c:pt idx="1">
                  <c:v>0.41741472172351884</c:v>
                </c:pt>
                <c:pt idx="2">
                  <c:v>0.12387791741472172</c:v>
                </c:pt>
                <c:pt idx="3">
                  <c:v>3.5906642728904849E-2</c:v>
                </c:pt>
                <c:pt idx="4">
                  <c:v>2.1543985637342909E-2</c:v>
                </c:pt>
                <c:pt idx="5">
                  <c:v>2.6032315978456014E-2</c:v>
                </c:pt>
              </c:numCache>
            </c:numRef>
          </c:val>
          <c:extLst>
            <c:ext xmlns:c16="http://schemas.microsoft.com/office/drawing/2014/chart" uri="{C3380CC4-5D6E-409C-BE32-E72D297353CC}">
              <c16:uniqueId val="{00000000-7286-485C-95BD-3D349939FFD8}"/>
            </c:ext>
          </c:extLst>
        </c:ser>
        <c:dLbls>
          <c:showLegendKey val="0"/>
          <c:showVal val="0"/>
          <c:showCatName val="0"/>
          <c:showSerName val="0"/>
          <c:showPercent val="0"/>
          <c:showBubbleSize val="0"/>
        </c:dLbls>
        <c:gapWidth val="219"/>
        <c:overlap val="-27"/>
        <c:axId val="859086912"/>
        <c:axId val="859090872"/>
      </c:barChart>
      <c:catAx>
        <c:axId val="8590869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vert="horz" wrap="square" anchor="ctr" anchorCtr="1"/>
          <a:lstStyle/>
          <a:p>
            <a:pPr>
              <a:defRPr sz="900" b="0" i="0" u="none" strike="noStrike" kern="1200" baseline="0">
                <a:solidFill>
                  <a:srgbClr val="2C307E"/>
                </a:solidFill>
                <a:latin typeface="+mn-lt"/>
                <a:ea typeface="+mn-ea"/>
                <a:cs typeface="+mn-cs"/>
              </a:defRPr>
            </a:pPr>
            <a:endParaRPr lang="nl-NL"/>
          </a:p>
        </c:txPr>
        <c:crossAx val="859090872"/>
        <c:crosses val="autoZero"/>
        <c:auto val="1"/>
        <c:lblAlgn val="ctr"/>
        <c:lblOffset val="100"/>
        <c:noMultiLvlLbl val="0"/>
      </c:catAx>
      <c:valAx>
        <c:axId val="859090872"/>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2C307E"/>
                </a:solidFill>
                <a:latin typeface="+mn-lt"/>
                <a:ea typeface="+mn-ea"/>
                <a:cs typeface="+mn-cs"/>
              </a:defRPr>
            </a:pPr>
            <a:endParaRPr lang="nl-NL"/>
          </a:p>
        </c:txPr>
        <c:crossAx val="859086912"/>
        <c:crosses val="autoZero"/>
        <c:crossBetween val="between"/>
        <c:majorUnit val="0.1"/>
      </c:valAx>
      <c:spPr>
        <a:noFill/>
        <a:ln>
          <a:noFill/>
        </a:ln>
      </c:spPr>
    </c:plotArea>
    <c:plotVisOnly val="1"/>
    <c:dispBlanksAs val="gap"/>
    <c:showDLblsOverMax val="0"/>
    <c:extLst/>
  </c:chart>
  <c:spPr>
    <a:noFill/>
    <a:ln>
      <a:noFill/>
    </a:ln>
  </c:spPr>
  <c:txPr>
    <a:bodyPr/>
    <a:lstStyle/>
    <a:p>
      <a:pPr>
        <a:defRPr/>
      </a:pPr>
      <a:endParaRPr lang="nl-NL"/>
    </a:p>
  </c:txPr>
  <c:externalData r:id="rId1">
    <c:autoUpdate val="0"/>
  </c:externalData>
</c:chartSpace>
</file>

<file path=word/charts/chart7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rgbClr val="2C307E"/>
                </a:solidFill>
                <a:latin typeface="+mn-lt"/>
                <a:ea typeface="+mn-ea"/>
                <a:cs typeface="+mn-cs"/>
              </a:defRPr>
            </a:pPr>
            <a:r>
              <a:rPr lang="nl-NL" sz="1100" b="0" i="0" u="none" strike="noStrike" baseline="0">
                <a:effectLst/>
              </a:rPr>
              <a:t>Aanvraag is niet gelukt</a:t>
            </a:r>
            <a:r>
              <a:rPr lang="nl-NL" sz="1100" b="0" i="0" u="none" strike="noStrike" baseline="0"/>
              <a:t> </a:t>
            </a:r>
            <a:endParaRPr lang="nl-NL" sz="1100" b="0" i="0" u="none" strike="noStrike" kern="1200" spc="0" baseline="0">
              <a:solidFill>
                <a:srgbClr val="2C307E"/>
              </a:solidFill>
              <a:latin typeface="Calibri" panose="020F0502020204030204" pitchFamily="34" charset="0"/>
              <a:cs typeface="Calibri" panose="020F0502020204030204" pitchFamily="34" charset="0"/>
            </a:endParaRPr>
          </a:p>
        </c:rich>
      </c:tx>
      <c:overlay val="0"/>
      <c:spPr>
        <a:noFill/>
        <a:ln>
          <a:noFill/>
        </a:ln>
        <a:effectLst/>
      </c:spPr>
    </c:title>
    <c:autoTitleDeleted val="0"/>
    <c:plotArea>
      <c:layout/>
      <c:barChart>
        <c:barDir val="col"/>
        <c:grouping val="clustered"/>
        <c:varyColors val="0"/>
        <c:ser>
          <c:idx val="0"/>
          <c:order val="0"/>
          <c:spPr>
            <a:solidFill>
              <a:srgbClr val="C9C743"/>
            </a:solidFill>
            <a:ln>
              <a:noFill/>
            </a:ln>
            <a:effectLst/>
          </c:spPr>
          <c:invertIfNegative val="0"/>
          <c:dLbls>
            <c:spPr>
              <a:noFill/>
              <a:ln>
                <a:noFill/>
              </a:ln>
              <a:effectLst/>
            </c:spPr>
            <c:txPr>
              <a:bodyPr wrap="square" lIns="38100" tIns="19050" rIns="38100" bIns="19050" anchor="ctr" anchorCtr="0">
                <a:spAutoFit/>
              </a:bodyPr>
              <a:lstStyle/>
              <a:p>
                <a:pPr algn="ctr">
                  <a:defRPr lang="en-US" sz="800" b="1" i="0" u="none" strike="noStrike" kern="1200" baseline="0">
                    <a:solidFill>
                      <a:srgbClr val="4EAFAA"/>
                    </a:solidFill>
                    <a:latin typeface="+mn-lt"/>
                    <a:ea typeface="+mn-ea"/>
                    <a:cs typeface="+mn-cs"/>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'3.4 openbaar laden'!$B$172:$B$176</c:f>
              <c:numCache>
                <c:formatCode>General</c:formatCode>
                <c:ptCount val="5"/>
                <c:pt idx="0">
                  <c:v>2021</c:v>
                </c:pt>
                <c:pt idx="1">
                  <c:v>2022</c:v>
                </c:pt>
                <c:pt idx="2">
                  <c:v>2023</c:v>
                </c:pt>
                <c:pt idx="3">
                  <c:v>2024</c:v>
                </c:pt>
                <c:pt idx="4">
                  <c:v>2025</c:v>
                </c:pt>
              </c:numCache>
            </c:numRef>
          </c:cat>
          <c:val>
            <c:numRef>
              <c:f>'3.4 openbaar laden'!$C$172:$C$176</c:f>
              <c:numCache>
                <c:formatCode>0%</c:formatCode>
                <c:ptCount val="5"/>
                <c:pt idx="0">
                  <c:v>0.5</c:v>
                </c:pt>
                <c:pt idx="1">
                  <c:v>0.33</c:v>
                </c:pt>
                <c:pt idx="2">
                  <c:v>0.33</c:v>
                </c:pt>
                <c:pt idx="3">
                  <c:v>0.35</c:v>
                </c:pt>
                <c:pt idx="4">
                  <c:v>0.44</c:v>
                </c:pt>
              </c:numCache>
            </c:numRef>
          </c:val>
          <c:extLst>
            <c:ext xmlns:c16="http://schemas.microsoft.com/office/drawing/2014/chart" uri="{C3380CC4-5D6E-409C-BE32-E72D297353CC}">
              <c16:uniqueId val="{00000000-C1BD-49DC-A254-326AD4FC2CC0}"/>
            </c:ext>
          </c:extLst>
        </c:ser>
        <c:dLbls>
          <c:showLegendKey val="0"/>
          <c:showVal val="0"/>
          <c:showCatName val="0"/>
          <c:showSerName val="0"/>
          <c:showPercent val="0"/>
          <c:showBubbleSize val="0"/>
        </c:dLbls>
        <c:gapWidth val="219"/>
        <c:overlap val="-27"/>
        <c:axId val="859086912"/>
        <c:axId val="859090872"/>
      </c:barChart>
      <c:catAx>
        <c:axId val="8590869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2C307E"/>
                </a:solidFill>
                <a:latin typeface="+mn-lt"/>
                <a:ea typeface="+mn-ea"/>
                <a:cs typeface="+mn-cs"/>
              </a:defRPr>
            </a:pPr>
            <a:endParaRPr lang="nl-NL"/>
          </a:p>
        </c:txPr>
        <c:crossAx val="859090872"/>
        <c:crosses val="autoZero"/>
        <c:auto val="1"/>
        <c:lblAlgn val="ctr"/>
        <c:lblOffset val="100"/>
        <c:noMultiLvlLbl val="0"/>
      </c:catAx>
      <c:valAx>
        <c:axId val="859090872"/>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2C307E"/>
                </a:solidFill>
                <a:latin typeface="+mn-lt"/>
                <a:ea typeface="+mn-ea"/>
                <a:cs typeface="+mn-cs"/>
              </a:defRPr>
            </a:pPr>
            <a:endParaRPr lang="nl-NL"/>
          </a:p>
        </c:txPr>
        <c:crossAx val="859086912"/>
        <c:crosses val="autoZero"/>
        <c:crossBetween val="between"/>
        <c:majorUnit val="0.2"/>
      </c:valAx>
      <c:spPr>
        <a:noFill/>
        <a:ln>
          <a:noFill/>
        </a:ln>
      </c:spPr>
    </c:plotArea>
    <c:plotVisOnly val="1"/>
    <c:dispBlanksAs val="gap"/>
    <c:showDLblsOverMax val="0"/>
    <c:extLst/>
  </c:chart>
  <c:spPr>
    <a:noFill/>
    <a:ln>
      <a:noFill/>
    </a:ln>
  </c:spPr>
  <c:txPr>
    <a:bodyPr/>
    <a:lstStyle/>
    <a:p>
      <a:pPr>
        <a:defRPr/>
      </a:pPr>
      <a:endParaRPr lang="nl-NL"/>
    </a:p>
  </c:txPr>
  <c:externalData r:id="rId1">
    <c:autoUpdate val="0"/>
  </c:externalData>
</c:chartSpace>
</file>

<file path=word/charts/chart7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rgbClr val="2C307E"/>
                </a:solidFill>
                <a:latin typeface="+mn-lt"/>
                <a:ea typeface="+mn-ea"/>
                <a:cs typeface="+mn-cs"/>
              </a:defRPr>
            </a:pPr>
            <a:r>
              <a:rPr lang="nl-NL" sz="1100" b="0" i="0" u="none" strike="noStrike" kern="1200" spc="0" baseline="0">
                <a:solidFill>
                  <a:srgbClr val="2C307E"/>
                </a:solidFill>
                <a:latin typeface="Calibri" panose="020F0502020204030204" pitchFamily="34" charset="0"/>
                <a:cs typeface="Calibri" panose="020F0502020204030204" pitchFamily="34" charset="0"/>
              </a:rPr>
              <a:t>Hoeveel maanden duurde het vanaf aanvraag tot aan de plaatsing van de laadpaal? </a:t>
            </a:r>
          </a:p>
        </c:rich>
      </c:tx>
      <c:overlay val="0"/>
      <c:spPr>
        <a:noFill/>
        <a:ln>
          <a:noFill/>
        </a:ln>
        <a:effectLst/>
      </c:spPr>
    </c:title>
    <c:autoTitleDeleted val="0"/>
    <c:plotArea>
      <c:layout>
        <c:manualLayout>
          <c:layoutTarget val="inner"/>
          <c:xMode val="edge"/>
          <c:yMode val="edge"/>
          <c:x val="0.14540494131203471"/>
          <c:y val="0.3821907600596125"/>
          <c:w val="0.80198865027093991"/>
          <c:h val="0.36309011112806128"/>
        </c:manualLayout>
      </c:layout>
      <c:barChart>
        <c:barDir val="col"/>
        <c:grouping val="clustered"/>
        <c:varyColors val="0"/>
        <c:ser>
          <c:idx val="0"/>
          <c:order val="0"/>
          <c:spPr>
            <a:solidFill>
              <a:srgbClr val="C9C743"/>
            </a:solidFill>
            <a:ln>
              <a:noFill/>
            </a:ln>
            <a:effectLst/>
          </c:spPr>
          <c:invertIfNegative val="0"/>
          <c:dLbls>
            <c:spPr>
              <a:noFill/>
              <a:ln>
                <a:noFill/>
              </a:ln>
              <a:effectLst/>
            </c:spPr>
            <c:txPr>
              <a:bodyPr wrap="square" lIns="38100" tIns="19050" rIns="38100" bIns="19050" anchor="ctr" anchorCtr="0">
                <a:spAutoFit/>
              </a:bodyPr>
              <a:lstStyle/>
              <a:p>
                <a:pPr algn="ctr">
                  <a:defRPr lang="en-US" sz="800" b="1" i="0" u="none" strike="noStrike" kern="1200" baseline="0">
                    <a:solidFill>
                      <a:srgbClr val="4EAFAA"/>
                    </a:solidFill>
                    <a:latin typeface="+mn-lt"/>
                    <a:ea typeface="+mn-ea"/>
                    <a:cs typeface="+mn-cs"/>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'3.4 openbaar laden'!$B$149:$B$152</c:f>
              <c:strCache>
                <c:ptCount val="4"/>
                <c:pt idx="0">
                  <c:v>1-3 maanden</c:v>
                </c:pt>
                <c:pt idx="1">
                  <c:v>4-6 maanden</c:v>
                </c:pt>
                <c:pt idx="2">
                  <c:v>7-12 maanden</c:v>
                </c:pt>
                <c:pt idx="3">
                  <c:v>Nog niet geplaatst</c:v>
                </c:pt>
              </c:strCache>
            </c:strRef>
          </c:cat>
          <c:val>
            <c:numRef>
              <c:f>'3.4 openbaar laden'!$E$149:$E$152</c:f>
              <c:numCache>
                <c:formatCode>0%</c:formatCode>
                <c:ptCount val="4"/>
                <c:pt idx="0">
                  <c:v>0.16483516483516483</c:v>
                </c:pt>
                <c:pt idx="1">
                  <c:v>0.2087912087912088</c:v>
                </c:pt>
                <c:pt idx="2">
                  <c:v>0.21978021978021978</c:v>
                </c:pt>
                <c:pt idx="3">
                  <c:v>0.40659340659340659</c:v>
                </c:pt>
              </c:numCache>
            </c:numRef>
          </c:val>
          <c:extLst>
            <c:ext xmlns:c16="http://schemas.microsoft.com/office/drawing/2014/chart" uri="{C3380CC4-5D6E-409C-BE32-E72D297353CC}">
              <c16:uniqueId val="{00000000-557B-416C-BD4A-C5057FA46DF7}"/>
            </c:ext>
          </c:extLst>
        </c:ser>
        <c:dLbls>
          <c:showLegendKey val="0"/>
          <c:showVal val="0"/>
          <c:showCatName val="0"/>
          <c:showSerName val="0"/>
          <c:showPercent val="0"/>
          <c:showBubbleSize val="0"/>
        </c:dLbls>
        <c:gapWidth val="219"/>
        <c:overlap val="-27"/>
        <c:axId val="859086912"/>
        <c:axId val="859090872"/>
      </c:barChart>
      <c:catAx>
        <c:axId val="8590869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2C307E"/>
                </a:solidFill>
                <a:latin typeface="+mn-lt"/>
                <a:ea typeface="+mn-ea"/>
                <a:cs typeface="+mn-cs"/>
              </a:defRPr>
            </a:pPr>
            <a:endParaRPr lang="nl-NL"/>
          </a:p>
        </c:txPr>
        <c:crossAx val="859090872"/>
        <c:crosses val="autoZero"/>
        <c:auto val="1"/>
        <c:lblAlgn val="ctr"/>
        <c:lblOffset val="100"/>
        <c:noMultiLvlLbl val="0"/>
      </c:catAx>
      <c:valAx>
        <c:axId val="859090872"/>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2C307E"/>
                </a:solidFill>
                <a:latin typeface="+mn-lt"/>
                <a:ea typeface="+mn-ea"/>
                <a:cs typeface="+mn-cs"/>
              </a:defRPr>
            </a:pPr>
            <a:endParaRPr lang="nl-NL"/>
          </a:p>
        </c:txPr>
        <c:crossAx val="859086912"/>
        <c:crosses val="autoZero"/>
        <c:crossBetween val="between"/>
        <c:majorUnit val="0.2"/>
      </c:valAx>
      <c:spPr>
        <a:noFill/>
        <a:ln>
          <a:noFill/>
        </a:ln>
      </c:spPr>
    </c:plotArea>
    <c:plotVisOnly val="1"/>
    <c:dispBlanksAs val="gap"/>
    <c:showDLblsOverMax val="0"/>
    <c:extLst/>
  </c:chart>
  <c:spPr>
    <a:noFill/>
    <a:ln>
      <a:noFill/>
    </a:ln>
  </c:spPr>
  <c:txPr>
    <a:bodyPr/>
    <a:lstStyle/>
    <a:p>
      <a:pPr>
        <a:defRPr/>
      </a:pPr>
      <a:endParaRPr lang="nl-NL"/>
    </a:p>
  </c:txPr>
  <c:externalData r:id="rId1">
    <c:autoUpdate val="0"/>
  </c:externalData>
</c:chartSpace>
</file>

<file path=word/charts/chart7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rgbClr val="2C307E"/>
                </a:solidFill>
                <a:latin typeface="Calibri" panose="020F0502020204030204" pitchFamily="34" charset="0"/>
                <a:ea typeface="+mn-ea"/>
                <a:cs typeface="Calibri" panose="020F0502020204030204" pitchFamily="34" charset="0"/>
              </a:defRPr>
            </a:pPr>
            <a:r>
              <a:rPr lang="nl-NL" sz="1100">
                <a:latin typeface="Calibri" panose="020F0502020204030204" pitchFamily="34" charset="0"/>
                <a:cs typeface="Calibri" panose="020F0502020204030204" pitchFamily="34" charset="0"/>
              </a:rPr>
              <a:t>Hoe tevreden ben je over de gerealiseerde aanvraag van een openbare laadpaal op de volgende punten?</a:t>
            </a:r>
          </a:p>
        </c:rich>
      </c:tx>
      <c:overlay val="0"/>
      <c:spPr>
        <a:noFill/>
        <a:ln>
          <a:noFill/>
        </a:ln>
        <a:effectLst/>
      </c:spPr>
    </c:title>
    <c:autoTitleDeleted val="0"/>
    <c:plotArea>
      <c:layout/>
      <c:barChart>
        <c:barDir val="bar"/>
        <c:grouping val="stacked"/>
        <c:varyColors val="0"/>
        <c:ser>
          <c:idx val="0"/>
          <c:order val="0"/>
          <c:tx>
            <c:strRef>
              <c:f>'3.4 openbaar laden'!$D$188</c:f>
              <c:strCache>
                <c:ptCount val="1"/>
                <c:pt idx="0">
                  <c:v>Heel erg ontevreden</c:v>
                </c:pt>
              </c:strCache>
            </c:strRef>
          </c:tx>
          <c:spPr>
            <a:solidFill>
              <a:srgbClr val="2C307E"/>
            </a:solidFill>
            <a:ln>
              <a:noFill/>
            </a:ln>
            <a:effectLst/>
          </c:spPr>
          <c:invertIfNegative val="0"/>
          <c:dLbls>
            <c:dLbl>
              <c:idx val="0"/>
              <c:layout>
                <c:manualLayout>
                  <c:x val="-2.8694404591104821E-2"/>
                  <c:y val="-3.6374658987572105E-2"/>
                </c:manualLayout>
              </c:layout>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rgbClr val="2C307E"/>
                      </a:solidFill>
                      <a:latin typeface="Calibri" panose="020F0502020204030204" pitchFamily="34" charset="0"/>
                      <a:ea typeface="+mn-ea"/>
                      <a:cs typeface="Calibri" panose="020F0502020204030204" pitchFamily="34" charset="0"/>
                    </a:defRPr>
                  </a:pPr>
                  <a:endParaRPr lang="nl-NL"/>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D883-4C4C-AD92-F494AD4F6B28}"/>
                </c:ext>
              </c:extLst>
            </c:dLbl>
            <c:dLbl>
              <c:idx val="1"/>
              <c:layout>
                <c:manualLayout>
                  <c:x val="9.5648015303682454E-3"/>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883-4C4C-AD92-F494AD4F6B28}"/>
                </c:ext>
              </c:extLst>
            </c:dLbl>
            <c:dLbl>
              <c:idx val="2"/>
              <c:delete val="1"/>
              <c:extLst>
                <c:ext xmlns:c15="http://schemas.microsoft.com/office/drawing/2012/chart" uri="{CE6537A1-D6FC-4f65-9D91-7224C49458BB}"/>
                <c:ext xmlns:c16="http://schemas.microsoft.com/office/drawing/2014/chart" uri="{C3380CC4-5D6E-409C-BE32-E72D297353CC}">
                  <c16:uniqueId val="{00000003-D883-4C4C-AD92-F494AD4F6B28}"/>
                </c:ext>
              </c:extLst>
            </c:dLbl>
            <c:dLbl>
              <c:idx val="3"/>
              <c:layout>
                <c:manualLayout>
                  <c:x val="9.5648015303681569E-3"/>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883-4C4C-AD92-F494AD4F6B28}"/>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bg1"/>
                    </a:solidFill>
                    <a:latin typeface="Calibri" panose="020F0502020204030204" pitchFamily="34" charset="0"/>
                    <a:ea typeface="+mn-ea"/>
                    <a:cs typeface="Calibri" panose="020F0502020204030204" pitchFamily="34" charset="0"/>
                  </a:defRPr>
                </a:pPr>
                <a:endParaRPr lang="nl-N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'3.4 openbaar laden'!$B$189:$C$193</c:f>
              <c:strCache>
                <c:ptCount val="5"/>
                <c:pt idx="0">
                  <c:v>De afstand van de openbare laadpaal tot je woning </c:v>
                </c:pt>
                <c:pt idx="1">
                  <c:v>Communicatie met de gemeente </c:v>
                </c:pt>
                <c:pt idx="2">
                  <c:v>Het gemak van aanvragen</c:v>
                </c:pt>
                <c:pt idx="3">
                  <c:v>De duidelijkheid over het proces van aanvraag tot realisatie</c:v>
                </c:pt>
                <c:pt idx="4">
                  <c:v>De doorlooptijd</c:v>
                </c:pt>
              </c:strCache>
            </c:strRef>
          </c:cat>
          <c:val>
            <c:numRef>
              <c:f>'3.4 openbaar laden'!$D$189:$D$193</c:f>
              <c:numCache>
                <c:formatCode>0%</c:formatCode>
                <c:ptCount val="5"/>
                <c:pt idx="0">
                  <c:v>5.7692307692307696E-2</c:v>
                </c:pt>
                <c:pt idx="1">
                  <c:v>7.6923076923076927E-2</c:v>
                </c:pt>
                <c:pt idx="2">
                  <c:v>3.8461538461538464E-2</c:v>
                </c:pt>
                <c:pt idx="3">
                  <c:v>9.6153846153846159E-2</c:v>
                </c:pt>
                <c:pt idx="4">
                  <c:v>0.19230769230769232</c:v>
                </c:pt>
              </c:numCache>
            </c:numRef>
          </c:val>
          <c:extLst>
            <c:ext xmlns:c16="http://schemas.microsoft.com/office/drawing/2014/chart" uri="{C3380CC4-5D6E-409C-BE32-E72D297353CC}">
              <c16:uniqueId val="{00000000-69B4-4A97-BF9D-B2F7B8E73088}"/>
            </c:ext>
          </c:extLst>
        </c:ser>
        <c:ser>
          <c:idx val="1"/>
          <c:order val="1"/>
          <c:tx>
            <c:strRef>
              <c:f>'3.4 openbaar laden'!$E$188</c:f>
              <c:strCache>
                <c:ptCount val="1"/>
                <c:pt idx="0">
                  <c:v>Ontevreden</c:v>
                </c:pt>
              </c:strCache>
            </c:strRef>
          </c:tx>
          <c:spPr>
            <a:solidFill>
              <a:srgbClr val="08B466"/>
            </a:solidFill>
            <a:ln>
              <a:noFill/>
            </a:ln>
            <a:effectLst/>
          </c:spPr>
          <c:invertIfNegative val="0"/>
          <c:dLbls>
            <c:dLbl>
              <c:idx val="0"/>
              <c:layout>
                <c:manualLayout>
                  <c:x val="9.5648015303682454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D883-4C4C-AD92-F494AD4F6B28}"/>
                </c:ext>
              </c:extLst>
            </c:dLbl>
            <c:dLbl>
              <c:idx val="2"/>
              <c:layout>
                <c:manualLayout>
                  <c:x val="-8.7676334517210861E-17"/>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883-4C4C-AD92-F494AD4F6B28}"/>
                </c:ext>
              </c:extLst>
            </c:dLbl>
            <c:dLbl>
              <c:idx val="3"/>
              <c:layout>
                <c:manualLayout>
                  <c:x val="1.434720229555228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883-4C4C-AD92-F494AD4F6B28}"/>
                </c:ext>
              </c:extLst>
            </c:dLbl>
            <c:spPr>
              <a:noFill/>
              <a:ln>
                <a:noFill/>
              </a:ln>
              <a:effectLst/>
            </c:spPr>
            <c:txPr>
              <a:bodyPr wrap="square" lIns="38100" tIns="19050" rIns="38100" bIns="19050" anchor="ctr" anchorCtr="0">
                <a:spAutoFit/>
              </a:bodyPr>
              <a:lstStyle/>
              <a:p>
                <a:pPr algn="ctr">
                  <a:defRPr lang="en-US" sz="800" b="1" i="0" u="none" strike="noStrike" kern="1200" baseline="0">
                    <a:solidFill>
                      <a:schemeClr val="bg1"/>
                    </a:solidFill>
                    <a:latin typeface="Calibri" panose="020F0502020204030204" pitchFamily="34" charset="0"/>
                    <a:ea typeface="+mn-ea"/>
                    <a:cs typeface="Calibri" panose="020F0502020204030204" pitchFamily="34" charset="0"/>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'3.4 openbaar laden'!$B$189:$C$193</c:f>
              <c:strCache>
                <c:ptCount val="5"/>
                <c:pt idx="0">
                  <c:v>De afstand van de openbare laadpaal tot je woning </c:v>
                </c:pt>
                <c:pt idx="1">
                  <c:v>Communicatie met de gemeente </c:v>
                </c:pt>
                <c:pt idx="2">
                  <c:v>Het gemak van aanvragen</c:v>
                </c:pt>
                <c:pt idx="3">
                  <c:v>De duidelijkheid over het proces van aanvraag tot realisatie</c:v>
                </c:pt>
                <c:pt idx="4">
                  <c:v>De doorlooptijd</c:v>
                </c:pt>
              </c:strCache>
            </c:strRef>
          </c:cat>
          <c:val>
            <c:numRef>
              <c:f>'3.4 openbaar laden'!$E$189:$E$193</c:f>
              <c:numCache>
                <c:formatCode>0%</c:formatCode>
                <c:ptCount val="5"/>
                <c:pt idx="0">
                  <c:v>7.6923076923076927E-2</c:v>
                </c:pt>
                <c:pt idx="1">
                  <c:v>0.30769230769230771</c:v>
                </c:pt>
                <c:pt idx="2">
                  <c:v>5.7692307692307696E-2</c:v>
                </c:pt>
                <c:pt idx="3">
                  <c:v>0.19230769230769232</c:v>
                </c:pt>
                <c:pt idx="4">
                  <c:v>0.26923076923076922</c:v>
                </c:pt>
              </c:numCache>
            </c:numRef>
          </c:val>
          <c:extLst>
            <c:ext xmlns:c16="http://schemas.microsoft.com/office/drawing/2014/chart" uri="{C3380CC4-5D6E-409C-BE32-E72D297353CC}">
              <c16:uniqueId val="{00000001-69B4-4A97-BF9D-B2F7B8E73088}"/>
            </c:ext>
          </c:extLst>
        </c:ser>
        <c:ser>
          <c:idx val="2"/>
          <c:order val="2"/>
          <c:tx>
            <c:strRef>
              <c:f>'3.4 openbaar laden'!$F$188</c:f>
              <c:strCache>
                <c:ptCount val="1"/>
                <c:pt idx="0">
                  <c:v>Neutraal</c:v>
                </c:pt>
              </c:strCache>
            </c:strRef>
          </c:tx>
          <c:spPr>
            <a:solidFill>
              <a:srgbClr val="C9C743"/>
            </a:solidFill>
          </c:spPr>
          <c:invertIfNegative val="0"/>
          <c:dLbls>
            <c:dLbl>
              <c:idx val="0"/>
              <c:layout>
                <c:manualLayout>
                  <c:x val="1.4347202295552367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883-4C4C-AD92-F494AD4F6B28}"/>
                </c:ext>
              </c:extLst>
            </c:dLbl>
            <c:spPr>
              <a:noFill/>
              <a:ln>
                <a:noFill/>
              </a:ln>
              <a:effectLst/>
            </c:spPr>
            <c:txPr>
              <a:bodyPr wrap="square" lIns="38100" tIns="19050" rIns="38100" bIns="19050" anchor="ctr" anchorCtr="0">
                <a:spAutoFit/>
              </a:bodyPr>
              <a:lstStyle/>
              <a:p>
                <a:pPr algn="ctr">
                  <a:defRPr lang="en-US" sz="800" b="1" i="0" u="none" strike="noStrike" kern="1200" baseline="0">
                    <a:solidFill>
                      <a:schemeClr val="bg1"/>
                    </a:solidFill>
                    <a:latin typeface="Calibri" panose="020F0502020204030204" pitchFamily="34" charset="0"/>
                    <a:ea typeface="+mn-ea"/>
                    <a:cs typeface="Calibri" panose="020F0502020204030204" pitchFamily="34" charset="0"/>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'3.4 openbaar laden'!$B$189:$C$193</c:f>
              <c:strCache>
                <c:ptCount val="5"/>
                <c:pt idx="0">
                  <c:v>De afstand van de openbare laadpaal tot je woning </c:v>
                </c:pt>
                <c:pt idx="1">
                  <c:v>Communicatie met de gemeente </c:v>
                </c:pt>
                <c:pt idx="2">
                  <c:v>Het gemak van aanvragen</c:v>
                </c:pt>
                <c:pt idx="3">
                  <c:v>De duidelijkheid over het proces van aanvraag tot realisatie</c:v>
                </c:pt>
                <c:pt idx="4">
                  <c:v>De doorlooptijd</c:v>
                </c:pt>
              </c:strCache>
            </c:strRef>
          </c:cat>
          <c:val>
            <c:numRef>
              <c:f>'3.4 openbaar laden'!$F$189:$F$193</c:f>
              <c:numCache>
                <c:formatCode>0%</c:formatCode>
                <c:ptCount val="5"/>
                <c:pt idx="0">
                  <c:v>0.21153846153846154</c:v>
                </c:pt>
                <c:pt idx="1">
                  <c:v>0.30769230769230771</c:v>
                </c:pt>
                <c:pt idx="2">
                  <c:v>0.23076923076923078</c:v>
                </c:pt>
                <c:pt idx="3">
                  <c:v>0.32692307692307693</c:v>
                </c:pt>
                <c:pt idx="4">
                  <c:v>0.17307692307692307</c:v>
                </c:pt>
              </c:numCache>
            </c:numRef>
          </c:val>
          <c:extLst>
            <c:ext xmlns:c16="http://schemas.microsoft.com/office/drawing/2014/chart" uri="{C3380CC4-5D6E-409C-BE32-E72D297353CC}">
              <c16:uniqueId val="{00000002-69B4-4A97-BF9D-B2F7B8E73088}"/>
            </c:ext>
          </c:extLst>
        </c:ser>
        <c:ser>
          <c:idx val="3"/>
          <c:order val="3"/>
          <c:tx>
            <c:strRef>
              <c:f>'3.4 openbaar laden'!$G$188</c:f>
              <c:strCache>
                <c:ptCount val="1"/>
                <c:pt idx="0">
                  <c:v>Tevreden</c:v>
                </c:pt>
              </c:strCache>
            </c:strRef>
          </c:tx>
          <c:spPr>
            <a:solidFill>
              <a:srgbClr val="BAD6ED"/>
            </a:solidFill>
          </c:spPr>
          <c:invertIfNegative val="0"/>
          <c:dLbls>
            <c:spPr>
              <a:noFill/>
              <a:ln>
                <a:noFill/>
              </a:ln>
              <a:effectLst/>
            </c:spPr>
            <c:txPr>
              <a:bodyPr wrap="square" lIns="38100" tIns="19050" rIns="38100" bIns="19050" anchor="ctr" anchorCtr="0">
                <a:spAutoFit/>
              </a:bodyPr>
              <a:lstStyle/>
              <a:p>
                <a:pPr algn="ctr">
                  <a:defRPr lang="en-US" sz="800" b="1" i="0" u="none" strike="noStrike" kern="1200" baseline="0">
                    <a:solidFill>
                      <a:srgbClr val="2C307E"/>
                    </a:solidFill>
                    <a:latin typeface="Calibri" panose="020F0502020204030204" pitchFamily="34" charset="0"/>
                    <a:ea typeface="+mn-ea"/>
                    <a:cs typeface="Calibri" panose="020F0502020204030204" pitchFamily="34" charset="0"/>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'3.4 openbaar laden'!$B$189:$C$193</c:f>
              <c:strCache>
                <c:ptCount val="5"/>
                <c:pt idx="0">
                  <c:v>De afstand van de openbare laadpaal tot je woning </c:v>
                </c:pt>
                <c:pt idx="1">
                  <c:v>Communicatie met de gemeente </c:v>
                </c:pt>
                <c:pt idx="2">
                  <c:v>Het gemak van aanvragen</c:v>
                </c:pt>
                <c:pt idx="3">
                  <c:v>De duidelijkheid over het proces van aanvraag tot realisatie</c:v>
                </c:pt>
                <c:pt idx="4">
                  <c:v>De doorlooptijd</c:v>
                </c:pt>
              </c:strCache>
            </c:strRef>
          </c:cat>
          <c:val>
            <c:numRef>
              <c:f>'3.4 openbaar laden'!$G$189:$G$193</c:f>
              <c:numCache>
                <c:formatCode>0%</c:formatCode>
                <c:ptCount val="5"/>
                <c:pt idx="0">
                  <c:v>0.32692307692307693</c:v>
                </c:pt>
                <c:pt idx="1">
                  <c:v>0.23076923076923078</c:v>
                </c:pt>
                <c:pt idx="2">
                  <c:v>0.5</c:v>
                </c:pt>
                <c:pt idx="3">
                  <c:v>0.26923076923076922</c:v>
                </c:pt>
                <c:pt idx="4">
                  <c:v>0.28846153846153844</c:v>
                </c:pt>
              </c:numCache>
            </c:numRef>
          </c:val>
          <c:extLst>
            <c:ext xmlns:c16="http://schemas.microsoft.com/office/drawing/2014/chart" uri="{C3380CC4-5D6E-409C-BE32-E72D297353CC}">
              <c16:uniqueId val="{00000003-69B4-4A97-BF9D-B2F7B8E73088}"/>
            </c:ext>
          </c:extLst>
        </c:ser>
        <c:ser>
          <c:idx val="4"/>
          <c:order val="4"/>
          <c:tx>
            <c:strRef>
              <c:f>'3.4 openbaar laden'!$H$188</c:f>
              <c:strCache>
                <c:ptCount val="1"/>
                <c:pt idx="0">
                  <c:v>Heel erg tevreden</c:v>
                </c:pt>
              </c:strCache>
            </c:strRef>
          </c:tx>
          <c:spPr>
            <a:solidFill>
              <a:srgbClr val="4EAFAA"/>
            </a:solidFill>
          </c:spPr>
          <c:invertIfNegative val="0"/>
          <c:dLbls>
            <c:spPr>
              <a:noFill/>
              <a:ln>
                <a:noFill/>
              </a:ln>
              <a:effectLst/>
            </c:spPr>
            <c:txPr>
              <a:bodyPr wrap="square" lIns="38100" tIns="19050" rIns="38100" bIns="19050" anchor="ctr" anchorCtr="0">
                <a:spAutoFit/>
              </a:bodyPr>
              <a:lstStyle/>
              <a:p>
                <a:pPr algn="ctr">
                  <a:defRPr lang="en-US" sz="800" b="1" i="0" u="none" strike="noStrike" kern="1200" baseline="0">
                    <a:solidFill>
                      <a:schemeClr val="bg1"/>
                    </a:solidFill>
                    <a:latin typeface="Calibri" panose="020F0502020204030204" pitchFamily="34" charset="0"/>
                    <a:ea typeface="+mn-ea"/>
                    <a:cs typeface="Calibri" panose="020F0502020204030204" pitchFamily="34" charset="0"/>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'3.4 openbaar laden'!$B$189:$C$193</c:f>
              <c:strCache>
                <c:ptCount val="5"/>
                <c:pt idx="0">
                  <c:v>De afstand van de openbare laadpaal tot je woning </c:v>
                </c:pt>
                <c:pt idx="1">
                  <c:v>Communicatie met de gemeente </c:v>
                </c:pt>
                <c:pt idx="2">
                  <c:v>Het gemak van aanvragen</c:v>
                </c:pt>
                <c:pt idx="3">
                  <c:v>De duidelijkheid over het proces van aanvraag tot realisatie</c:v>
                </c:pt>
                <c:pt idx="4">
                  <c:v>De doorlooptijd</c:v>
                </c:pt>
              </c:strCache>
            </c:strRef>
          </c:cat>
          <c:val>
            <c:numRef>
              <c:f>'3.4 openbaar laden'!$H$189:$H$193</c:f>
              <c:numCache>
                <c:formatCode>0%</c:formatCode>
                <c:ptCount val="5"/>
                <c:pt idx="0">
                  <c:v>0.32692307692307693</c:v>
                </c:pt>
                <c:pt idx="1">
                  <c:v>7.6923076923076927E-2</c:v>
                </c:pt>
                <c:pt idx="2">
                  <c:v>0.17307692307692307</c:v>
                </c:pt>
                <c:pt idx="3">
                  <c:v>0.11538461538461539</c:v>
                </c:pt>
                <c:pt idx="4">
                  <c:v>7.6923076923076927E-2</c:v>
                </c:pt>
              </c:numCache>
            </c:numRef>
          </c:val>
          <c:extLst>
            <c:ext xmlns:c16="http://schemas.microsoft.com/office/drawing/2014/chart" uri="{C3380CC4-5D6E-409C-BE32-E72D297353CC}">
              <c16:uniqueId val="{00000004-69B4-4A97-BF9D-B2F7B8E73088}"/>
            </c:ext>
          </c:extLst>
        </c:ser>
        <c:dLbls>
          <c:showLegendKey val="0"/>
          <c:showVal val="0"/>
          <c:showCatName val="0"/>
          <c:showSerName val="0"/>
          <c:showPercent val="0"/>
          <c:showBubbleSize val="0"/>
        </c:dLbls>
        <c:gapWidth val="150"/>
        <c:overlap val="100"/>
        <c:axId val="658508264"/>
        <c:axId val="658507904"/>
      </c:barChart>
      <c:catAx>
        <c:axId val="65850826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2C307E"/>
                </a:solidFill>
                <a:latin typeface="Calibri" panose="020F0502020204030204" pitchFamily="34" charset="0"/>
                <a:ea typeface="+mn-ea"/>
                <a:cs typeface="Calibri" panose="020F0502020204030204" pitchFamily="34" charset="0"/>
              </a:defRPr>
            </a:pPr>
            <a:endParaRPr lang="nl-NL"/>
          </a:p>
        </c:txPr>
        <c:crossAx val="658507904"/>
        <c:crosses val="autoZero"/>
        <c:auto val="1"/>
        <c:lblAlgn val="ctr"/>
        <c:lblOffset val="100"/>
        <c:noMultiLvlLbl val="0"/>
      </c:catAx>
      <c:valAx>
        <c:axId val="658507904"/>
        <c:scaling>
          <c:orientation val="minMax"/>
          <c:max val="1"/>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2C307E"/>
                </a:solidFill>
                <a:latin typeface="Calibri" panose="020F0502020204030204" pitchFamily="34" charset="0"/>
                <a:ea typeface="+mn-ea"/>
                <a:cs typeface="Calibri" panose="020F0502020204030204" pitchFamily="34" charset="0"/>
              </a:defRPr>
            </a:pPr>
            <a:endParaRPr lang="nl-NL"/>
          </a:p>
        </c:txPr>
        <c:crossAx val="658508264"/>
        <c:crosses val="autoZero"/>
        <c:crossBetween val="between"/>
      </c:valAx>
      <c:spPr>
        <a:noFill/>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rgbClr val="2C307E"/>
              </a:solidFill>
              <a:latin typeface="Calibri" panose="020F0502020204030204" pitchFamily="34" charset="0"/>
              <a:ea typeface="+mn-ea"/>
              <a:cs typeface="Calibri" panose="020F0502020204030204" pitchFamily="34" charset="0"/>
            </a:defRPr>
          </a:pPr>
          <a:endParaRPr lang="nl-NL"/>
        </a:p>
      </c:txPr>
    </c:legend>
    <c:plotVisOnly val="1"/>
    <c:dispBlanksAs val="gap"/>
    <c:showDLblsOverMax val="0"/>
  </c:chart>
  <c:spPr>
    <a:noFill/>
    <a:ln>
      <a:noFill/>
    </a:ln>
  </c:spPr>
  <c:txPr>
    <a:bodyPr/>
    <a:lstStyle/>
    <a:p>
      <a:pPr>
        <a:defRPr>
          <a:solidFill>
            <a:srgbClr val="2C307E"/>
          </a:solidFill>
        </a:defRPr>
      </a:pPr>
      <a:endParaRPr lang="nl-NL"/>
    </a:p>
  </c:txPr>
  <c:externalData r:id="rId1">
    <c:autoUpdate val="0"/>
  </c:externalData>
</c:chartSpace>
</file>

<file path=word/charts/chart7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100" b="0" i="0" u="none" strike="noStrike" kern="1200" spc="0" baseline="0">
                <a:solidFill>
                  <a:srgbClr val="2C307E"/>
                </a:solidFill>
                <a:latin typeface="+mn-lt"/>
                <a:ea typeface="+mn-ea"/>
                <a:cs typeface="+mn-cs"/>
              </a:defRPr>
            </a:pPr>
            <a:r>
              <a:rPr lang="nl-NL" sz="1100" b="0" i="0" u="none" strike="noStrike" kern="1200" spc="0" baseline="0">
                <a:solidFill>
                  <a:srgbClr val="2C307E"/>
                </a:solidFill>
                <a:latin typeface="Calibri" panose="020F0502020204030204" pitchFamily="34" charset="0"/>
                <a:cs typeface="Calibri" panose="020F0502020204030204" pitchFamily="34" charset="0"/>
              </a:rPr>
              <a:t>Percentage ervaren knelpunten bij snelladen</a:t>
            </a:r>
          </a:p>
          <a:p>
            <a:pPr marL="0" marR="0" lvl="0" indent="0" algn="ctr" defTabSz="914400" rtl="0" eaLnBrk="1" fontAlgn="auto" latinLnBrk="0" hangingPunct="1">
              <a:lnSpc>
                <a:spcPct val="100000"/>
              </a:lnSpc>
              <a:spcBef>
                <a:spcPts val="0"/>
              </a:spcBef>
              <a:spcAft>
                <a:spcPts val="0"/>
              </a:spcAft>
              <a:buClrTx/>
              <a:buSzTx/>
              <a:buFontTx/>
              <a:buNone/>
              <a:tabLst/>
              <a:defRPr sz="1100" b="0" i="0" u="none" strike="noStrike" kern="1200" spc="0" baseline="0">
                <a:solidFill>
                  <a:srgbClr val="2C307E"/>
                </a:solidFill>
                <a:latin typeface="+mn-lt"/>
                <a:ea typeface="+mn-ea"/>
                <a:cs typeface="+mn-cs"/>
              </a:defRPr>
            </a:pPr>
            <a:endParaRPr lang="nl-NL" sz="1100" b="0" i="0" u="none" strike="noStrike" kern="1200" spc="0" baseline="0">
              <a:solidFill>
                <a:srgbClr val="2C307E"/>
              </a:solidFill>
              <a:latin typeface="Calibri" panose="020F0502020204030204" pitchFamily="34" charset="0"/>
              <a:cs typeface="Calibri" panose="020F0502020204030204" pitchFamily="34" charset="0"/>
            </a:endParaRPr>
          </a:p>
        </c:rich>
      </c:tx>
      <c:overlay val="0"/>
      <c:spPr>
        <a:noFill/>
        <a:ln>
          <a:noFill/>
        </a:ln>
        <a:effectLst/>
      </c:spPr>
    </c:title>
    <c:autoTitleDeleted val="0"/>
    <c:plotArea>
      <c:layout/>
      <c:barChart>
        <c:barDir val="col"/>
        <c:grouping val="clustered"/>
        <c:varyColors val="0"/>
        <c:ser>
          <c:idx val="0"/>
          <c:order val="0"/>
          <c:spPr>
            <a:solidFill>
              <a:srgbClr val="C9C743"/>
            </a:solidFill>
            <a:ln>
              <a:noFill/>
            </a:ln>
            <a:effectLst/>
          </c:spPr>
          <c:invertIfNegative val="0"/>
          <c:dLbls>
            <c:spPr>
              <a:noFill/>
              <a:ln>
                <a:noFill/>
              </a:ln>
              <a:effectLst/>
            </c:spPr>
            <c:txPr>
              <a:bodyPr wrap="square" lIns="38100" tIns="19050" rIns="38100" bIns="19050" anchor="ctr" anchorCtr="0">
                <a:spAutoFit/>
              </a:bodyPr>
              <a:lstStyle/>
              <a:p>
                <a:pPr algn="ctr">
                  <a:defRPr lang="en-US" sz="800" b="1" i="0" u="none" strike="noStrike" kern="1200" baseline="0">
                    <a:solidFill>
                      <a:srgbClr val="4EAFAA"/>
                    </a:solidFill>
                    <a:latin typeface="+mn-lt"/>
                    <a:ea typeface="+mn-ea"/>
                    <a:cs typeface="+mn-cs"/>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'3.4 snelladen'!$B$5:$F$5</c:f>
              <c:numCache>
                <c:formatCode>General</c:formatCode>
                <c:ptCount val="5"/>
                <c:pt idx="0">
                  <c:v>2021</c:v>
                </c:pt>
                <c:pt idx="1">
                  <c:v>2022</c:v>
                </c:pt>
                <c:pt idx="2">
                  <c:v>2023</c:v>
                </c:pt>
                <c:pt idx="3">
                  <c:v>2024</c:v>
                </c:pt>
                <c:pt idx="4">
                  <c:v>2025</c:v>
                </c:pt>
              </c:numCache>
            </c:numRef>
          </c:cat>
          <c:val>
            <c:numRef>
              <c:f>'3.4 snelladen'!$B$6:$F$6</c:f>
              <c:numCache>
                <c:formatCode>0%</c:formatCode>
                <c:ptCount val="5"/>
                <c:pt idx="0">
                  <c:v>0.62</c:v>
                </c:pt>
                <c:pt idx="1">
                  <c:v>0.43</c:v>
                </c:pt>
                <c:pt idx="2">
                  <c:v>0.32</c:v>
                </c:pt>
                <c:pt idx="3">
                  <c:v>0.3</c:v>
                </c:pt>
                <c:pt idx="4">
                  <c:v>0.25</c:v>
                </c:pt>
              </c:numCache>
            </c:numRef>
          </c:val>
          <c:extLst>
            <c:ext xmlns:c16="http://schemas.microsoft.com/office/drawing/2014/chart" uri="{C3380CC4-5D6E-409C-BE32-E72D297353CC}">
              <c16:uniqueId val="{00000000-EC7E-495F-971B-5EBD43CC697F}"/>
            </c:ext>
          </c:extLst>
        </c:ser>
        <c:dLbls>
          <c:showLegendKey val="0"/>
          <c:showVal val="0"/>
          <c:showCatName val="0"/>
          <c:showSerName val="0"/>
          <c:showPercent val="0"/>
          <c:showBubbleSize val="0"/>
        </c:dLbls>
        <c:gapWidth val="219"/>
        <c:overlap val="-27"/>
        <c:axId val="859086912"/>
        <c:axId val="859090872"/>
      </c:barChart>
      <c:catAx>
        <c:axId val="8590869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2C307E"/>
                </a:solidFill>
                <a:latin typeface="+mn-lt"/>
                <a:ea typeface="+mn-ea"/>
                <a:cs typeface="+mn-cs"/>
              </a:defRPr>
            </a:pPr>
            <a:endParaRPr lang="nl-NL"/>
          </a:p>
        </c:txPr>
        <c:crossAx val="859090872"/>
        <c:crosses val="autoZero"/>
        <c:auto val="1"/>
        <c:lblAlgn val="ctr"/>
        <c:lblOffset val="100"/>
        <c:noMultiLvlLbl val="0"/>
      </c:catAx>
      <c:valAx>
        <c:axId val="859090872"/>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2C307E"/>
                </a:solidFill>
                <a:latin typeface="+mn-lt"/>
                <a:ea typeface="+mn-ea"/>
                <a:cs typeface="+mn-cs"/>
              </a:defRPr>
            </a:pPr>
            <a:endParaRPr lang="nl-NL"/>
          </a:p>
        </c:txPr>
        <c:crossAx val="859086912"/>
        <c:crosses val="autoZero"/>
        <c:crossBetween val="between"/>
        <c:majorUnit val="0.1"/>
      </c:valAx>
      <c:spPr>
        <a:noFill/>
        <a:ln>
          <a:noFill/>
        </a:ln>
      </c:spPr>
    </c:plotArea>
    <c:plotVisOnly val="1"/>
    <c:dispBlanksAs val="gap"/>
    <c:showDLblsOverMax val="0"/>
    <c:extLst/>
  </c:chart>
  <c:spPr>
    <a:noFill/>
    <a:ln>
      <a:noFill/>
    </a:ln>
  </c:spPr>
  <c:txPr>
    <a:bodyPr/>
    <a:lstStyle/>
    <a:p>
      <a:pPr>
        <a:defRPr/>
      </a:pPr>
      <a:endParaRPr lang="nl-NL"/>
    </a:p>
  </c:txPr>
  <c:externalData r:id="rId1">
    <c:autoUpdate val="0"/>
  </c:externalData>
</c:chartSpace>
</file>

<file path=word/charts/chart7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100" b="0" i="0" u="none" strike="noStrike" kern="1200" spc="0" baseline="0">
                <a:solidFill>
                  <a:srgbClr val="2C307E"/>
                </a:solidFill>
                <a:latin typeface="+mn-lt"/>
                <a:ea typeface="+mn-ea"/>
                <a:cs typeface="+mn-cs"/>
              </a:defRPr>
            </a:pPr>
            <a:r>
              <a:rPr lang="en-US" sz="1100" b="0" i="0" u="none" strike="noStrike" kern="1200" spc="0" baseline="0">
                <a:solidFill>
                  <a:srgbClr val="2C307E"/>
                </a:solidFill>
                <a:latin typeface="Calibri" panose="020F0502020204030204" pitchFamily="34" charset="0"/>
                <a:cs typeface="Calibri" panose="020F0502020204030204" pitchFamily="34" charset="0"/>
              </a:rPr>
              <a:t>Als de laadsnelheid lager is dan aangegeven, welke actie onderneem je? </a:t>
            </a:r>
          </a:p>
        </c:rich>
      </c:tx>
      <c:overlay val="0"/>
      <c:spPr>
        <a:noFill/>
        <a:ln>
          <a:noFill/>
        </a:ln>
        <a:effectLst/>
      </c:spPr>
    </c:title>
    <c:autoTitleDeleted val="0"/>
    <c:plotArea>
      <c:layout>
        <c:manualLayout>
          <c:layoutTarget val="inner"/>
          <c:xMode val="edge"/>
          <c:yMode val="edge"/>
          <c:x val="0.26103269846347954"/>
          <c:y val="0.28097539543057998"/>
          <c:w val="0.69693864162893815"/>
          <c:h val="0.44998399847906334"/>
        </c:manualLayout>
      </c:layout>
      <c:barChart>
        <c:barDir val="col"/>
        <c:grouping val="clustered"/>
        <c:varyColors val="0"/>
        <c:ser>
          <c:idx val="0"/>
          <c:order val="0"/>
          <c:spPr>
            <a:solidFill>
              <a:srgbClr val="C9C743"/>
            </a:solidFill>
            <a:ln>
              <a:noFill/>
            </a:ln>
            <a:effectLst/>
          </c:spPr>
          <c:invertIfNegative val="0"/>
          <c:dLbls>
            <c:spPr>
              <a:noFill/>
              <a:ln>
                <a:noFill/>
              </a:ln>
              <a:effectLst/>
            </c:spPr>
            <c:txPr>
              <a:bodyPr wrap="square" lIns="38100" tIns="19050" rIns="38100" bIns="19050" anchor="ctr" anchorCtr="0">
                <a:spAutoFit/>
              </a:bodyPr>
              <a:lstStyle/>
              <a:p>
                <a:pPr algn="ctr">
                  <a:defRPr lang="en-US" sz="800" b="1" i="0" u="none" strike="noStrike" kern="1200" baseline="0">
                    <a:solidFill>
                      <a:srgbClr val="4EAFAA"/>
                    </a:solidFill>
                    <a:latin typeface="+mn-lt"/>
                    <a:ea typeface="+mn-ea"/>
                    <a:cs typeface="+mn-cs"/>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'3.4 snelladen'!$B$27:$B$30</c:f>
              <c:strCache>
                <c:ptCount val="4"/>
                <c:pt idx="0">
                  <c:v>Ik laat mijn elektrisch voertuig langer staan</c:v>
                </c:pt>
                <c:pt idx="1">
                  <c:v>Ik ga weg na mijn ingeplande tijd, maar minder vol geladen</c:v>
                </c:pt>
                <c:pt idx="2">
                  <c:v>Ik houd hier rekening mee door op mijn doorreis een extra laadstop in te plannen</c:v>
                </c:pt>
                <c:pt idx="3">
                  <c:v>Anders, namelijk</c:v>
                </c:pt>
              </c:strCache>
            </c:strRef>
          </c:cat>
          <c:val>
            <c:numRef>
              <c:f>'3.4 snelladen'!$E$27:$E$30</c:f>
              <c:numCache>
                <c:formatCode>0%</c:formatCode>
                <c:ptCount val="4"/>
                <c:pt idx="0">
                  <c:v>0.58024691358024694</c:v>
                </c:pt>
                <c:pt idx="1">
                  <c:v>0.15432098765432098</c:v>
                </c:pt>
                <c:pt idx="2">
                  <c:v>0.16666666666666666</c:v>
                </c:pt>
                <c:pt idx="3">
                  <c:v>9.8765432098765427E-2</c:v>
                </c:pt>
              </c:numCache>
            </c:numRef>
          </c:val>
          <c:extLst>
            <c:ext xmlns:c16="http://schemas.microsoft.com/office/drawing/2014/chart" uri="{C3380CC4-5D6E-409C-BE32-E72D297353CC}">
              <c16:uniqueId val="{00000000-146B-4763-AE5A-72103B038C49}"/>
            </c:ext>
          </c:extLst>
        </c:ser>
        <c:dLbls>
          <c:showLegendKey val="0"/>
          <c:showVal val="0"/>
          <c:showCatName val="0"/>
          <c:showSerName val="0"/>
          <c:showPercent val="0"/>
          <c:showBubbleSize val="0"/>
        </c:dLbls>
        <c:gapWidth val="219"/>
        <c:overlap val="-27"/>
        <c:axId val="859086912"/>
        <c:axId val="859090872"/>
      </c:barChart>
      <c:catAx>
        <c:axId val="8590869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sz="900" b="0" i="0" u="none" strike="noStrike" kern="1200" baseline="0">
                <a:solidFill>
                  <a:srgbClr val="2C307E"/>
                </a:solidFill>
                <a:latin typeface="+mn-lt"/>
                <a:ea typeface="+mn-ea"/>
                <a:cs typeface="+mn-cs"/>
              </a:defRPr>
            </a:pPr>
            <a:endParaRPr lang="nl-NL"/>
          </a:p>
        </c:txPr>
        <c:crossAx val="859090872"/>
        <c:crosses val="autoZero"/>
        <c:auto val="1"/>
        <c:lblAlgn val="ctr"/>
        <c:lblOffset val="100"/>
        <c:noMultiLvlLbl val="0"/>
      </c:catAx>
      <c:valAx>
        <c:axId val="859090872"/>
        <c:scaling>
          <c:orientation val="minMax"/>
          <c:max val="0.60000000000000009"/>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2C307E"/>
                </a:solidFill>
                <a:latin typeface="+mn-lt"/>
                <a:ea typeface="+mn-ea"/>
                <a:cs typeface="+mn-cs"/>
              </a:defRPr>
            </a:pPr>
            <a:endParaRPr lang="nl-NL"/>
          </a:p>
        </c:txPr>
        <c:crossAx val="859086912"/>
        <c:crosses val="autoZero"/>
        <c:crossBetween val="between"/>
        <c:majorUnit val="0.2"/>
      </c:valAx>
      <c:spPr>
        <a:noFill/>
        <a:ln>
          <a:noFill/>
        </a:ln>
      </c:spPr>
    </c:plotArea>
    <c:plotVisOnly val="1"/>
    <c:dispBlanksAs val="gap"/>
    <c:showDLblsOverMax val="0"/>
    <c:extLst/>
  </c:chart>
  <c:spPr>
    <a:noFill/>
    <a:ln>
      <a:noFill/>
    </a:ln>
  </c:spPr>
  <c:txPr>
    <a:bodyPr/>
    <a:lstStyle/>
    <a:p>
      <a:pPr>
        <a:defRPr/>
      </a:pPr>
      <a:endParaRPr lang="nl-NL"/>
    </a:p>
  </c:txPr>
  <c:externalData r:id="rId1">
    <c:autoUpdate val="0"/>
  </c:externalData>
</c:chartSpace>
</file>

<file path=word/charts/chart7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100" b="0" i="0" u="none" strike="noStrike" kern="1200" spc="0" baseline="0">
                <a:solidFill>
                  <a:srgbClr val="2C307E"/>
                </a:solidFill>
                <a:latin typeface="+mn-lt"/>
                <a:ea typeface="+mn-ea"/>
                <a:cs typeface="+mn-cs"/>
              </a:defRPr>
            </a:pPr>
            <a:r>
              <a:rPr lang="nl-NL" sz="1100" b="0" i="0" u="none" strike="noStrike" baseline="0">
                <a:effectLst/>
              </a:rPr>
              <a:t>Welke aspecten dragen voor jou bij aan een fijne snellaadervaring?</a:t>
            </a:r>
            <a:r>
              <a:rPr lang="nl-NL" sz="1100" b="0" i="0" u="none" strike="noStrike" baseline="0"/>
              <a:t> </a:t>
            </a:r>
            <a:endParaRPr lang="en-US" sz="1100" b="0" i="0" u="none" strike="noStrike" kern="1200" spc="0" baseline="0">
              <a:solidFill>
                <a:srgbClr val="2C307E"/>
              </a:solidFill>
              <a:latin typeface="Calibri" panose="020F0502020204030204" pitchFamily="34" charset="0"/>
              <a:cs typeface="Calibri" panose="020F0502020204030204" pitchFamily="34" charset="0"/>
            </a:endParaRPr>
          </a:p>
        </c:rich>
      </c:tx>
      <c:overlay val="0"/>
      <c:spPr>
        <a:noFill/>
        <a:ln>
          <a:noFill/>
        </a:ln>
        <a:effectLst/>
      </c:spPr>
    </c:title>
    <c:autoTitleDeleted val="0"/>
    <c:plotArea>
      <c:layout>
        <c:manualLayout>
          <c:layoutTarget val="inner"/>
          <c:xMode val="edge"/>
          <c:yMode val="edge"/>
          <c:x val="0.57864784157967553"/>
          <c:y val="0.10704182907369136"/>
          <c:w val="0.37680844319646184"/>
          <c:h val="0.82326251079080226"/>
        </c:manualLayout>
      </c:layout>
      <c:barChart>
        <c:barDir val="bar"/>
        <c:grouping val="clustered"/>
        <c:varyColors val="0"/>
        <c:ser>
          <c:idx val="0"/>
          <c:order val="0"/>
          <c:spPr>
            <a:solidFill>
              <a:srgbClr val="C9C743"/>
            </a:solidFill>
            <a:ln>
              <a:noFill/>
            </a:ln>
            <a:effectLst/>
          </c:spPr>
          <c:invertIfNegative val="0"/>
          <c:dLbls>
            <c:spPr>
              <a:noFill/>
              <a:ln>
                <a:noFill/>
              </a:ln>
              <a:effectLst/>
            </c:spPr>
            <c:txPr>
              <a:bodyPr wrap="square" lIns="38100" tIns="19050" rIns="38100" bIns="19050" anchor="ctr" anchorCtr="0">
                <a:spAutoFit/>
              </a:bodyPr>
              <a:lstStyle/>
              <a:p>
                <a:pPr algn="ctr">
                  <a:defRPr lang="en-US" sz="800" b="1" i="0" u="none" strike="noStrike" kern="1200" baseline="0">
                    <a:solidFill>
                      <a:srgbClr val="4EAFAA"/>
                    </a:solidFill>
                    <a:latin typeface="+mn-lt"/>
                    <a:ea typeface="+mn-ea"/>
                    <a:cs typeface="+mn-cs"/>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'3.4 snelladen'!$B$68:$B$75</c:f>
              <c:strCache>
                <c:ptCount val="8"/>
                <c:pt idx="0">
                  <c:v>24/7 klantenservice beschikbaar  </c:v>
                </c:pt>
                <c:pt idx="1">
                  <c:v>Laden met groene stroom  </c:v>
                </c:pt>
                <c:pt idx="2">
                  <c:v>Betaalmogelijkheden  </c:v>
                </c:pt>
                <c:pt idx="3">
                  <c:v>Beschutte en veilige omgeving  </c:v>
                </c:pt>
                <c:pt idx="4">
                  <c:v>Zichtbaarheid en vindbaarheid van de laadlocatie  </c:v>
                </c:pt>
                <c:pt idx="5">
                  <c:v>Vooraf inzicht in de prijs (prijstransparantie)  </c:v>
                </c:pt>
                <c:pt idx="6">
                  <c:v>Faciliteiten (horeca, toiletten etc.)  </c:v>
                </c:pt>
                <c:pt idx="7">
                  <c:v>Hoge laadsnelheid  </c:v>
                </c:pt>
              </c:strCache>
            </c:strRef>
          </c:cat>
          <c:val>
            <c:numRef>
              <c:f>'3.4 snelladen'!$E$68:$E$75</c:f>
              <c:numCache>
                <c:formatCode>0%</c:formatCode>
                <c:ptCount val="8"/>
                <c:pt idx="0">
                  <c:v>1.8181818181818181E-2</c:v>
                </c:pt>
                <c:pt idx="1">
                  <c:v>7.563636363636364E-2</c:v>
                </c:pt>
                <c:pt idx="2">
                  <c:v>8.3636363636363634E-2</c:v>
                </c:pt>
                <c:pt idx="3">
                  <c:v>9.9636363636363634E-2</c:v>
                </c:pt>
                <c:pt idx="4">
                  <c:v>0.24290909090909091</c:v>
                </c:pt>
                <c:pt idx="5">
                  <c:v>0.34399999999999997</c:v>
                </c:pt>
                <c:pt idx="6">
                  <c:v>0.36727272727272725</c:v>
                </c:pt>
                <c:pt idx="7">
                  <c:v>0.72</c:v>
                </c:pt>
              </c:numCache>
            </c:numRef>
          </c:val>
          <c:extLst>
            <c:ext xmlns:c16="http://schemas.microsoft.com/office/drawing/2014/chart" uri="{C3380CC4-5D6E-409C-BE32-E72D297353CC}">
              <c16:uniqueId val="{00000000-B4B7-4044-AEC3-A6F1B5463E23}"/>
            </c:ext>
          </c:extLst>
        </c:ser>
        <c:dLbls>
          <c:showLegendKey val="0"/>
          <c:showVal val="0"/>
          <c:showCatName val="0"/>
          <c:showSerName val="0"/>
          <c:showPercent val="0"/>
          <c:showBubbleSize val="0"/>
        </c:dLbls>
        <c:gapWidth val="219"/>
        <c:axId val="859086912"/>
        <c:axId val="859090872"/>
      </c:barChart>
      <c:catAx>
        <c:axId val="85908691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2C307E"/>
                </a:solidFill>
                <a:latin typeface="+mn-lt"/>
                <a:ea typeface="+mn-ea"/>
                <a:cs typeface="+mn-cs"/>
              </a:defRPr>
            </a:pPr>
            <a:endParaRPr lang="nl-NL"/>
          </a:p>
        </c:txPr>
        <c:crossAx val="859090872"/>
        <c:crosses val="autoZero"/>
        <c:auto val="1"/>
        <c:lblAlgn val="ctr"/>
        <c:lblOffset val="100"/>
        <c:noMultiLvlLbl val="0"/>
      </c:catAx>
      <c:valAx>
        <c:axId val="859090872"/>
        <c:scaling>
          <c:orientation val="minMax"/>
          <c:min val="0"/>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2C307E"/>
                </a:solidFill>
                <a:latin typeface="+mn-lt"/>
                <a:ea typeface="+mn-ea"/>
                <a:cs typeface="+mn-cs"/>
              </a:defRPr>
            </a:pPr>
            <a:endParaRPr lang="nl-NL"/>
          </a:p>
        </c:txPr>
        <c:crossAx val="859086912"/>
        <c:crosses val="autoZero"/>
        <c:crossBetween val="between"/>
        <c:majorUnit val="0.2"/>
      </c:valAx>
      <c:spPr>
        <a:noFill/>
        <a:ln>
          <a:noFill/>
        </a:ln>
      </c:spPr>
    </c:plotArea>
    <c:plotVisOnly val="1"/>
    <c:dispBlanksAs val="gap"/>
    <c:showDLblsOverMax val="0"/>
    <c:extLst/>
  </c:chart>
  <c:spPr>
    <a:noFill/>
    <a:ln>
      <a:noFill/>
    </a:ln>
  </c:spPr>
  <c:txPr>
    <a:bodyPr/>
    <a:lstStyle/>
    <a:p>
      <a:pPr>
        <a:defRPr/>
      </a:pPr>
      <a:endParaRPr lang="nl-NL"/>
    </a:p>
  </c:txPr>
  <c:externalData r:id="rId1">
    <c:autoUpdate val="0"/>
  </c:externalData>
</c:chartSpace>
</file>

<file path=word/charts/chart7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100" b="0" i="0" u="none" strike="noStrike" kern="1200" spc="0" baseline="0">
                <a:solidFill>
                  <a:srgbClr val="2C307E"/>
                </a:solidFill>
                <a:latin typeface="+mn-lt"/>
                <a:ea typeface="+mn-ea"/>
                <a:cs typeface="+mn-cs"/>
              </a:defRPr>
            </a:pPr>
            <a:r>
              <a:rPr lang="en-US" sz="1100" b="0" i="0" u="none" strike="noStrike" kern="1200" spc="0" baseline="0">
                <a:solidFill>
                  <a:srgbClr val="2C307E"/>
                </a:solidFill>
                <a:latin typeface="Calibri" panose="020F0502020204030204" pitchFamily="34" charset="0"/>
                <a:cs typeface="Calibri" panose="020F0502020204030204" pitchFamily="34" charset="0"/>
              </a:rPr>
              <a:t>Wat is voor jou de belangrijkste reden om te bepalen hoe lang je bij een snellader laadt?</a:t>
            </a:r>
          </a:p>
        </c:rich>
      </c:tx>
      <c:overlay val="0"/>
      <c:spPr>
        <a:noFill/>
        <a:ln>
          <a:noFill/>
        </a:ln>
        <a:effectLst/>
      </c:spPr>
    </c:title>
    <c:autoTitleDeleted val="0"/>
    <c:plotArea>
      <c:layout/>
      <c:barChart>
        <c:barDir val="col"/>
        <c:grouping val="clustered"/>
        <c:varyColors val="0"/>
        <c:ser>
          <c:idx val="0"/>
          <c:order val="0"/>
          <c:spPr>
            <a:solidFill>
              <a:srgbClr val="C9C743"/>
            </a:solidFill>
            <a:ln>
              <a:noFill/>
            </a:ln>
            <a:effectLst/>
          </c:spPr>
          <c:invertIfNegative val="0"/>
          <c:dLbls>
            <c:spPr>
              <a:noFill/>
              <a:ln>
                <a:noFill/>
              </a:ln>
              <a:effectLst/>
            </c:spPr>
            <c:txPr>
              <a:bodyPr wrap="square" lIns="38100" tIns="19050" rIns="38100" bIns="19050" anchor="ctr" anchorCtr="0">
                <a:spAutoFit/>
              </a:bodyPr>
              <a:lstStyle/>
              <a:p>
                <a:pPr algn="ctr">
                  <a:defRPr lang="en-US" sz="800" b="1" i="0" u="none" strike="noStrike" kern="1200" baseline="0">
                    <a:solidFill>
                      <a:srgbClr val="4EAFAA"/>
                    </a:solidFill>
                    <a:latin typeface="+mn-lt"/>
                    <a:ea typeface="+mn-ea"/>
                    <a:cs typeface="+mn-cs"/>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'3.4 snelladen'!$B$50:$B$52</c:f>
              <c:strCache>
                <c:ptCount val="3"/>
                <c:pt idx="0">
                  <c:v>Het minimaal aantal kWh (rijbereik) dat ik wil laden</c:v>
                </c:pt>
                <c:pt idx="1">
                  <c:v>De maximale tijd die ik wil laden</c:v>
                </c:pt>
                <c:pt idx="2">
                  <c:v>De tijd die ik nodig heb om te pauzeren van het rijden</c:v>
                </c:pt>
              </c:strCache>
            </c:strRef>
          </c:cat>
          <c:val>
            <c:numRef>
              <c:f>'3.4 snelladen'!$E$50:$E$52</c:f>
              <c:numCache>
                <c:formatCode>0%</c:formatCode>
                <c:ptCount val="3"/>
                <c:pt idx="0">
                  <c:v>0.72530641672674834</c:v>
                </c:pt>
                <c:pt idx="1">
                  <c:v>0.15645277577505406</c:v>
                </c:pt>
                <c:pt idx="2">
                  <c:v>0.11824080749819754</c:v>
                </c:pt>
              </c:numCache>
            </c:numRef>
          </c:val>
          <c:extLst>
            <c:ext xmlns:c16="http://schemas.microsoft.com/office/drawing/2014/chart" uri="{C3380CC4-5D6E-409C-BE32-E72D297353CC}">
              <c16:uniqueId val="{00000000-AB9F-43F1-A545-8D8AFB45D8A0}"/>
            </c:ext>
          </c:extLst>
        </c:ser>
        <c:dLbls>
          <c:showLegendKey val="0"/>
          <c:showVal val="0"/>
          <c:showCatName val="0"/>
          <c:showSerName val="0"/>
          <c:showPercent val="0"/>
          <c:showBubbleSize val="0"/>
        </c:dLbls>
        <c:gapWidth val="219"/>
        <c:overlap val="-27"/>
        <c:axId val="859086912"/>
        <c:axId val="859090872"/>
      </c:barChart>
      <c:catAx>
        <c:axId val="8590869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2C307E"/>
                </a:solidFill>
                <a:latin typeface="+mn-lt"/>
                <a:ea typeface="+mn-ea"/>
                <a:cs typeface="+mn-cs"/>
              </a:defRPr>
            </a:pPr>
            <a:endParaRPr lang="nl-NL"/>
          </a:p>
        </c:txPr>
        <c:crossAx val="859090872"/>
        <c:crosses val="autoZero"/>
        <c:auto val="1"/>
        <c:lblAlgn val="ctr"/>
        <c:lblOffset val="100"/>
        <c:noMultiLvlLbl val="0"/>
      </c:catAx>
      <c:valAx>
        <c:axId val="859090872"/>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2C307E"/>
                </a:solidFill>
                <a:latin typeface="+mn-lt"/>
                <a:ea typeface="+mn-ea"/>
                <a:cs typeface="+mn-cs"/>
              </a:defRPr>
            </a:pPr>
            <a:endParaRPr lang="nl-NL"/>
          </a:p>
        </c:txPr>
        <c:crossAx val="859086912"/>
        <c:crosses val="autoZero"/>
        <c:crossBetween val="between"/>
        <c:majorUnit val="0.2"/>
      </c:valAx>
      <c:spPr>
        <a:noFill/>
        <a:ln>
          <a:noFill/>
        </a:ln>
      </c:spPr>
    </c:plotArea>
    <c:plotVisOnly val="1"/>
    <c:dispBlanksAs val="gap"/>
    <c:showDLblsOverMax val="0"/>
    <c:extLst/>
  </c:chart>
  <c:spPr>
    <a:noFill/>
    <a:ln>
      <a:noFill/>
    </a:ln>
  </c:spPr>
  <c:txPr>
    <a:bodyPr/>
    <a:lstStyle/>
    <a:p>
      <a:pPr>
        <a:defRPr/>
      </a:pPr>
      <a:endParaRPr lang="nl-NL"/>
    </a:p>
  </c:txPr>
  <c:externalData r:id="rId1">
    <c:autoUpdate val="0"/>
  </c:externalData>
</c:chartSpace>
</file>

<file path=word/charts/chart7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100" b="0" i="0" u="none" strike="noStrike" kern="1200" spc="0" baseline="0">
                <a:solidFill>
                  <a:sysClr val="windowText" lastClr="000000">
                    <a:lumMod val="65000"/>
                    <a:lumOff val="35000"/>
                  </a:sysClr>
                </a:solidFill>
                <a:latin typeface="+mn-lt"/>
                <a:ea typeface="+mn-ea"/>
                <a:cs typeface="+mn-cs"/>
              </a:defRPr>
            </a:pPr>
            <a:r>
              <a:rPr lang="nl-NL" sz="1100" b="0" i="0" u="none" strike="noStrike" kern="1200" spc="0" baseline="0">
                <a:solidFill>
                  <a:srgbClr val="2C307E"/>
                </a:solidFill>
                <a:latin typeface="Calibri" panose="020F0502020204030204" pitchFamily="34" charset="0"/>
                <a:cs typeface="Calibri" panose="020F0502020204030204" pitchFamily="34" charset="0"/>
              </a:rPr>
              <a:t>Aan de hand waarvan bepaal je of je bij een snellader (≥50kW) laadt?</a:t>
            </a: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100" b="0" i="0" u="none" strike="noStrike" kern="1200" spc="0" baseline="0">
              <a:solidFill>
                <a:sysClr val="windowText" lastClr="000000">
                  <a:lumMod val="65000"/>
                  <a:lumOff val="35000"/>
                </a:sysClr>
              </a:solidFill>
              <a:latin typeface="+mn-lt"/>
              <a:ea typeface="+mn-ea"/>
              <a:cs typeface="+mn-cs"/>
            </a:defRPr>
          </a:pPr>
          <a:endParaRPr lang="nl-NL"/>
        </a:p>
      </c:txPr>
    </c:title>
    <c:autoTitleDeleted val="0"/>
    <c:plotArea>
      <c:layout>
        <c:manualLayout>
          <c:layoutTarget val="inner"/>
          <c:xMode val="edge"/>
          <c:yMode val="edge"/>
          <c:x val="7.8897562481877709E-2"/>
          <c:y val="0.15167311784503276"/>
          <c:w val="0.820397127547005"/>
          <c:h val="0.23321357083772712"/>
        </c:manualLayout>
      </c:layout>
      <c:barChart>
        <c:barDir val="bar"/>
        <c:grouping val="percentStacked"/>
        <c:varyColors val="0"/>
        <c:ser>
          <c:idx val="0"/>
          <c:order val="0"/>
          <c:tx>
            <c:strRef>
              <c:f>'3.4 snelladen'!$B$34</c:f>
              <c:strCache>
                <c:ptCount val="1"/>
                <c:pt idx="0">
                  <c:v>De nabijheid van de snellader </c:v>
                </c:pt>
              </c:strCache>
            </c:strRef>
          </c:tx>
          <c:spPr>
            <a:solidFill>
              <a:srgbClr val="2C307E"/>
            </a:solidFill>
            <a:ln>
              <a:solidFill>
                <a:srgbClr val="2C307E"/>
              </a:solidFill>
            </a:ln>
            <a:effectLst/>
          </c:spPr>
          <c:invertIfNegative val="0"/>
          <c:dLbls>
            <c:spPr>
              <a:noFill/>
              <a:ln>
                <a:noFill/>
              </a:ln>
              <a:effectLst/>
            </c:spPr>
            <c:txPr>
              <a:bodyPr rot="0" spcFirstLastPara="1" vertOverflow="ellipsis" vert="horz" wrap="square" lIns="38100" tIns="19050" rIns="38100" bIns="19050" anchor="ctr" anchorCtr="0">
                <a:spAutoFit/>
              </a:bodyPr>
              <a:lstStyle/>
              <a:p>
                <a:pPr algn="ctr">
                  <a:defRPr lang="en-US" sz="800" b="1" i="0" u="none" strike="noStrike" kern="1200" baseline="0">
                    <a:solidFill>
                      <a:schemeClr val="bg1"/>
                    </a:solidFill>
                    <a:latin typeface="+mn-lt"/>
                    <a:ea typeface="+mn-ea"/>
                    <a:cs typeface="+mn-cs"/>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'3.4 snelladen'!$D$34</c:f>
              <c:numCache>
                <c:formatCode>0%</c:formatCode>
                <c:ptCount val="1"/>
                <c:pt idx="0">
                  <c:v>0.32265112891478515</c:v>
                </c:pt>
              </c:numCache>
            </c:numRef>
          </c:val>
          <c:extLst>
            <c:ext xmlns:c16="http://schemas.microsoft.com/office/drawing/2014/chart" uri="{C3380CC4-5D6E-409C-BE32-E72D297353CC}">
              <c16:uniqueId val="{00000000-512A-4BB5-B5E2-8789E717D2B4}"/>
            </c:ext>
          </c:extLst>
        </c:ser>
        <c:ser>
          <c:idx val="4"/>
          <c:order val="1"/>
          <c:tx>
            <c:strRef>
              <c:f>'3.4 snelladen'!$B$35</c:f>
              <c:strCache>
                <c:ptCount val="1"/>
                <c:pt idx="0">
                  <c:v>De exploitant (b.v. Tesla, FastNed, Shell Recharge, Allego)  </c:v>
                </c:pt>
              </c:strCache>
            </c:strRef>
          </c:tx>
          <c:spPr>
            <a:solidFill>
              <a:srgbClr val="08B466"/>
            </a:solidFill>
            <a:ln>
              <a:solidFill>
                <a:srgbClr val="08B466"/>
              </a:solidFill>
            </a:ln>
            <a:effectLst/>
          </c:spPr>
          <c:invertIfNegative val="0"/>
          <c:dLbls>
            <c:dLbl>
              <c:idx val="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12A-4BB5-B5E2-8789E717D2B4}"/>
                </c:ext>
              </c:extLst>
            </c:dLbl>
            <c:spPr>
              <a:noFill/>
              <a:ln>
                <a:noFill/>
              </a:ln>
              <a:effectLst/>
            </c:spPr>
            <c:txPr>
              <a:bodyPr rot="0" spcFirstLastPara="1" vertOverflow="ellipsis" vert="horz" wrap="square" lIns="38100" tIns="19050" rIns="38100" bIns="19050" anchor="ctr" anchorCtr="0">
                <a:spAutoFit/>
              </a:bodyPr>
              <a:lstStyle/>
              <a:p>
                <a:pPr algn="ctr">
                  <a:defRPr lang="en-US" sz="800" b="1" i="0" u="none" strike="noStrike" kern="1200" baseline="0">
                    <a:solidFill>
                      <a:schemeClr val="bg1"/>
                    </a:solidFill>
                    <a:latin typeface="+mn-lt"/>
                    <a:ea typeface="+mn-ea"/>
                    <a:cs typeface="+mn-cs"/>
                  </a:defRPr>
                </a:pPr>
                <a:endParaRPr lang="nl-NL"/>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'3.4 snelladen'!$D$35</c:f>
              <c:numCache>
                <c:formatCode>0%</c:formatCode>
                <c:ptCount val="1"/>
                <c:pt idx="0">
                  <c:v>0.27822286962855064</c:v>
                </c:pt>
              </c:numCache>
            </c:numRef>
          </c:val>
          <c:extLst>
            <c:ext xmlns:c16="http://schemas.microsoft.com/office/drawing/2014/chart" uri="{C3380CC4-5D6E-409C-BE32-E72D297353CC}">
              <c16:uniqueId val="{00000002-512A-4BB5-B5E2-8789E717D2B4}"/>
            </c:ext>
          </c:extLst>
        </c:ser>
        <c:ser>
          <c:idx val="2"/>
          <c:order val="2"/>
          <c:tx>
            <c:strRef>
              <c:f>'3.4 snelladen'!$B$36</c:f>
              <c:strCache>
                <c:ptCount val="1"/>
                <c:pt idx="0">
                  <c:v>De laadsnelheid  </c:v>
                </c:pt>
              </c:strCache>
            </c:strRef>
          </c:tx>
          <c:spPr>
            <a:solidFill>
              <a:srgbClr val="C9C743"/>
            </a:solidFill>
            <a:ln>
              <a:solidFill>
                <a:srgbClr val="C9C743"/>
              </a:solidFill>
            </a:ln>
            <a:effectLst/>
          </c:spPr>
          <c:invertIfNegative val="0"/>
          <c:dLbls>
            <c:spPr>
              <a:noFill/>
              <a:ln>
                <a:noFill/>
              </a:ln>
              <a:effectLst/>
            </c:spPr>
            <c:txPr>
              <a:bodyPr rot="0" spcFirstLastPara="1" vertOverflow="ellipsis" vert="horz" wrap="square" lIns="38100" tIns="19050" rIns="38100" bIns="19050" anchor="ctr" anchorCtr="0">
                <a:spAutoFit/>
              </a:bodyPr>
              <a:lstStyle/>
              <a:p>
                <a:pPr algn="ctr">
                  <a:defRPr lang="en-US" sz="800" b="1" i="0" u="none" strike="noStrike" kern="1200" baseline="0">
                    <a:solidFill>
                      <a:schemeClr val="bg1"/>
                    </a:solidFill>
                    <a:latin typeface="+mn-lt"/>
                    <a:ea typeface="+mn-ea"/>
                    <a:cs typeface="+mn-cs"/>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'3.4 snelladen'!$D$36</c:f>
              <c:numCache>
                <c:formatCode>0%</c:formatCode>
                <c:ptCount val="1"/>
                <c:pt idx="0">
                  <c:v>0.17334304442825929</c:v>
                </c:pt>
              </c:numCache>
            </c:numRef>
          </c:val>
          <c:extLst>
            <c:ext xmlns:c16="http://schemas.microsoft.com/office/drawing/2014/chart" uri="{C3380CC4-5D6E-409C-BE32-E72D297353CC}">
              <c16:uniqueId val="{00000003-512A-4BB5-B5E2-8789E717D2B4}"/>
            </c:ext>
          </c:extLst>
        </c:ser>
        <c:ser>
          <c:idx val="1"/>
          <c:order val="3"/>
          <c:tx>
            <c:strRef>
              <c:f>'3.4 snelladen'!$B$37</c:f>
              <c:strCache>
                <c:ptCount val="1"/>
                <c:pt idx="0">
                  <c:v>De kosten van laden </c:v>
                </c:pt>
              </c:strCache>
            </c:strRef>
          </c:tx>
          <c:spPr>
            <a:solidFill>
              <a:srgbClr val="BAD6ED"/>
            </a:solidFill>
            <a:ln>
              <a:solidFill>
                <a:srgbClr val="BAD6ED"/>
              </a:solidFill>
            </a:ln>
            <a:effectLst/>
          </c:spPr>
          <c:invertIfNegative val="0"/>
          <c:dLbls>
            <c:spPr>
              <a:noFill/>
              <a:ln>
                <a:noFill/>
              </a:ln>
              <a:effectLst/>
            </c:spPr>
            <c:txPr>
              <a:bodyPr rot="0" spcFirstLastPara="1" vertOverflow="ellipsis" vert="horz" wrap="square" lIns="38100" tIns="19050" rIns="38100" bIns="19050" anchor="ctr" anchorCtr="0">
                <a:spAutoFit/>
              </a:bodyPr>
              <a:lstStyle/>
              <a:p>
                <a:pPr algn="ctr">
                  <a:defRPr lang="en-US" sz="800" b="1" i="0" u="none" strike="noStrike" kern="1200" baseline="0">
                    <a:solidFill>
                      <a:schemeClr val="bg1"/>
                    </a:solidFill>
                    <a:latin typeface="+mn-lt"/>
                    <a:ea typeface="+mn-ea"/>
                    <a:cs typeface="+mn-cs"/>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'3.4 snelladen'!$D$37</c:f>
              <c:numCache>
                <c:formatCode>0%</c:formatCode>
                <c:ptCount val="1"/>
                <c:pt idx="0">
                  <c:v>0.15222141296431171</c:v>
                </c:pt>
              </c:numCache>
            </c:numRef>
          </c:val>
          <c:extLst>
            <c:ext xmlns:c16="http://schemas.microsoft.com/office/drawing/2014/chart" uri="{C3380CC4-5D6E-409C-BE32-E72D297353CC}">
              <c16:uniqueId val="{00000004-512A-4BB5-B5E2-8789E717D2B4}"/>
            </c:ext>
          </c:extLst>
        </c:ser>
        <c:ser>
          <c:idx val="3"/>
          <c:order val="4"/>
          <c:tx>
            <c:strRef>
              <c:f>'3.4 snelladen'!$B$38</c:f>
              <c:strCache>
                <c:ptCount val="1"/>
                <c:pt idx="0">
                  <c:v>De aanwezigheid van andere faciliteiten (b.v. eten en drinken, winkels)  </c:v>
                </c:pt>
              </c:strCache>
            </c:strRef>
          </c:tx>
          <c:spPr>
            <a:solidFill>
              <a:srgbClr val="4EAFAA"/>
            </a:solidFill>
            <a:ln>
              <a:solidFill>
                <a:srgbClr val="4EAFAA"/>
              </a:solidFill>
            </a:ln>
            <a:effectLst/>
          </c:spPr>
          <c:invertIfNegative val="0"/>
          <c:dLbls>
            <c:spPr>
              <a:noFill/>
              <a:ln>
                <a:noFill/>
              </a:ln>
              <a:effectLst/>
            </c:spPr>
            <c:txPr>
              <a:bodyPr rot="0" spcFirstLastPara="1" vertOverflow="ellipsis" vert="horz" wrap="square" lIns="38100" tIns="19050" rIns="38100" bIns="19050" anchor="ctr" anchorCtr="0">
                <a:spAutoFit/>
              </a:bodyPr>
              <a:lstStyle/>
              <a:p>
                <a:pPr algn="ctr">
                  <a:defRPr lang="en-US" sz="800" b="1" i="0" u="none" strike="noStrike" kern="1200" baseline="0">
                    <a:solidFill>
                      <a:schemeClr val="bg1"/>
                    </a:solidFill>
                    <a:latin typeface="+mn-lt"/>
                    <a:ea typeface="+mn-ea"/>
                    <a:cs typeface="+mn-cs"/>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'3.4 snelladen'!$D$38</c:f>
              <c:numCache>
                <c:formatCode>0%</c:formatCode>
                <c:ptCount val="1"/>
                <c:pt idx="0">
                  <c:v>3.9329934450109252E-2</c:v>
                </c:pt>
              </c:numCache>
            </c:numRef>
          </c:val>
          <c:extLst>
            <c:ext xmlns:c16="http://schemas.microsoft.com/office/drawing/2014/chart" uri="{C3380CC4-5D6E-409C-BE32-E72D297353CC}">
              <c16:uniqueId val="{00000005-512A-4BB5-B5E2-8789E717D2B4}"/>
            </c:ext>
          </c:extLst>
        </c:ser>
        <c:ser>
          <c:idx val="5"/>
          <c:order val="5"/>
          <c:tx>
            <c:strRef>
              <c:f>'3.4 snelladen'!$B$39</c:f>
              <c:strCache>
                <c:ptCount val="1"/>
                <c:pt idx="0">
                  <c:v>Het aantal aanwezige laadpunten (grootte van de laadlocatie) </c:v>
                </c:pt>
              </c:strCache>
            </c:strRef>
          </c:tx>
          <c:spPr>
            <a:solidFill>
              <a:srgbClr val="696969"/>
            </a:solidFill>
            <a:ln>
              <a:solidFill>
                <a:srgbClr val="696969"/>
              </a:solidFill>
            </a:ln>
            <a:effectLst/>
          </c:spPr>
          <c:invertIfNegative val="0"/>
          <c:dLbls>
            <c:spPr>
              <a:noFill/>
              <a:ln>
                <a:noFill/>
              </a:ln>
              <a:effectLst/>
            </c:spPr>
            <c:txPr>
              <a:bodyPr rot="0" spcFirstLastPara="1" vertOverflow="ellipsis" vert="horz" wrap="square" lIns="38100" tIns="19050" rIns="38100" bIns="19050" anchor="ctr" anchorCtr="0">
                <a:spAutoFit/>
              </a:bodyPr>
              <a:lstStyle/>
              <a:p>
                <a:pPr algn="ctr">
                  <a:defRPr lang="en-US" sz="800" b="1" i="0" u="none" strike="noStrike" kern="1200" baseline="0">
                    <a:solidFill>
                      <a:schemeClr val="bg1"/>
                    </a:solidFill>
                    <a:latin typeface="+mn-lt"/>
                    <a:ea typeface="+mn-ea"/>
                    <a:cs typeface="+mn-cs"/>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'3.4 snelladen'!$D$39</c:f>
              <c:numCache>
                <c:formatCode>0%</c:formatCode>
                <c:ptCount val="1"/>
                <c:pt idx="0">
                  <c:v>3.4231609613983978E-2</c:v>
                </c:pt>
              </c:numCache>
            </c:numRef>
          </c:val>
          <c:extLst>
            <c:ext xmlns:c16="http://schemas.microsoft.com/office/drawing/2014/chart" uri="{C3380CC4-5D6E-409C-BE32-E72D297353CC}">
              <c16:uniqueId val="{00000006-512A-4BB5-B5E2-8789E717D2B4}"/>
            </c:ext>
          </c:extLst>
        </c:ser>
        <c:dLbls>
          <c:showLegendKey val="0"/>
          <c:showVal val="0"/>
          <c:showCatName val="0"/>
          <c:showSerName val="0"/>
          <c:showPercent val="0"/>
          <c:showBubbleSize val="0"/>
        </c:dLbls>
        <c:gapWidth val="150"/>
        <c:overlap val="100"/>
        <c:axId val="964525032"/>
        <c:axId val="964516032"/>
      </c:barChart>
      <c:catAx>
        <c:axId val="964525032"/>
        <c:scaling>
          <c:orientation val="minMax"/>
        </c:scaling>
        <c:delete val="1"/>
        <c:axPos val="l"/>
        <c:numFmt formatCode="General" sourceLinked="1"/>
        <c:majorTickMark val="none"/>
        <c:minorTickMark val="none"/>
        <c:tickLblPos val="nextTo"/>
        <c:crossAx val="964516032"/>
        <c:crosses val="autoZero"/>
        <c:auto val="1"/>
        <c:lblAlgn val="ctr"/>
        <c:lblOffset val="100"/>
        <c:noMultiLvlLbl val="0"/>
      </c:catAx>
      <c:valAx>
        <c:axId val="964516032"/>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lgn="ctr">
              <a:defRPr lang="en-US" sz="900" b="0" i="0" u="none" strike="noStrike" kern="1200" baseline="0">
                <a:solidFill>
                  <a:srgbClr val="2C307E"/>
                </a:solidFill>
                <a:latin typeface="+mn-lt"/>
                <a:ea typeface="+mn-ea"/>
                <a:cs typeface="+mn-cs"/>
              </a:defRPr>
            </a:pPr>
            <a:endParaRPr lang="nl-NL"/>
          </a:p>
        </c:txPr>
        <c:crossAx val="964525032"/>
        <c:crosses val="autoZero"/>
        <c:crossBetween val="between"/>
      </c:valAx>
      <c:spPr>
        <a:noFill/>
        <a:ln>
          <a:noFill/>
        </a:ln>
        <a:effectLst/>
      </c:spPr>
    </c:plotArea>
    <c:legend>
      <c:legendPos val="b"/>
      <c:layout>
        <c:manualLayout>
          <c:xMode val="edge"/>
          <c:yMode val="edge"/>
          <c:x val="6.5811859600763675E-2"/>
          <c:y val="0.48053013361396651"/>
          <c:w val="0.86837590423148325"/>
          <c:h val="0.48963693082517418"/>
        </c:manualLayout>
      </c:layout>
      <c:overlay val="0"/>
      <c:spPr>
        <a:noFill/>
        <a:ln>
          <a:noFill/>
        </a:ln>
        <a:effectLst/>
      </c:spPr>
      <c:txPr>
        <a:bodyPr rot="0" spcFirstLastPara="1" vertOverflow="ellipsis" vert="horz" wrap="square" anchor="ctr" anchorCtr="1"/>
        <a:lstStyle/>
        <a:p>
          <a:pPr algn="ctr">
            <a:defRPr lang="en-US" sz="900" b="0" i="0" u="none" strike="noStrike" kern="1200" baseline="0">
              <a:solidFill>
                <a:srgbClr val="2C307E"/>
              </a:solidFill>
              <a:latin typeface="+mn-lt"/>
              <a:ea typeface="+mn-ea"/>
              <a:cs typeface="+mn-cs"/>
            </a:defRPr>
          </a:pPr>
          <a:endParaRPr lang="nl-NL"/>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a:pPr>
      <a:endParaRPr lang="nl-NL"/>
    </a:p>
  </c:txPr>
  <c:externalData r:id="rId3">
    <c:autoUpdate val="0"/>
  </c:externalData>
</c:chartSpace>
</file>

<file path=word/charts/chart7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100" b="0" i="0" u="none" strike="noStrike" kern="1200" spc="0" baseline="0">
                <a:solidFill>
                  <a:srgbClr val="2C307E"/>
                </a:solidFill>
                <a:latin typeface="+mn-lt"/>
                <a:ea typeface="+mn-ea"/>
                <a:cs typeface="+mn-cs"/>
              </a:defRPr>
            </a:pPr>
            <a:r>
              <a:rPr lang="en-US" sz="1100" b="0" i="0" u="none" strike="noStrike" kern="1200" spc="0" baseline="0">
                <a:solidFill>
                  <a:srgbClr val="2C307E"/>
                </a:solidFill>
                <a:latin typeface="Calibri" panose="020F0502020204030204" pitchFamily="34" charset="0"/>
                <a:cs typeface="Calibri" panose="020F0502020204030204" pitchFamily="34" charset="0"/>
              </a:rPr>
              <a:t>Maak je gebruik van binnenstedelijke snelladers (zoals bij bouwmarkten, of binnenstedelijke 'tankstations')?</a:t>
            </a:r>
          </a:p>
        </c:rich>
      </c:tx>
      <c:overlay val="0"/>
      <c:spPr>
        <a:noFill/>
        <a:ln>
          <a:noFill/>
        </a:ln>
        <a:effectLst/>
      </c:spPr>
    </c:title>
    <c:autoTitleDeleted val="0"/>
    <c:plotArea>
      <c:layout>
        <c:manualLayout>
          <c:layoutTarget val="inner"/>
          <c:xMode val="edge"/>
          <c:yMode val="edge"/>
          <c:x val="0.14540494131203471"/>
          <c:y val="0.38315075339828103"/>
          <c:w val="0.80198865027093991"/>
          <c:h val="0.31283562889706423"/>
        </c:manualLayout>
      </c:layout>
      <c:barChart>
        <c:barDir val="col"/>
        <c:grouping val="clustered"/>
        <c:varyColors val="0"/>
        <c:ser>
          <c:idx val="0"/>
          <c:order val="0"/>
          <c:spPr>
            <a:solidFill>
              <a:srgbClr val="C9C743"/>
            </a:solidFill>
            <a:ln>
              <a:noFill/>
            </a:ln>
            <a:effectLst/>
          </c:spPr>
          <c:invertIfNegative val="0"/>
          <c:dLbls>
            <c:spPr>
              <a:noFill/>
              <a:ln>
                <a:noFill/>
              </a:ln>
              <a:effectLst/>
            </c:spPr>
            <c:txPr>
              <a:bodyPr wrap="square" lIns="38100" tIns="19050" rIns="38100" bIns="19050" anchor="ctr" anchorCtr="0">
                <a:spAutoFit/>
              </a:bodyPr>
              <a:lstStyle/>
              <a:p>
                <a:pPr algn="ctr">
                  <a:defRPr lang="en-US" sz="800" b="1" i="0" u="none" strike="noStrike" kern="1200" baseline="0">
                    <a:solidFill>
                      <a:srgbClr val="4EAFAA"/>
                    </a:solidFill>
                    <a:latin typeface="+mn-lt"/>
                    <a:ea typeface="+mn-ea"/>
                    <a:cs typeface="+mn-cs"/>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'3.4 snelladen'!$B$86:$B$90</c:f>
              <c:strCache>
                <c:ptCount val="5"/>
                <c:pt idx="0">
                  <c:v>Vaak</c:v>
                </c:pt>
                <c:pt idx="1">
                  <c:v>Regelmatig</c:v>
                </c:pt>
                <c:pt idx="2">
                  <c:v>Soms</c:v>
                </c:pt>
                <c:pt idx="3">
                  <c:v>Bijna nooit</c:v>
                </c:pt>
                <c:pt idx="4">
                  <c:v>Nooit</c:v>
                </c:pt>
              </c:strCache>
            </c:strRef>
          </c:cat>
          <c:val>
            <c:numRef>
              <c:f>'3.4 snelladen'!$E$86:$E$90</c:f>
              <c:numCache>
                <c:formatCode>0%</c:formatCode>
                <c:ptCount val="5"/>
                <c:pt idx="0">
                  <c:v>2.1881838074398249E-3</c:v>
                </c:pt>
                <c:pt idx="1">
                  <c:v>2.4799416484318017E-2</c:v>
                </c:pt>
                <c:pt idx="2">
                  <c:v>0.15463165572574764</c:v>
                </c:pt>
                <c:pt idx="3">
                  <c:v>0.39897884755652807</c:v>
                </c:pt>
                <c:pt idx="4">
                  <c:v>0.41940189642596643</c:v>
                </c:pt>
              </c:numCache>
            </c:numRef>
          </c:val>
          <c:extLst>
            <c:ext xmlns:c16="http://schemas.microsoft.com/office/drawing/2014/chart" uri="{C3380CC4-5D6E-409C-BE32-E72D297353CC}">
              <c16:uniqueId val="{00000000-4E48-49B1-AA88-BB89220A12CB}"/>
            </c:ext>
          </c:extLst>
        </c:ser>
        <c:dLbls>
          <c:showLegendKey val="0"/>
          <c:showVal val="0"/>
          <c:showCatName val="0"/>
          <c:showSerName val="0"/>
          <c:showPercent val="0"/>
          <c:showBubbleSize val="0"/>
        </c:dLbls>
        <c:gapWidth val="219"/>
        <c:overlap val="-27"/>
        <c:axId val="859086912"/>
        <c:axId val="859090872"/>
      </c:barChart>
      <c:catAx>
        <c:axId val="8590869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2C307E"/>
                </a:solidFill>
                <a:latin typeface="+mn-lt"/>
                <a:ea typeface="+mn-ea"/>
                <a:cs typeface="+mn-cs"/>
              </a:defRPr>
            </a:pPr>
            <a:endParaRPr lang="nl-NL"/>
          </a:p>
        </c:txPr>
        <c:crossAx val="859090872"/>
        <c:crosses val="autoZero"/>
        <c:auto val="1"/>
        <c:lblAlgn val="ctr"/>
        <c:lblOffset val="100"/>
        <c:noMultiLvlLbl val="0"/>
      </c:catAx>
      <c:valAx>
        <c:axId val="859090872"/>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2C307E"/>
                </a:solidFill>
                <a:latin typeface="+mn-lt"/>
                <a:ea typeface="+mn-ea"/>
                <a:cs typeface="+mn-cs"/>
              </a:defRPr>
            </a:pPr>
            <a:endParaRPr lang="nl-NL"/>
          </a:p>
        </c:txPr>
        <c:crossAx val="859086912"/>
        <c:crosses val="autoZero"/>
        <c:crossBetween val="between"/>
        <c:majorUnit val="0.1"/>
      </c:valAx>
      <c:spPr>
        <a:noFill/>
        <a:ln>
          <a:noFill/>
        </a:ln>
      </c:spPr>
    </c:plotArea>
    <c:plotVisOnly val="1"/>
    <c:dispBlanksAs val="gap"/>
    <c:showDLblsOverMax val="0"/>
    <c:extLst/>
  </c:chart>
  <c:spPr>
    <a:noFill/>
    <a:ln>
      <a:noFill/>
    </a:ln>
  </c:spPr>
  <c:txPr>
    <a:bodyPr/>
    <a:lstStyle/>
    <a:p>
      <a:pPr>
        <a:defRPr/>
      </a:pPr>
      <a:endParaRPr lang="nl-NL"/>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540494131203471"/>
          <c:y val="6.0257463708572996E-2"/>
          <c:w val="0.80198865027093991"/>
          <c:h val="0.41441993765788659"/>
        </c:manualLayout>
      </c:layout>
      <c:barChart>
        <c:barDir val="col"/>
        <c:grouping val="clustered"/>
        <c:varyColors val="0"/>
        <c:ser>
          <c:idx val="0"/>
          <c:order val="0"/>
          <c:tx>
            <c:strRef>
              <c:f>'3.1 de EV-rijder'!$C$49</c:f>
              <c:strCache>
                <c:ptCount val="1"/>
                <c:pt idx="0">
                  <c:v>Minder dan 1 jaar</c:v>
                </c:pt>
              </c:strCache>
            </c:strRef>
          </c:tx>
          <c:spPr>
            <a:solidFill>
              <a:srgbClr val="2C307E"/>
            </a:solidFill>
            <a:ln>
              <a:noFill/>
            </a:ln>
            <a:effectLst/>
          </c:spPr>
          <c:invertIfNegative val="0"/>
          <c:cat>
            <c:strRef>
              <c:f>'3.1 de EV-rijder'!$B$50:$B$54</c:f>
              <c:strCache>
                <c:ptCount val="5"/>
                <c:pt idx="0">
                  <c:v>Innovator</c:v>
                </c:pt>
                <c:pt idx="1">
                  <c:v>Early adopter</c:v>
                </c:pt>
                <c:pt idx="2">
                  <c:v>early majority</c:v>
                </c:pt>
                <c:pt idx="3">
                  <c:v>Late majority</c:v>
                </c:pt>
                <c:pt idx="4">
                  <c:v>Laggard</c:v>
                </c:pt>
              </c:strCache>
            </c:strRef>
          </c:cat>
          <c:val>
            <c:numRef>
              <c:f>'3.1 de EV-rijder'!$C$50:$C$54</c:f>
              <c:numCache>
                <c:formatCode>0%</c:formatCode>
                <c:ptCount val="5"/>
                <c:pt idx="0">
                  <c:v>0.30319148936170215</c:v>
                </c:pt>
                <c:pt idx="1">
                  <c:v>0.2327127659574468</c:v>
                </c:pt>
                <c:pt idx="2">
                  <c:v>0.23138297872340424</c:v>
                </c:pt>
                <c:pt idx="3">
                  <c:v>0.18617021276595744</c:v>
                </c:pt>
                <c:pt idx="4">
                  <c:v>4.6542553191489359E-2</c:v>
                </c:pt>
              </c:numCache>
            </c:numRef>
          </c:val>
          <c:extLst>
            <c:ext xmlns:c16="http://schemas.microsoft.com/office/drawing/2014/chart" uri="{C3380CC4-5D6E-409C-BE32-E72D297353CC}">
              <c16:uniqueId val="{00000000-3535-491C-8D16-7393DC2075AF}"/>
            </c:ext>
          </c:extLst>
        </c:ser>
        <c:ser>
          <c:idx val="1"/>
          <c:order val="1"/>
          <c:tx>
            <c:strRef>
              <c:f>'3.1 de EV-rijder'!$D$49</c:f>
              <c:strCache>
                <c:ptCount val="1"/>
                <c:pt idx="0">
                  <c:v>Één jaar</c:v>
                </c:pt>
              </c:strCache>
            </c:strRef>
          </c:tx>
          <c:spPr>
            <a:solidFill>
              <a:srgbClr val="08B466"/>
            </a:solidFill>
          </c:spPr>
          <c:invertIfNegative val="0"/>
          <c:cat>
            <c:strRef>
              <c:f>'3.1 de EV-rijder'!$B$50:$B$54</c:f>
              <c:strCache>
                <c:ptCount val="5"/>
                <c:pt idx="0">
                  <c:v>Innovator</c:v>
                </c:pt>
                <c:pt idx="1">
                  <c:v>Early adopter</c:v>
                </c:pt>
                <c:pt idx="2">
                  <c:v>early majority</c:v>
                </c:pt>
                <c:pt idx="3">
                  <c:v>Late majority</c:v>
                </c:pt>
                <c:pt idx="4">
                  <c:v>Laggard</c:v>
                </c:pt>
              </c:strCache>
            </c:strRef>
          </c:cat>
          <c:val>
            <c:numRef>
              <c:f>'3.1 de EV-rijder'!$D$50:$D$54</c:f>
              <c:numCache>
                <c:formatCode>0%</c:formatCode>
                <c:ptCount val="5"/>
                <c:pt idx="0">
                  <c:v>0.30623471882640585</c:v>
                </c:pt>
                <c:pt idx="1">
                  <c:v>0.22677261613691932</c:v>
                </c:pt>
                <c:pt idx="2">
                  <c:v>0.21821515892420537</c:v>
                </c:pt>
                <c:pt idx="3">
                  <c:v>0.18581907090464547</c:v>
                </c:pt>
                <c:pt idx="4">
                  <c:v>6.295843520782396E-2</c:v>
                </c:pt>
              </c:numCache>
            </c:numRef>
          </c:val>
          <c:extLst>
            <c:ext xmlns:c16="http://schemas.microsoft.com/office/drawing/2014/chart" uri="{C3380CC4-5D6E-409C-BE32-E72D297353CC}">
              <c16:uniqueId val="{00000001-3535-491C-8D16-7393DC2075AF}"/>
            </c:ext>
          </c:extLst>
        </c:ser>
        <c:ser>
          <c:idx val="2"/>
          <c:order val="2"/>
          <c:tx>
            <c:strRef>
              <c:f>'3.1 de EV-rijder'!$E$49</c:f>
              <c:strCache>
                <c:ptCount val="1"/>
                <c:pt idx="0">
                  <c:v>Twee jaar</c:v>
                </c:pt>
              </c:strCache>
            </c:strRef>
          </c:tx>
          <c:spPr>
            <a:solidFill>
              <a:srgbClr val="C9C743"/>
            </a:solidFill>
          </c:spPr>
          <c:invertIfNegative val="0"/>
          <c:cat>
            <c:strRef>
              <c:f>'3.1 de EV-rijder'!$B$50:$B$54</c:f>
              <c:strCache>
                <c:ptCount val="5"/>
                <c:pt idx="0">
                  <c:v>Innovator</c:v>
                </c:pt>
                <c:pt idx="1">
                  <c:v>Early adopter</c:v>
                </c:pt>
                <c:pt idx="2">
                  <c:v>early majority</c:v>
                </c:pt>
                <c:pt idx="3">
                  <c:v>Late majority</c:v>
                </c:pt>
                <c:pt idx="4">
                  <c:v>Laggard</c:v>
                </c:pt>
              </c:strCache>
            </c:strRef>
          </c:cat>
          <c:val>
            <c:numRef>
              <c:f>'3.1 de EV-rijder'!$E$50:$E$54</c:f>
              <c:numCache>
                <c:formatCode>0%</c:formatCode>
                <c:ptCount val="5"/>
                <c:pt idx="0">
                  <c:v>0.34272997032640951</c:v>
                </c:pt>
                <c:pt idx="1">
                  <c:v>0.24925816023738873</c:v>
                </c:pt>
                <c:pt idx="2">
                  <c:v>0.20252225519287834</c:v>
                </c:pt>
                <c:pt idx="3">
                  <c:v>0.15949554896142434</c:v>
                </c:pt>
                <c:pt idx="4">
                  <c:v>4.5994065281899109E-2</c:v>
                </c:pt>
              </c:numCache>
            </c:numRef>
          </c:val>
          <c:extLst>
            <c:ext xmlns:c16="http://schemas.microsoft.com/office/drawing/2014/chart" uri="{C3380CC4-5D6E-409C-BE32-E72D297353CC}">
              <c16:uniqueId val="{00000002-3535-491C-8D16-7393DC2075AF}"/>
            </c:ext>
          </c:extLst>
        </c:ser>
        <c:ser>
          <c:idx val="3"/>
          <c:order val="3"/>
          <c:tx>
            <c:strRef>
              <c:f>'3.1 de EV-rijder'!$F$49</c:f>
              <c:strCache>
                <c:ptCount val="1"/>
                <c:pt idx="0">
                  <c:v>Drie jaar</c:v>
                </c:pt>
              </c:strCache>
            </c:strRef>
          </c:tx>
          <c:spPr>
            <a:solidFill>
              <a:srgbClr val="BAD6ED"/>
            </a:solidFill>
          </c:spPr>
          <c:invertIfNegative val="0"/>
          <c:cat>
            <c:strRef>
              <c:f>'3.1 de EV-rijder'!$B$50:$B$54</c:f>
              <c:strCache>
                <c:ptCount val="5"/>
                <c:pt idx="0">
                  <c:v>Innovator</c:v>
                </c:pt>
                <c:pt idx="1">
                  <c:v>Early adopter</c:v>
                </c:pt>
                <c:pt idx="2">
                  <c:v>early majority</c:v>
                </c:pt>
                <c:pt idx="3">
                  <c:v>Late majority</c:v>
                </c:pt>
                <c:pt idx="4">
                  <c:v>Laggard</c:v>
                </c:pt>
              </c:strCache>
            </c:strRef>
          </c:cat>
          <c:val>
            <c:numRef>
              <c:f>'3.1 de EV-rijder'!$F$50:$F$54</c:f>
              <c:numCache>
                <c:formatCode>0%</c:formatCode>
                <c:ptCount val="5"/>
                <c:pt idx="0">
                  <c:v>0.34511434511434513</c:v>
                </c:pt>
                <c:pt idx="1">
                  <c:v>0.25987525987525989</c:v>
                </c:pt>
                <c:pt idx="2">
                  <c:v>0.18087318087318088</c:v>
                </c:pt>
                <c:pt idx="3">
                  <c:v>0.16735966735966737</c:v>
                </c:pt>
                <c:pt idx="4">
                  <c:v>4.677754677754678E-2</c:v>
                </c:pt>
              </c:numCache>
            </c:numRef>
          </c:val>
          <c:extLst>
            <c:ext xmlns:c16="http://schemas.microsoft.com/office/drawing/2014/chart" uri="{C3380CC4-5D6E-409C-BE32-E72D297353CC}">
              <c16:uniqueId val="{00000003-3535-491C-8D16-7393DC2075AF}"/>
            </c:ext>
          </c:extLst>
        </c:ser>
        <c:ser>
          <c:idx val="4"/>
          <c:order val="4"/>
          <c:tx>
            <c:strRef>
              <c:f>'3.1 de EV-rijder'!$G$49</c:f>
              <c:strCache>
                <c:ptCount val="1"/>
                <c:pt idx="0">
                  <c:v>Vier jaar</c:v>
                </c:pt>
              </c:strCache>
            </c:strRef>
          </c:tx>
          <c:spPr>
            <a:solidFill>
              <a:srgbClr val="4EAFAA"/>
            </a:solidFill>
          </c:spPr>
          <c:invertIfNegative val="0"/>
          <c:cat>
            <c:strRef>
              <c:f>'3.1 de EV-rijder'!$B$50:$B$54</c:f>
              <c:strCache>
                <c:ptCount val="5"/>
                <c:pt idx="0">
                  <c:v>Innovator</c:v>
                </c:pt>
                <c:pt idx="1">
                  <c:v>Early adopter</c:v>
                </c:pt>
                <c:pt idx="2">
                  <c:v>early majority</c:v>
                </c:pt>
                <c:pt idx="3">
                  <c:v>Late majority</c:v>
                </c:pt>
                <c:pt idx="4">
                  <c:v>Laggard</c:v>
                </c:pt>
              </c:strCache>
            </c:strRef>
          </c:cat>
          <c:val>
            <c:numRef>
              <c:f>'3.1 de EV-rijder'!$G$50:$G$54</c:f>
              <c:numCache>
                <c:formatCode>0%</c:formatCode>
                <c:ptCount val="5"/>
                <c:pt idx="0">
                  <c:v>0.36477272727272725</c:v>
                </c:pt>
                <c:pt idx="1">
                  <c:v>0.29431818181818181</c:v>
                </c:pt>
                <c:pt idx="2">
                  <c:v>0.18181818181818182</c:v>
                </c:pt>
                <c:pt idx="3">
                  <c:v>0.12272727272727273</c:v>
                </c:pt>
                <c:pt idx="4">
                  <c:v>3.6363636363636362E-2</c:v>
                </c:pt>
              </c:numCache>
            </c:numRef>
          </c:val>
          <c:extLst>
            <c:ext xmlns:c16="http://schemas.microsoft.com/office/drawing/2014/chart" uri="{C3380CC4-5D6E-409C-BE32-E72D297353CC}">
              <c16:uniqueId val="{00000004-3535-491C-8D16-7393DC2075AF}"/>
            </c:ext>
          </c:extLst>
        </c:ser>
        <c:ser>
          <c:idx val="6"/>
          <c:order val="5"/>
          <c:tx>
            <c:strRef>
              <c:f>'3.1 de EV-rijder'!$H$49</c:f>
              <c:strCache>
                <c:ptCount val="1"/>
                <c:pt idx="0">
                  <c:v>Vijf jaar</c:v>
                </c:pt>
              </c:strCache>
            </c:strRef>
          </c:tx>
          <c:spPr>
            <a:solidFill>
              <a:srgbClr val="696969"/>
            </a:solidFill>
          </c:spPr>
          <c:invertIfNegative val="0"/>
          <c:val>
            <c:numRef>
              <c:f>'3.1 de EV-rijder'!$H$50:$H$54</c:f>
              <c:numCache>
                <c:formatCode>0%</c:formatCode>
                <c:ptCount val="5"/>
                <c:pt idx="0">
                  <c:v>0.36953807740324596</c:v>
                </c:pt>
                <c:pt idx="1">
                  <c:v>0.31086142322097376</c:v>
                </c:pt>
                <c:pt idx="2">
                  <c:v>0.17852684144818975</c:v>
                </c:pt>
                <c:pt idx="3">
                  <c:v>0.11735330836454431</c:v>
                </c:pt>
                <c:pt idx="4">
                  <c:v>2.3720349563046191E-2</c:v>
                </c:pt>
              </c:numCache>
            </c:numRef>
          </c:val>
          <c:extLst>
            <c:ext xmlns:c16="http://schemas.microsoft.com/office/drawing/2014/chart" uri="{C3380CC4-5D6E-409C-BE32-E72D297353CC}">
              <c16:uniqueId val="{00000005-3535-491C-8D16-7393DC2075AF}"/>
            </c:ext>
          </c:extLst>
        </c:ser>
        <c:ser>
          <c:idx val="5"/>
          <c:order val="6"/>
          <c:tx>
            <c:strRef>
              <c:f>'3.1 de EV-rijder'!$I$49</c:f>
              <c:strCache>
                <c:ptCount val="1"/>
                <c:pt idx="0">
                  <c:v>Langer dan 5 jaar</c:v>
                </c:pt>
              </c:strCache>
            </c:strRef>
          </c:tx>
          <c:spPr>
            <a:solidFill>
              <a:srgbClr val="307BC2"/>
            </a:solidFill>
          </c:spPr>
          <c:invertIfNegative val="0"/>
          <c:cat>
            <c:strRef>
              <c:f>'3.1 de EV-rijder'!$B$50:$B$54</c:f>
              <c:strCache>
                <c:ptCount val="5"/>
                <c:pt idx="0">
                  <c:v>Innovator</c:v>
                </c:pt>
                <c:pt idx="1">
                  <c:v>Early adopter</c:v>
                </c:pt>
                <c:pt idx="2">
                  <c:v>early majority</c:v>
                </c:pt>
                <c:pt idx="3">
                  <c:v>Late majority</c:v>
                </c:pt>
                <c:pt idx="4">
                  <c:v>Laggard</c:v>
                </c:pt>
              </c:strCache>
            </c:strRef>
          </c:cat>
          <c:val>
            <c:numRef>
              <c:f>'3.1 de EV-rijder'!$I$50:$I$54</c:f>
              <c:numCache>
                <c:formatCode>0%</c:formatCode>
                <c:ptCount val="5"/>
                <c:pt idx="0">
                  <c:v>0.42058011049723759</c:v>
                </c:pt>
                <c:pt idx="1">
                  <c:v>0.37983425414364641</c:v>
                </c:pt>
                <c:pt idx="2">
                  <c:v>0.11809392265193371</c:v>
                </c:pt>
                <c:pt idx="3">
                  <c:v>6.2845303867403321E-2</c:v>
                </c:pt>
                <c:pt idx="4">
                  <c:v>1.8646408839779006E-2</c:v>
                </c:pt>
              </c:numCache>
            </c:numRef>
          </c:val>
          <c:extLst>
            <c:ext xmlns:c16="http://schemas.microsoft.com/office/drawing/2014/chart" uri="{C3380CC4-5D6E-409C-BE32-E72D297353CC}">
              <c16:uniqueId val="{00000006-3535-491C-8D16-7393DC2075AF}"/>
            </c:ext>
          </c:extLst>
        </c:ser>
        <c:dLbls>
          <c:showLegendKey val="0"/>
          <c:showVal val="0"/>
          <c:showCatName val="0"/>
          <c:showSerName val="0"/>
          <c:showPercent val="0"/>
          <c:showBubbleSize val="0"/>
        </c:dLbls>
        <c:gapWidth val="219"/>
        <c:overlap val="-27"/>
        <c:axId val="488549280"/>
        <c:axId val="488558136"/>
      </c:barChart>
      <c:catAx>
        <c:axId val="4885492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900" b="0" i="0" u="none" strike="noStrike" kern="1200" baseline="0">
                <a:solidFill>
                  <a:srgbClr val="2C307E"/>
                </a:solidFill>
                <a:latin typeface="+mn-lt"/>
                <a:ea typeface="+mn-ea"/>
                <a:cs typeface="+mn-cs"/>
              </a:defRPr>
            </a:pPr>
            <a:endParaRPr lang="nl-NL"/>
          </a:p>
        </c:txPr>
        <c:crossAx val="488558136"/>
        <c:crosses val="autoZero"/>
        <c:auto val="1"/>
        <c:lblAlgn val="ctr"/>
        <c:lblOffset val="100"/>
        <c:noMultiLvlLbl val="0"/>
      </c:catAx>
      <c:valAx>
        <c:axId val="488558136"/>
        <c:scaling>
          <c:orientation val="minMax"/>
          <c:max val="0.5"/>
        </c:scaling>
        <c:delete val="0"/>
        <c:axPos val="l"/>
        <c:majorGridlines>
          <c:spPr>
            <a:ln>
              <a:solidFill>
                <a:srgbClr val="D9D9D9"/>
              </a:solidFill>
            </a:ln>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2C307E"/>
                </a:solidFill>
                <a:latin typeface="+mn-lt"/>
                <a:ea typeface="+mn-ea"/>
                <a:cs typeface="+mn-cs"/>
              </a:defRPr>
            </a:pPr>
            <a:endParaRPr lang="nl-NL"/>
          </a:p>
        </c:txPr>
        <c:crossAx val="488549280"/>
        <c:crosses val="autoZero"/>
        <c:crossBetween val="between"/>
        <c:majorUnit val="0.1"/>
      </c:valAx>
      <c:spPr>
        <a:noFill/>
        <a:ln>
          <a:noFill/>
        </a:ln>
      </c:spPr>
    </c:plotArea>
    <c:legend>
      <c:legendPos val="b"/>
      <c:layout>
        <c:manualLayout>
          <c:xMode val="edge"/>
          <c:yMode val="edge"/>
          <c:x val="0.10110070530997112"/>
          <c:y val="0.70511282638560902"/>
          <c:w val="0.84562259703189901"/>
          <c:h val="0.26201946613698757"/>
        </c:manualLayout>
      </c:layout>
      <c:overlay val="0"/>
      <c:txPr>
        <a:bodyPr/>
        <a:lstStyle/>
        <a:p>
          <a:pPr>
            <a:defRPr sz="900">
              <a:solidFill>
                <a:srgbClr val="2C307E"/>
              </a:solidFill>
            </a:defRPr>
          </a:pPr>
          <a:endParaRPr lang="nl-NL"/>
        </a:p>
      </c:txPr>
    </c:legend>
    <c:plotVisOnly val="1"/>
    <c:dispBlanksAs val="gap"/>
    <c:showDLblsOverMax val="0"/>
    <c:extLst/>
  </c:chart>
  <c:spPr>
    <a:noFill/>
    <a:ln w="9525" cap="flat" cmpd="sng" algn="ctr">
      <a:noFill/>
      <a:round/>
    </a:ln>
    <a:effectLst/>
  </c:spPr>
  <c:txPr>
    <a:bodyPr/>
    <a:lstStyle/>
    <a:p>
      <a:pPr>
        <a:defRPr/>
      </a:pPr>
      <a:endParaRPr lang="nl-NL"/>
    </a:p>
  </c:txPr>
  <c:externalData r:id="rId1">
    <c:autoUpdate val="0"/>
  </c:externalData>
</c:chartSpace>
</file>

<file path=word/charts/chart8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100" b="0" i="0" u="none" strike="noStrike" kern="1200" spc="0" baseline="0">
                <a:solidFill>
                  <a:srgbClr val="2C307E"/>
                </a:solidFill>
                <a:latin typeface="+mn-lt"/>
                <a:ea typeface="+mn-ea"/>
                <a:cs typeface="+mn-cs"/>
              </a:defRPr>
            </a:pPr>
            <a:r>
              <a:rPr lang="en-US" sz="1100" b="0" i="0" u="none" strike="noStrike" baseline="0">
                <a:effectLst/>
              </a:rPr>
              <a:t>Waarom maak je regelmatig/vaak gebruik van binnenstedelijke snelladers? </a:t>
            </a:r>
            <a:endParaRPr lang="en-US" sz="1100" b="0" i="0" u="none" strike="noStrike" kern="1200" spc="0" baseline="0">
              <a:solidFill>
                <a:srgbClr val="2C307E"/>
              </a:solidFill>
              <a:latin typeface="Calibri" panose="020F0502020204030204" pitchFamily="34" charset="0"/>
              <a:cs typeface="Calibri" panose="020F0502020204030204" pitchFamily="34" charset="0"/>
            </a:endParaRPr>
          </a:p>
        </c:rich>
      </c:tx>
      <c:overlay val="0"/>
      <c:spPr>
        <a:noFill/>
        <a:ln>
          <a:noFill/>
        </a:ln>
        <a:effectLst/>
      </c:spPr>
    </c:title>
    <c:autoTitleDeleted val="0"/>
    <c:plotArea>
      <c:layout>
        <c:manualLayout>
          <c:layoutTarget val="inner"/>
          <c:xMode val="edge"/>
          <c:yMode val="edge"/>
          <c:x val="0.59926833033962579"/>
          <c:y val="0.19864980769078894"/>
          <c:w val="0.33484223725979739"/>
          <c:h val="0.70615563225108391"/>
        </c:manualLayout>
      </c:layout>
      <c:barChart>
        <c:barDir val="bar"/>
        <c:grouping val="clustered"/>
        <c:varyColors val="0"/>
        <c:ser>
          <c:idx val="0"/>
          <c:order val="0"/>
          <c:spPr>
            <a:solidFill>
              <a:srgbClr val="C9C743"/>
            </a:solidFill>
            <a:ln>
              <a:noFill/>
            </a:ln>
            <a:effectLst/>
          </c:spPr>
          <c:invertIfNegative val="0"/>
          <c:dLbls>
            <c:spPr>
              <a:noFill/>
              <a:ln>
                <a:noFill/>
              </a:ln>
              <a:effectLst/>
            </c:spPr>
            <c:txPr>
              <a:bodyPr wrap="square" lIns="38100" tIns="19050" rIns="38100" bIns="19050" anchor="ctr" anchorCtr="0">
                <a:spAutoFit/>
              </a:bodyPr>
              <a:lstStyle/>
              <a:p>
                <a:pPr algn="ctr">
                  <a:defRPr lang="en-US" sz="800" b="1" i="0" u="none" strike="noStrike" kern="1200" baseline="0">
                    <a:solidFill>
                      <a:srgbClr val="4EAFAA"/>
                    </a:solidFill>
                    <a:latin typeface="+mn-lt"/>
                    <a:ea typeface="+mn-ea"/>
                    <a:cs typeface="+mn-cs"/>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'3.4 snelladen'!$B$106:$B$110</c:f>
              <c:strCache>
                <c:ptCount val="5"/>
                <c:pt idx="0">
                  <c:v>Het zijn vaak voordelige laadtarieven</c:v>
                </c:pt>
                <c:pt idx="1">
                  <c:v>Het scheelt een laadpaal in de straat zoeken</c:v>
                </c:pt>
                <c:pt idx="2">
                  <c:v>Anders namelijk</c:v>
                </c:pt>
                <c:pt idx="3">
                  <c:v>De parkeerplek is het dichtst bij de ingang van de bestemming (premium plek)</c:v>
                </c:pt>
                <c:pt idx="4">
                  <c:v>Ik moet er toch zijn en kan dan geljk makkelijk laden</c:v>
                </c:pt>
              </c:strCache>
            </c:strRef>
          </c:cat>
          <c:val>
            <c:numRef>
              <c:f>'3.4 snelladen'!$E$106:$E$110</c:f>
              <c:numCache>
                <c:formatCode>0%</c:formatCode>
                <c:ptCount val="5"/>
                <c:pt idx="0">
                  <c:v>5.4054054054054057E-2</c:v>
                </c:pt>
                <c:pt idx="1">
                  <c:v>0.10810810810810811</c:v>
                </c:pt>
                <c:pt idx="2">
                  <c:v>0.16216216216216217</c:v>
                </c:pt>
                <c:pt idx="3">
                  <c:v>0.21621621621621623</c:v>
                </c:pt>
                <c:pt idx="4">
                  <c:v>0.7567567567567568</c:v>
                </c:pt>
              </c:numCache>
            </c:numRef>
          </c:val>
          <c:extLst>
            <c:ext xmlns:c16="http://schemas.microsoft.com/office/drawing/2014/chart" uri="{C3380CC4-5D6E-409C-BE32-E72D297353CC}">
              <c16:uniqueId val="{00000000-2C33-4C78-BD35-7F7D84672A37}"/>
            </c:ext>
          </c:extLst>
        </c:ser>
        <c:dLbls>
          <c:showLegendKey val="0"/>
          <c:showVal val="0"/>
          <c:showCatName val="0"/>
          <c:showSerName val="0"/>
          <c:showPercent val="0"/>
          <c:showBubbleSize val="0"/>
        </c:dLbls>
        <c:gapWidth val="219"/>
        <c:axId val="859086912"/>
        <c:axId val="859090872"/>
      </c:barChart>
      <c:catAx>
        <c:axId val="85908691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2C307E"/>
                </a:solidFill>
                <a:latin typeface="+mn-lt"/>
                <a:ea typeface="+mn-ea"/>
                <a:cs typeface="+mn-cs"/>
              </a:defRPr>
            </a:pPr>
            <a:endParaRPr lang="nl-NL"/>
          </a:p>
        </c:txPr>
        <c:crossAx val="859090872"/>
        <c:crosses val="autoZero"/>
        <c:auto val="1"/>
        <c:lblAlgn val="l"/>
        <c:lblOffset val="100"/>
        <c:noMultiLvlLbl val="0"/>
      </c:catAx>
      <c:valAx>
        <c:axId val="859090872"/>
        <c:scaling>
          <c:orientation val="minMax"/>
          <c:min val="0"/>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2C307E"/>
                </a:solidFill>
                <a:latin typeface="+mn-lt"/>
                <a:ea typeface="+mn-ea"/>
                <a:cs typeface="+mn-cs"/>
              </a:defRPr>
            </a:pPr>
            <a:endParaRPr lang="nl-NL"/>
          </a:p>
        </c:txPr>
        <c:crossAx val="859086912"/>
        <c:crosses val="autoZero"/>
        <c:crossBetween val="between"/>
        <c:majorUnit val="0.2"/>
      </c:valAx>
      <c:spPr>
        <a:noFill/>
        <a:ln>
          <a:noFill/>
        </a:ln>
      </c:spPr>
    </c:plotArea>
    <c:plotVisOnly val="1"/>
    <c:dispBlanksAs val="gap"/>
    <c:showDLblsOverMax val="0"/>
    <c:extLst/>
  </c:chart>
  <c:spPr>
    <a:noFill/>
    <a:ln>
      <a:noFill/>
    </a:ln>
  </c:spPr>
  <c:txPr>
    <a:bodyPr/>
    <a:lstStyle/>
    <a:p>
      <a:pPr>
        <a:defRPr/>
      </a:pPr>
      <a:endParaRPr lang="nl-NL"/>
    </a:p>
  </c:txPr>
  <c:externalData r:id="rId1">
    <c:autoUpdate val="0"/>
  </c:externalData>
</c:chartSpace>
</file>

<file path=word/charts/chart8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100" b="0" i="0" u="none" strike="noStrike" kern="1200" spc="0" baseline="0">
                <a:solidFill>
                  <a:srgbClr val="2C307E"/>
                </a:solidFill>
                <a:latin typeface="+mn-lt"/>
                <a:ea typeface="+mn-ea"/>
                <a:cs typeface="+mn-cs"/>
              </a:defRPr>
            </a:pPr>
            <a:r>
              <a:rPr lang="en-US" sz="1100" b="0" i="0" u="none" strike="noStrike" baseline="0">
                <a:effectLst/>
              </a:rPr>
              <a:t>Waarom maak je nooit/bijna nooit gebruik van binnenstedelijke snelladers? </a:t>
            </a:r>
            <a:endParaRPr lang="en-US" sz="1100" b="0" i="0" u="none" strike="noStrike" kern="1200" spc="0" baseline="0">
              <a:solidFill>
                <a:srgbClr val="2C307E"/>
              </a:solidFill>
              <a:latin typeface="Calibri" panose="020F0502020204030204" pitchFamily="34" charset="0"/>
              <a:cs typeface="Calibri" panose="020F0502020204030204" pitchFamily="34" charset="0"/>
            </a:endParaRPr>
          </a:p>
        </c:rich>
      </c:tx>
      <c:overlay val="0"/>
      <c:spPr>
        <a:noFill/>
        <a:ln>
          <a:noFill/>
        </a:ln>
        <a:effectLst/>
      </c:spPr>
    </c:title>
    <c:autoTitleDeleted val="0"/>
    <c:plotArea>
      <c:layout>
        <c:manualLayout>
          <c:layoutTarget val="inner"/>
          <c:xMode val="edge"/>
          <c:yMode val="edge"/>
          <c:x val="0.58764634334624954"/>
          <c:y val="0.16041666666666668"/>
          <c:w val="0.34646422425317358"/>
          <c:h val="0.76178559622996544"/>
        </c:manualLayout>
      </c:layout>
      <c:barChart>
        <c:barDir val="bar"/>
        <c:grouping val="clustered"/>
        <c:varyColors val="0"/>
        <c:ser>
          <c:idx val="0"/>
          <c:order val="0"/>
          <c:spPr>
            <a:solidFill>
              <a:srgbClr val="C9C743"/>
            </a:solidFill>
            <a:ln>
              <a:noFill/>
            </a:ln>
            <a:effectLst/>
          </c:spPr>
          <c:invertIfNegative val="0"/>
          <c:dLbls>
            <c:spPr>
              <a:noFill/>
              <a:ln>
                <a:noFill/>
              </a:ln>
              <a:effectLst/>
            </c:spPr>
            <c:txPr>
              <a:bodyPr wrap="square" lIns="38100" tIns="19050" rIns="38100" bIns="19050" anchor="ctr" anchorCtr="0">
                <a:spAutoFit/>
              </a:bodyPr>
              <a:lstStyle/>
              <a:p>
                <a:pPr algn="ctr">
                  <a:defRPr lang="en-US" sz="800" b="1" i="0" u="none" strike="noStrike" kern="1200" baseline="0">
                    <a:solidFill>
                      <a:srgbClr val="4EAFAA"/>
                    </a:solidFill>
                    <a:latin typeface="+mn-lt"/>
                    <a:ea typeface="+mn-ea"/>
                    <a:cs typeface="+mn-cs"/>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'3.4 snelladen'!$B$95:$B$100</c:f>
              <c:strCache>
                <c:ptCount val="5"/>
                <c:pt idx="0">
                  <c:v>Geen behoefte. Als ik op deze locaties kom, heb ik altijd voldoende actieradius </c:v>
                </c:pt>
                <c:pt idx="1">
                  <c:v>Ik kom niet vaak op dergelijke locaties</c:v>
                </c:pt>
                <c:pt idx="2">
                  <c:v>De laadkosten zijn te hoog</c:v>
                </c:pt>
                <c:pt idx="3">
                  <c:v>Mijn bezoek is te kort</c:v>
                </c:pt>
                <c:pt idx="4">
                  <c:v>De laadsnelheid is te laag</c:v>
                </c:pt>
              </c:strCache>
              <c:extLst/>
            </c:strRef>
          </c:cat>
          <c:val>
            <c:numRef>
              <c:f>'3.4 snelladen'!$E$95:$E$100</c:f>
              <c:numCache>
                <c:formatCode>0%</c:formatCode>
                <c:ptCount val="5"/>
                <c:pt idx="0">
                  <c:v>0.69821428571428568</c:v>
                </c:pt>
                <c:pt idx="1">
                  <c:v>0.25535714285714284</c:v>
                </c:pt>
                <c:pt idx="2">
                  <c:v>0.16250000000000001</c:v>
                </c:pt>
                <c:pt idx="3">
                  <c:v>0.12678571428571428</c:v>
                </c:pt>
                <c:pt idx="4">
                  <c:v>4.8214285714285716E-2</c:v>
                </c:pt>
              </c:numCache>
              <c:extLst/>
            </c:numRef>
          </c:val>
          <c:extLst>
            <c:ext xmlns:c16="http://schemas.microsoft.com/office/drawing/2014/chart" uri="{C3380CC4-5D6E-409C-BE32-E72D297353CC}">
              <c16:uniqueId val="{00000000-C771-4A19-8753-A113E9EDF437}"/>
            </c:ext>
          </c:extLst>
        </c:ser>
        <c:dLbls>
          <c:showLegendKey val="0"/>
          <c:showVal val="0"/>
          <c:showCatName val="0"/>
          <c:showSerName val="0"/>
          <c:showPercent val="0"/>
          <c:showBubbleSize val="0"/>
        </c:dLbls>
        <c:gapWidth val="219"/>
        <c:axId val="859086912"/>
        <c:axId val="859090872"/>
      </c:barChart>
      <c:catAx>
        <c:axId val="85908691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2C307E"/>
                </a:solidFill>
                <a:latin typeface="+mn-lt"/>
                <a:ea typeface="+mn-ea"/>
                <a:cs typeface="+mn-cs"/>
              </a:defRPr>
            </a:pPr>
            <a:endParaRPr lang="nl-NL"/>
          </a:p>
        </c:txPr>
        <c:crossAx val="859090872"/>
        <c:crosses val="autoZero"/>
        <c:auto val="1"/>
        <c:lblAlgn val="ctr"/>
        <c:lblOffset val="100"/>
        <c:noMultiLvlLbl val="0"/>
      </c:catAx>
      <c:valAx>
        <c:axId val="859090872"/>
        <c:scaling>
          <c:orientation val="minMax"/>
          <c:min val="0"/>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2C307E"/>
                </a:solidFill>
                <a:latin typeface="+mn-lt"/>
                <a:ea typeface="+mn-ea"/>
                <a:cs typeface="+mn-cs"/>
              </a:defRPr>
            </a:pPr>
            <a:endParaRPr lang="nl-NL"/>
          </a:p>
        </c:txPr>
        <c:crossAx val="859086912"/>
        <c:crosses val="autoZero"/>
        <c:crossBetween val="between"/>
        <c:majorUnit val="0.2"/>
      </c:valAx>
      <c:spPr>
        <a:noFill/>
        <a:ln>
          <a:noFill/>
        </a:ln>
      </c:spPr>
    </c:plotArea>
    <c:plotVisOnly val="1"/>
    <c:dispBlanksAs val="gap"/>
    <c:showDLblsOverMax val="0"/>
    <c:extLst/>
  </c:chart>
  <c:spPr>
    <a:noFill/>
    <a:ln>
      <a:noFill/>
    </a:ln>
  </c:spPr>
  <c:txPr>
    <a:bodyPr/>
    <a:lstStyle/>
    <a:p>
      <a:pPr>
        <a:defRPr/>
      </a:pPr>
      <a:endParaRPr lang="nl-NL"/>
    </a:p>
  </c:txPr>
  <c:externalData r:id="rId1">
    <c:autoUpdate val="0"/>
  </c:externalData>
</c:chartSpace>
</file>

<file path=word/charts/chart8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100" b="0" i="0" u="none" strike="noStrike" kern="1200" spc="0" baseline="0">
                <a:solidFill>
                  <a:srgbClr val="2C307E"/>
                </a:solidFill>
                <a:latin typeface="+mn-lt"/>
                <a:ea typeface="+mn-ea"/>
                <a:cs typeface="+mn-cs"/>
              </a:defRPr>
            </a:pPr>
            <a:r>
              <a:rPr lang="en-US" sz="1100" b="0" i="0" u="none" strike="noStrike" kern="1200" spc="0" baseline="0">
                <a:solidFill>
                  <a:srgbClr val="2C307E"/>
                </a:solidFill>
                <a:latin typeface="Calibri" panose="020F0502020204030204" pitchFamily="34" charset="0"/>
                <a:cs typeface="Calibri" panose="020F0502020204030204" pitchFamily="34" charset="0"/>
              </a:rPr>
              <a:t>Percentage ervaren knelpunten per jaar bij laden op het werk.</a:t>
            </a:r>
          </a:p>
        </c:rich>
      </c:tx>
      <c:overlay val="0"/>
      <c:spPr>
        <a:noFill/>
        <a:ln>
          <a:noFill/>
        </a:ln>
        <a:effectLst/>
      </c:spPr>
    </c:title>
    <c:autoTitleDeleted val="0"/>
    <c:plotArea>
      <c:layout/>
      <c:barChart>
        <c:barDir val="col"/>
        <c:grouping val="clustered"/>
        <c:varyColors val="0"/>
        <c:ser>
          <c:idx val="0"/>
          <c:order val="0"/>
          <c:spPr>
            <a:solidFill>
              <a:srgbClr val="C9C743"/>
            </a:solidFill>
            <a:ln>
              <a:noFill/>
            </a:ln>
            <a:effectLst/>
          </c:spPr>
          <c:invertIfNegative val="0"/>
          <c:dLbls>
            <c:spPr>
              <a:noFill/>
              <a:ln>
                <a:noFill/>
              </a:ln>
              <a:effectLst/>
            </c:spPr>
            <c:txPr>
              <a:bodyPr wrap="square" lIns="38100" tIns="19050" rIns="38100" bIns="19050" anchor="ctr" anchorCtr="0">
                <a:spAutoFit/>
              </a:bodyPr>
              <a:lstStyle/>
              <a:p>
                <a:pPr algn="ctr">
                  <a:defRPr lang="en-US" sz="800" b="1" i="0" u="none" strike="noStrike" kern="1200" baseline="0">
                    <a:solidFill>
                      <a:srgbClr val="4EAFAA"/>
                    </a:solidFill>
                    <a:latin typeface="+mn-lt"/>
                    <a:ea typeface="+mn-ea"/>
                    <a:cs typeface="+mn-cs"/>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'3.4 werk laden'!$B$5:$F$5</c:f>
              <c:numCache>
                <c:formatCode>General</c:formatCode>
                <c:ptCount val="5"/>
                <c:pt idx="0">
                  <c:v>2021</c:v>
                </c:pt>
                <c:pt idx="1">
                  <c:v>2022</c:v>
                </c:pt>
                <c:pt idx="2">
                  <c:v>2023</c:v>
                </c:pt>
                <c:pt idx="3">
                  <c:v>2024</c:v>
                </c:pt>
                <c:pt idx="4">
                  <c:v>2025</c:v>
                </c:pt>
              </c:numCache>
            </c:numRef>
          </c:cat>
          <c:val>
            <c:numRef>
              <c:f>'3.4 werk laden'!$B$6:$F$6</c:f>
              <c:numCache>
                <c:formatCode>0%</c:formatCode>
                <c:ptCount val="5"/>
                <c:pt idx="0">
                  <c:v>0.48</c:v>
                </c:pt>
                <c:pt idx="1">
                  <c:v>0.41</c:v>
                </c:pt>
                <c:pt idx="2">
                  <c:v>0.47</c:v>
                </c:pt>
                <c:pt idx="3">
                  <c:v>0.45</c:v>
                </c:pt>
                <c:pt idx="4">
                  <c:v>0.38</c:v>
                </c:pt>
              </c:numCache>
            </c:numRef>
          </c:val>
          <c:extLst>
            <c:ext xmlns:c16="http://schemas.microsoft.com/office/drawing/2014/chart" uri="{C3380CC4-5D6E-409C-BE32-E72D297353CC}">
              <c16:uniqueId val="{00000000-AB9F-4251-A8B7-C56B2341A038}"/>
            </c:ext>
          </c:extLst>
        </c:ser>
        <c:dLbls>
          <c:showLegendKey val="0"/>
          <c:showVal val="0"/>
          <c:showCatName val="0"/>
          <c:showSerName val="0"/>
          <c:showPercent val="0"/>
          <c:showBubbleSize val="0"/>
        </c:dLbls>
        <c:gapWidth val="219"/>
        <c:overlap val="-27"/>
        <c:axId val="859086912"/>
        <c:axId val="859090872"/>
      </c:barChart>
      <c:catAx>
        <c:axId val="8590869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2C307E"/>
                </a:solidFill>
                <a:latin typeface="+mn-lt"/>
                <a:ea typeface="+mn-ea"/>
                <a:cs typeface="+mn-cs"/>
              </a:defRPr>
            </a:pPr>
            <a:endParaRPr lang="nl-NL"/>
          </a:p>
        </c:txPr>
        <c:crossAx val="859090872"/>
        <c:crosses val="autoZero"/>
        <c:auto val="1"/>
        <c:lblAlgn val="ctr"/>
        <c:lblOffset val="100"/>
        <c:noMultiLvlLbl val="0"/>
      </c:catAx>
      <c:valAx>
        <c:axId val="859090872"/>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2C307E"/>
                </a:solidFill>
                <a:latin typeface="+mn-lt"/>
                <a:ea typeface="+mn-ea"/>
                <a:cs typeface="+mn-cs"/>
              </a:defRPr>
            </a:pPr>
            <a:endParaRPr lang="nl-NL"/>
          </a:p>
        </c:txPr>
        <c:crossAx val="859086912"/>
        <c:crosses val="autoZero"/>
        <c:crossBetween val="between"/>
        <c:majorUnit val="0.1"/>
      </c:valAx>
      <c:spPr>
        <a:noFill/>
        <a:ln>
          <a:noFill/>
        </a:ln>
      </c:spPr>
    </c:plotArea>
    <c:plotVisOnly val="1"/>
    <c:dispBlanksAs val="gap"/>
    <c:showDLblsOverMax val="0"/>
    <c:extLst/>
  </c:chart>
  <c:spPr>
    <a:noFill/>
    <a:ln>
      <a:noFill/>
    </a:ln>
  </c:spPr>
  <c:txPr>
    <a:bodyPr/>
    <a:lstStyle/>
    <a:p>
      <a:pPr>
        <a:defRPr/>
      </a:pPr>
      <a:endParaRPr lang="nl-NL"/>
    </a:p>
  </c:txPr>
  <c:externalData r:id="rId1">
    <c:autoUpdate val="0"/>
  </c:externalData>
</c:chartSpace>
</file>

<file path=word/charts/chart8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100" b="0" i="0" u="none" strike="noStrike" kern="1200" spc="0" baseline="0">
                <a:solidFill>
                  <a:srgbClr val="2C307E"/>
                </a:solidFill>
                <a:latin typeface="+mn-lt"/>
                <a:ea typeface="+mn-ea"/>
                <a:cs typeface="+mn-cs"/>
              </a:defRPr>
            </a:pPr>
            <a:r>
              <a:rPr lang="nl-NL" sz="1100" b="0" i="0" u="none" strike="noStrike" baseline="0">
                <a:effectLst/>
              </a:rPr>
              <a:t>Hoe vaak is de laadpaal op werk beschikbaar als wilt laden op werk?</a:t>
            </a:r>
            <a:r>
              <a:rPr lang="nl-NL" sz="1100" b="0" i="0" u="none" strike="noStrike" baseline="0"/>
              <a:t>  </a:t>
            </a:r>
            <a:endParaRPr lang="en-US" sz="1100" b="0" i="0" u="none" strike="noStrike" kern="1200" spc="0" baseline="0">
              <a:solidFill>
                <a:srgbClr val="2C307E"/>
              </a:solidFill>
              <a:latin typeface="Calibri" panose="020F0502020204030204" pitchFamily="34" charset="0"/>
              <a:cs typeface="Calibri" panose="020F0502020204030204" pitchFamily="34" charset="0"/>
            </a:endParaRPr>
          </a:p>
        </c:rich>
      </c:tx>
      <c:layout>
        <c:manualLayout>
          <c:xMode val="edge"/>
          <c:yMode val="edge"/>
          <c:x val="0.11781425456681617"/>
          <c:y val="2.5247212286976645E-2"/>
        </c:manualLayout>
      </c:layout>
      <c:overlay val="0"/>
      <c:spPr>
        <a:noFill/>
        <a:ln>
          <a:noFill/>
        </a:ln>
        <a:effectLst/>
      </c:spPr>
    </c:title>
    <c:autoTitleDeleted val="0"/>
    <c:plotArea>
      <c:layout>
        <c:manualLayout>
          <c:layoutTarget val="inner"/>
          <c:xMode val="edge"/>
          <c:yMode val="edge"/>
          <c:x val="0.18286243631310792"/>
          <c:y val="0.15930990953082266"/>
          <c:w val="0.7645311552698667"/>
          <c:h val="0.44790973293286795"/>
        </c:manualLayout>
      </c:layout>
      <c:barChart>
        <c:barDir val="col"/>
        <c:grouping val="clustered"/>
        <c:varyColors val="0"/>
        <c:ser>
          <c:idx val="0"/>
          <c:order val="0"/>
          <c:tx>
            <c:strRef>
              <c:f>'3.4 werk laden'!$D$29</c:f>
              <c:strCache>
                <c:ptCount val="1"/>
                <c:pt idx="0">
                  <c:v>2023</c:v>
                </c:pt>
              </c:strCache>
            </c:strRef>
          </c:tx>
          <c:spPr>
            <a:solidFill>
              <a:srgbClr val="2C307E"/>
            </a:solidFill>
            <a:ln>
              <a:noFill/>
            </a:ln>
            <a:effectLst/>
          </c:spPr>
          <c:invertIfNegative val="0"/>
          <c:cat>
            <c:strRef>
              <c:f>'3.4 werk laden'!$C$30:$C$34</c:f>
              <c:strCache>
                <c:ptCount val="5"/>
                <c:pt idx="0">
                  <c:v>Altijd (10/10 keer)</c:v>
                </c:pt>
                <c:pt idx="1">
                  <c:v>Meestal (9/10 keer)</c:v>
                </c:pt>
                <c:pt idx="2">
                  <c:v>Regelmatig (6/10 keer)</c:v>
                </c:pt>
                <c:pt idx="3">
                  <c:v>Af en toe (4/10 keer)</c:v>
                </c:pt>
                <c:pt idx="4">
                  <c:v>Bijna niet (1/10 keer)</c:v>
                </c:pt>
              </c:strCache>
            </c:strRef>
          </c:cat>
          <c:val>
            <c:numRef>
              <c:f>'3.4 werk laden'!$D$30:$D$34</c:f>
              <c:numCache>
                <c:formatCode>0%</c:formatCode>
                <c:ptCount val="5"/>
                <c:pt idx="0">
                  <c:v>0.25</c:v>
                </c:pt>
                <c:pt idx="1">
                  <c:v>0.34</c:v>
                </c:pt>
                <c:pt idx="2">
                  <c:v>0.25</c:v>
                </c:pt>
                <c:pt idx="3">
                  <c:v>0.11</c:v>
                </c:pt>
                <c:pt idx="4">
                  <c:v>0.05</c:v>
                </c:pt>
              </c:numCache>
            </c:numRef>
          </c:val>
          <c:extLst>
            <c:ext xmlns:c16="http://schemas.microsoft.com/office/drawing/2014/chart" uri="{C3380CC4-5D6E-409C-BE32-E72D297353CC}">
              <c16:uniqueId val="{00000000-1882-45D0-9AE5-C12575E5911A}"/>
            </c:ext>
          </c:extLst>
        </c:ser>
        <c:ser>
          <c:idx val="1"/>
          <c:order val="1"/>
          <c:tx>
            <c:strRef>
              <c:f>'3.4 werk laden'!$E$29</c:f>
              <c:strCache>
                <c:ptCount val="1"/>
                <c:pt idx="0">
                  <c:v>2024</c:v>
                </c:pt>
              </c:strCache>
            </c:strRef>
          </c:tx>
          <c:spPr>
            <a:solidFill>
              <a:srgbClr val="08B466"/>
            </a:solidFill>
          </c:spPr>
          <c:invertIfNegative val="0"/>
          <c:cat>
            <c:strRef>
              <c:f>'3.4 werk laden'!$C$30:$C$34</c:f>
              <c:strCache>
                <c:ptCount val="5"/>
                <c:pt idx="0">
                  <c:v>Altijd (10/10 keer)</c:v>
                </c:pt>
                <c:pt idx="1">
                  <c:v>Meestal (9/10 keer)</c:v>
                </c:pt>
                <c:pt idx="2">
                  <c:v>Regelmatig (6/10 keer)</c:v>
                </c:pt>
                <c:pt idx="3">
                  <c:v>Af en toe (4/10 keer)</c:v>
                </c:pt>
                <c:pt idx="4">
                  <c:v>Bijna niet (1/10 keer)</c:v>
                </c:pt>
              </c:strCache>
            </c:strRef>
          </c:cat>
          <c:val>
            <c:numRef>
              <c:f>'3.4 werk laden'!$E$30:$E$34</c:f>
              <c:numCache>
                <c:formatCode>0%</c:formatCode>
                <c:ptCount val="5"/>
                <c:pt idx="0">
                  <c:v>0.24</c:v>
                </c:pt>
                <c:pt idx="1">
                  <c:v>0.35</c:v>
                </c:pt>
                <c:pt idx="2">
                  <c:v>0.26</c:v>
                </c:pt>
                <c:pt idx="3">
                  <c:v>0.11</c:v>
                </c:pt>
                <c:pt idx="4">
                  <c:v>0.04</c:v>
                </c:pt>
              </c:numCache>
            </c:numRef>
          </c:val>
          <c:extLst>
            <c:ext xmlns:c16="http://schemas.microsoft.com/office/drawing/2014/chart" uri="{C3380CC4-5D6E-409C-BE32-E72D297353CC}">
              <c16:uniqueId val="{00000001-1882-45D0-9AE5-C12575E5911A}"/>
            </c:ext>
          </c:extLst>
        </c:ser>
        <c:ser>
          <c:idx val="2"/>
          <c:order val="2"/>
          <c:tx>
            <c:strRef>
              <c:f>'3.4 werk laden'!$F$29</c:f>
              <c:strCache>
                <c:ptCount val="1"/>
                <c:pt idx="0">
                  <c:v>2025</c:v>
                </c:pt>
              </c:strCache>
            </c:strRef>
          </c:tx>
          <c:spPr>
            <a:solidFill>
              <a:srgbClr val="C9C743"/>
            </a:solidFill>
          </c:spPr>
          <c:invertIfNegative val="0"/>
          <c:dLbls>
            <c:dLbl>
              <c:idx val="2"/>
              <c:layout>
                <c:manualLayout>
                  <c:x val="1.4347202295552367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0F1-4DA5-854F-2BDFB94F0A0E}"/>
                </c:ext>
              </c:extLst>
            </c:dLbl>
            <c:spPr>
              <a:noFill/>
              <a:ln>
                <a:noFill/>
              </a:ln>
              <a:effectLst/>
            </c:spPr>
            <c:txPr>
              <a:bodyPr wrap="square" lIns="38100" tIns="19050" rIns="38100" bIns="19050" anchor="ctr" anchorCtr="0">
                <a:spAutoFit/>
              </a:bodyPr>
              <a:lstStyle/>
              <a:p>
                <a:pPr algn="ctr">
                  <a:defRPr lang="en-US" sz="800" b="1" i="0" u="none" strike="noStrike" kern="1200" baseline="0">
                    <a:solidFill>
                      <a:srgbClr val="2C307E"/>
                    </a:solidFill>
                    <a:latin typeface="+mn-lt"/>
                    <a:ea typeface="+mn-ea"/>
                    <a:cs typeface="+mn-cs"/>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'3.4 werk laden'!$C$30:$C$34</c:f>
              <c:strCache>
                <c:ptCount val="5"/>
                <c:pt idx="0">
                  <c:v>Altijd (10/10 keer)</c:v>
                </c:pt>
                <c:pt idx="1">
                  <c:v>Meestal (9/10 keer)</c:v>
                </c:pt>
                <c:pt idx="2">
                  <c:v>Regelmatig (6/10 keer)</c:v>
                </c:pt>
                <c:pt idx="3">
                  <c:v>Af en toe (4/10 keer)</c:v>
                </c:pt>
                <c:pt idx="4">
                  <c:v>Bijna niet (1/10 keer)</c:v>
                </c:pt>
              </c:strCache>
            </c:strRef>
          </c:cat>
          <c:val>
            <c:numRef>
              <c:f>'3.4 werk laden'!$F$30:$F$34</c:f>
              <c:numCache>
                <c:formatCode>0%</c:formatCode>
                <c:ptCount val="5"/>
                <c:pt idx="0">
                  <c:v>0.32664233576642338</c:v>
                </c:pt>
                <c:pt idx="1">
                  <c:v>0.3521897810218978</c:v>
                </c:pt>
                <c:pt idx="2">
                  <c:v>0.17518248175182483</c:v>
                </c:pt>
                <c:pt idx="3">
                  <c:v>8.7591240875912413E-2</c:v>
                </c:pt>
                <c:pt idx="4">
                  <c:v>5.8394160583941604E-2</c:v>
                </c:pt>
              </c:numCache>
            </c:numRef>
          </c:val>
          <c:extLst>
            <c:ext xmlns:c16="http://schemas.microsoft.com/office/drawing/2014/chart" uri="{C3380CC4-5D6E-409C-BE32-E72D297353CC}">
              <c16:uniqueId val="{00000002-1882-45D0-9AE5-C12575E5911A}"/>
            </c:ext>
          </c:extLst>
        </c:ser>
        <c:dLbls>
          <c:showLegendKey val="0"/>
          <c:showVal val="0"/>
          <c:showCatName val="0"/>
          <c:showSerName val="0"/>
          <c:showPercent val="0"/>
          <c:showBubbleSize val="0"/>
        </c:dLbls>
        <c:gapWidth val="219"/>
        <c:overlap val="-27"/>
        <c:axId val="859086912"/>
        <c:axId val="859090872"/>
      </c:barChart>
      <c:catAx>
        <c:axId val="8590869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2C307E"/>
                </a:solidFill>
                <a:latin typeface="+mn-lt"/>
                <a:ea typeface="+mn-ea"/>
                <a:cs typeface="+mn-cs"/>
              </a:defRPr>
            </a:pPr>
            <a:endParaRPr lang="nl-NL"/>
          </a:p>
        </c:txPr>
        <c:crossAx val="859090872"/>
        <c:crosses val="autoZero"/>
        <c:auto val="1"/>
        <c:lblAlgn val="ctr"/>
        <c:lblOffset val="100"/>
        <c:noMultiLvlLbl val="0"/>
      </c:catAx>
      <c:valAx>
        <c:axId val="859090872"/>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2C307E"/>
                </a:solidFill>
                <a:latin typeface="+mn-lt"/>
                <a:ea typeface="+mn-ea"/>
                <a:cs typeface="+mn-cs"/>
              </a:defRPr>
            </a:pPr>
            <a:endParaRPr lang="nl-NL"/>
          </a:p>
        </c:txPr>
        <c:crossAx val="859086912"/>
        <c:crosses val="autoZero"/>
        <c:crossBetween val="between"/>
        <c:majorUnit val="0.1"/>
      </c:valAx>
      <c:spPr>
        <a:noFill/>
        <a:ln>
          <a:noFill/>
        </a:ln>
      </c:spPr>
    </c:plotArea>
    <c:legend>
      <c:legendPos val="b"/>
      <c:overlay val="0"/>
      <c:txPr>
        <a:bodyPr/>
        <a:lstStyle/>
        <a:p>
          <a:pPr>
            <a:defRPr>
              <a:solidFill>
                <a:srgbClr val="2C307E"/>
              </a:solidFill>
            </a:defRPr>
          </a:pPr>
          <a:endParaRPr lang="nl-NL"/>
        </a:p>
      </c:txPr>
    </c:legend>
    <c:plotVisOnly val="1"/>
    <c:dispBlanksAs val="gap"/>
    <c:showDLblsOverMax val="0"/>
    <c:extLst/>
  </c:chart>
  <c:spPr>
    <a:noFill/>
    <a:ln>
      <a:noFill/>
    </a:ln>
  </c:spPr>
  <c:txPr>
    <a:bodyPr/>
    <a:lstStyle/>
    <a:p>
      <a:pPr>
        <a:defRPr/>
      </a:pPr>
      <a:endParaRPr lang="nl-NL"/>
    </a:p>
  </c:txPr>
  <c:externalData r:id="rId1">
    <c:autoUpdate val="0"/>
  </c:externalData>
</c:chartSpace>
</file>

<file path=word/charts/chart8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100" b="0" i="0" u="none" strike="noStrike" kern="1200" spc="0" baseline="0">
                <a:solidFill>
                  <a:srgbClr val="2C307E"/>
                </a:solidFill>
                <a:latin typeface="+mn-lt"/>
                <a:ea typeface="+mn-ea"/>
                <a:cs typeface="+mn-cs"/>
              </a:defRPr>
            </a:pPr>
            <a:r>
              <a:rPr lang="nl-NL" sz="1100" b="0" i="0" u="none" strike="noStrike" baseline="0">
                <a:effectLst/>
              </a:rPr>
              <a:t>Wat kost laden op je werk?</a:t>
            </a:r>
            <a:endParaRPr lang="en-US" sz="1100" b="0" i="0" u="none" strike="noStrike" kern="1200" spc="0" baseline="0">
              <a:solidFill>
                <a:srgbClr val="2C307E"/>
              </a:solidFill>
              <a:latin typeface="Calibri" panose="020F0502020204030204" pitchFamily="34" charset="0"/>
              <a:cs typeface="Calibri" panose="020F0502020204030204" pitchFamily="34" charset="0"/>
            </a:endParaRPr>
          </a:p>
        </c:rich>
      </c:tx>
      <c:overlay val="0"/>
      <c:spPr>
        <a:noFill/>
        <a:ln>
          <a:noFill/>
        </a:ln>
        <a:effectLst/>
      </c:spPr>
    </c:title>
    <c:autoTitleDeleted val="0"/>
    <c:plotArea>
      <c:layout/>
      <c:barChart>
        <c:barDir val="col"/>
        <c:grouping val="clustered"/>
        <c:varyColors val="0"/>
        <c:ser>
          <c:idx val="0"/>
          <c:order val="0"/>
          <c:tx>
            <c:strRef>
              <c:f>'3.4 werk laden'!$G$42</c:f>
              <c:strCache>
                <c:ptCount val="1"/>
                <c:pt idx="0">
                  <c:v>2023</c:v>
                </c:pt>
              </c:strCache>
            </c:strRef>
          </c:tx>
          <c:spPr>
            <a:solidFill>
              <a:srgbClr val="2C307E"/>
            </a:solidFill>
            <a:ln>
              <a:noFill/>
            </a:ln>
            <a:effectLst/>
          </c:spPr>
          <c:invertIfNegative val="0"/>
          <c:cat>
            <c:strRef>
              <c:f>'3.4 werk laden'!$C$43:$C$46</c:f>
              <c:strCache>
                <c:ptCount val="4"/>
                <c:pt idx="0">
                  <c:v>Laden op werk kost ... eurocent per kilowattuur </c:v>
                </c:pt>
                <c:pt idx="1">
                  <c:v>Laden op het werk is gratis   </c:v>
                </c:pt>
                <c:pt idx="2">
                  <c:v>Ik krijg mijn laadkosten vergoed   </c:v>
                </c:pt>
                <c:pt idx="3">
                  <c:v>Dat weet ik niet   </c:v>
                </c:pt>
              </c:strCache>
            </c:strRef>
          </c:cat>
          <c:val>
            <c:numRef>
              <c:f>'3.4 werk laden'!$G$43:$G$46</c:f>
              <c:numCache>
                <c:formatCode>0%</c:formatCode>
                <c:ptCount val="4"/>
                <c:pt idx="0">
                  <c:v>0.27</c:v>
                </c:pt>
                <c:pt idx="1">
                  <c:v>0.28000000000000003</c:v>
                </c:pt>
                <c:pt idx="2">
                  <c:v>0.22</c:v>
                </c:pt>
                <c:pt idx="3">
                  <c:v>0.23</c:v>
                </c:pt>
              </c:numCache>
            </c:numRef>
          </c:val>
          <c:extLst>
            <c:ext xmlns:c16="http://schemas.microsoft.com/office/drawing/2014/chart" uri="{C3380CC4-5D6E-409C-BE32-E72D297353CC}">
              <c16:uniqueId val="{00000000-6F02-4388-85F4-6978C0D75A2B}"/>
            </c:ext>
          </c:extLst>
        </c:ser>
        <c:ser>
          <c:idx val="1"/>
          <c:order val="1"/>
          <c:tx>
            <c:strRef>
              <c:f>'3.4 werk laden'!$H$42</c:f>
              <c:strCache>
                <c:ptCount val="1"/>
                <c:pt idx="0">
                  <c:v>2024</c:v>
                </c:pt>
              </c:strCache>
            </c:strRef>
          </c:tx>
          <c:spPr>
            <a:solidFill>
              <a:srgbClr val="08B466"/>
            </a:solidFill>
          </c:spPr>
          <c:invertIfNegative val="0"/>
          <c:cat>
            <c:strRef>
              <c:f>'3.4 werk laden'!$C$43:$C$46</c:f>
              <c:strCache>
                <c:ptCount val="4"/>
                <c:pt idx="0">
                  <c:v>Laden op werk kost ... eurocent per kilowattuur </c:v>
                </c:pt>
                <c:pt idx="1">
                  <c:v>Laden op het werk is gratis   </c:v>
                </c:pt>
                <c:pt idx="2">
                  <c:v>Ik krijg mijn laadkosten vergoed   </c:v>
                </c:pt>
                <c:pt idx="3">
                  <c:v>Dat weet ik niet   </c:v>
                </c:pt>
              </c:strCache>
            </c:strRef>
          </c:cat>
          <c:val>
            <c:numRef>
              <c:f>'3.4 werk laden'!$H$43:$H$46</c:f>
              <c:numCache>
                <c:formatCode>0%</c:formatCode>
                <c:ptCount val="4"/>
                <c:pt idx="0">
                  <c:v>0.28999999999999998</c:v>
                </c:pt>
                <c:pt idx="1">
                  <c:v>0.26</c:v>
                </c:pt>
                <c:pt idx="2">
                  <c:v>0.24</c:v>
                </c:pt>
                <c:pt idx="3">
                  <c:v>0.21</c:v>
                </c:pt>
              </c:numCache>
            </c:numRef>
          </c:val>
          <c:extLst>
            <c:ext xmlns:c16="http://schemas.microsoft.com/office/drawing/2014/chart" uri="{C3380CC4-5D6E-409C-BE32-E72D297353CC}">
              <c16:uniqueId val="{00000001-6F02-4388-85F4-6978C0D75A2B}"/>
            </c:ext>
          </c:extLst>
        </c:ser>
        <c:ser>
          <c:idx val="2"/>
          <c:order val="2"/>
          <c:tx>
            <c:strRef>
              <c:f>'3.4 werk laden'!$I$42</c:f>
              <c:strCache>
                <c:ptCount val="1"/>
                <c:pt idx="0">
                  <c:v>2025</c:v>
                </c:pt>
              </c:strCache>
            </c:strRef>
          </c:tx>
          <c:spPr>
            <a:solidFill>
              <a:srgbClr val="C9C743"/>
            </a:solidFill>
          </c:spPr>
          <c:invertIfNegative val="0"/>
          <c:dLbls>
            <c:spPr>
              <a:noFill/>
              <a:ln>
                <a:noFill/>
              </a:ln>
              <a:effectLst/>
            </c:spPr>
            <c:txPr>
              <a:bodyPr wrap="square" lIns="38100" tIns="19050" rIns="38100" bIns="19050" anchor="ctr" anchorCtr="0">
                <a:spAutoFit/>
              </a:bodyPr>
              <a:lstStyle/>
              <a:p>
                <a:pPr algn="ctr">
                  <a:defRPr lang="en-US" sz="800" b="1" i="0" u="none" strike="noStrike" kern="1200" baseline="0">
                    <a:solidFill>
                      <a:srgbClr val="2C307E"/>
                    </a:solidFill>
                    <a:latin typeface="+mn-lt"/>
                    <a:ea typeface="+mn-ea"/>
                    <a:cs typeface="+mn-cs"/>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'3.4 werk laden'!$C$43:$C$46</c:f>
              <c:strCache>
                <c:ptCount val="4"/>
                <c:pt idx="0">
                  <c:v>Laden op werk kost ... eurocent per kilowattuur </c:v>
                </c:pt>
                <c:pt idx="1">
                  <c:v>Laden op het werk is gratis   </c:v>
                </c:pt>
                <c:pt idx="2">
                  <c:v>Ik krijg mijn laadkosten vergoed   </c:v>
                </c:pt>
                <c:pt idx="3">
                  <c:v>Dat weet ik niet   </c:v>
                </c:pt>
              </c:strCache>
            </c:strRef>
          </c:cat>
          <c:val>
            <c:numRef>
              <c:f>'3.4 werk laden'!$I$43:$I$46</c:f>
              <c:numCache>
                <c:formatCode>0%</c:formatCode>
                <c:ptCount val="4"/>
                <c:pt idx="0">
                  <c:v>0.30530164533820842</c:v>
                </c:pt>
                <c:pt idx="1">
                  <c:v>0.2449725776965265</c:v>
                </c:pt>
                <c:pt idx="2">
                  <c:v>0.24131627056672761</c:v>
                </c:pt>
                <c:pt idx="3">
                  <c:v>0.20840950639853748</c:v>
                </c:pt>
              </c:numCache>
            </c:numRef>
          </c:val>
          <c:extLst>
            <c:ext xmlns:c16="http://schemas.microsoft.com/office/drawing/2014/chart" uri="{C3380CC4-5D6E-409C-BE32-E72D297353CC}">
              <c16:uniqueId val="{00000002-6F02-4388-85F4-6978C0D75A2B}"/>
            </c:ext>
          </c:extLst>
        </c:ser>
        <c:dLbls>
          <c:showLegendKey val="0"/>
          <c:showVal val="0"/>
          <c:showCatName val="0"/>
          <c:showSerName val="0"/>
          <c:showPercent val="0"/>
          <c:showBubbleSize val="0"/>
        </c:dLbls>
        <c:gapWidth val="219"/>
        <c:overlap val="-27"/>
        <c:axId val="859086912"/>
        <c:axId val="859090872"/>
      </c:barChart>
      <c:catAx>
        <c:axId val="8590869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sz="900" b="0" i="0" u="none" strike="noStrike" kern="1200" baseline="0">
                <a:solidFill>
                  <a:srgbClr val="2C307E"/>
                </a:solidFill>
                <a:latin typeface="+mn-lt"/>
                <a:ea typeface="+mn-ea"/>
                <a:cs typeface="+mn-cs"/>
              </a:defRPr>
            </a:pPr>
            <a:endParaRPr lang="nl-NL"/>
          </a:p>
        </c:txPr>
        <c:crossAx val="859090872"/>
        <c:crosses val="autoZero"/>
        <c:auto val="1"/>
        <c:lblAlgn val="ctr"/>
        <c:lblOffset val="100"/>
        <c:noMultiLvlLbl val="0"/>
      </c:catAx>
      <c:valAx>
        <c:axId val="859090872"/>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2C307E"/>
                </a:solidFill>
                <a:latin typeface="+mn-lt"/>
                <a:ea typeface="+mn-ea"/>
                <a:cs typeface="+mn-cs"/>
              </a:defRPr>
            </a:pPr>
            <a:endParaRPr lang="nl-NL"/>
          </a:p>
        </c:txPr>
        <c:crossAx val="859086912"/>
        <c:crosses val="autoZero"/>
        <c:crossBetween val="between"/>
        <c:majorUnit val="0.1"/>
      </c:valAx>
      <c:spPr>
        <a:noFill/>
        <a:ln>
          <a:noFill/>
        </a:ln>
      </c:spPr>
    </c:plotArea>
    <c:legend>
      <c:legendPos val="b"/>
      <c:overlay val="0"/>
      <c:txPr>
        <a:bodyPr/>
        <a:lstStyle/>
        <a:p>
          <a:pPr>
            <a:defRPr sz="900">
              <a:solidFill>
                <a:srgbClr val="2C307E"/>
              </a:solidFill>
            </a:defRPr>
          </a:pPr>
          <a:endParaRPr lang="nl-NL"/>
        </a:p>
      </c:txPr>
    </c:legend>
    <c:plotVisOnly val="1"/>
    <c:dispBlanksAs val="gap"/>
    <c:showDLblsOverMax val="0"/>
    <c:extLst/>
  </c:chart>
  <c:spPr>
    <a:noFill/>
    <a:ln>
      <a:noFill/>
    </a:ln>
  </c:spPr>
  <c:txPr>
    <a:bodyPr/>
    <a:lstStyle/>
    <a:p>
      <a:pPr>
        <a:defRPr/>
      </a:pPr>
      <a:endParaRPr lang="nl-NL"/>
    </a:p>
  </c:txPr>
  <c:externalData r:id="rId1">
    <c:autoUpdate val="0"/>
  </c:externalData>
</c:chartSpace>
</file>

<file path=word/charts/chart8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rgbClr val="2C307E"/>
                </a:solidFill>
                <a:latin typeface="+mn-lt"/>
                <a:ea typeface="+mn-ea"/>
                <a:cs typeface="+mn-cs"/>
              </a:defRPr>
            </a:pPr>
            <a:r>
              <a:rPr lang="nl-NL" sz="1100">
                <a:solidFill>
                  <a:srgbClr val="2C307E"/>
                </a:solidFill>
              </a:rPr>
              <a:t>Welke vorm(en) van slim laden ken je?</a:t>
            </a:r>
          </a:p>
        </c:rich>
      </c:tx>
      <c:overlay val="0"/>
      <c:spPr>
        <a:noFill/>
        <a:ln>
          <a:noFill/>
        </a:ln>
        <a:effectLst/>
      </c:spPr>
      <c:txPr>
        <a:bodyPr rot="0" spcFirstLastPara="1" vertOverflow="ellipsis" vert="horz" wrap="square" anchor="ctr" anchorCtr="1"/>
        <a:lstStyle/>
        <a:p>
          <a:pPr>
            <a:defRPr sz="1100" b="0" i="0" u="none" strike="noStrike" kern="1200" spc="0" baseline="0">
              <a:solidFill>
                <a:srgbClr val="2C307E"/>
              </a:solidFill>
              <a:latin typeface="+mn-lt"/>
              <a:ea typeface="+mn-ea"/>
              <a:cs typeface="+mn-cs"/>
            </a:defRPr>
          </a:pPr>
          <a:endParaRPr lang="en-NL"/>
        </a:p>
      </c:txPr>
    </c:title>
    <c:autoTitleDeleted val="0"/>
    <c:plotArea>
      <c:layout/>
      <c:barChart>
        <c:barDir val="bar"/>
        <c:grouping val="clustered"/>
        <c:varyColors val="0"/>
        <c:ser>
          <c:idx val="2"/>
          <c:order val="0"/>
          <c:tx>
            <c:strRef>
              <c:f>Figuren!$L$5</c:f>
              <c:strCache>
                <c:ptCount val="1"/>
                <c:pt idx="0">
                  <c:v>2025</c:v>
                </c:pt>
              </c:strCache>
            </c:strRef>
          </c:tx>
          <c:spPr>
            <a:solidFill>
              <a:srgbClr val="C9C74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rgbClr val="2C307E"/>
                    </a:solidFill>
                    <a:latin typeface="+mn-lt"/>
                    <a:ea typeface="+mn-ea"/>
                    <a:cs typeface="+mn-cs"/>
                  </a:defRPr>
                </a:pPr>
                <a:endParaRPr lang="en-N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Figuren!$I$6:$I$9</c:f>
              <c:strCache>
                <c:ptCount val="4"/>
                <c:pt idx="0">
                  <c:v>Bidirectioneel laden</c:v>
                </c:pt>
                <c:pt idx="1">
                  <c:v>Laden op basis van netcapaciteit</c:v>
                </c:pt>
                <c:pt idx="2">
                  <c:v>Laden op basis van dynamische stroomtarieven</c:v>
                </c:pt>
                <c:pt idx="3">
                  <c:v>Laden op duurzame opwek (zon en wind)</c:v>
                </c:pt>
              </c:strCache>
            </c:strRef>
          </c:cat>
          <c:val>
            <c:numRef>
              <c:f>Figuren!$L$6:$L$9</c:f>
              <c:numCache>
                <c:formatCode>0%</c:formatCode>
                <c:ptCount val="4"/>
                <c:pt idx="0">
                  <c:v>0.71321462043111528</c:v>
                </c:pt>
                <c:pt idx="1">
                  <c:v>0.76069978131833804</c:v>
                </c:pt>
                <c:pt idx="2">
                  <c:v>0.82036863480162447</c:v>
                </c:pt>
                <c:pt idx="3">
                  <c:v>0.683223992502343</c:v>
                </c:pt>
              </c:numCache>
            </c:numRef>
          </c:val>
          <c:extLst>
            <c:ext xmlns:c16="http://schemas.microsoft.com/office/drawing/2014/chart" uri="{C3380CC4-5D6E-409C-BE32-E72D297353CC}">
              <c16:uniqueId val="{00000000-6585-456E-B393-5665C0ACE582}"/>
            </c:ext>
          </c:extLst>
        </c:ser>
        <c:ser>
          <c:idx val="1"/>
          <c:order val="1"/>
          <c:tx>
            <c:strRef>
              <c:f>Figuren!$K$5</c:f>
              <c:strCache>
                <c:ptCount val="1"/>
                <c:pt idx="0">
                  <c:v>2024</c:v>
                </c:pt>
              </c:strCache>
            </c:strRef>
          </c:tx>
          <c:spPr>
            <a:solidFill>
              <a:srgbClr val="08B46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rgbClr val="2C307E"/>
                    </a:solidFill>
                    <a:latin typeface="+mn-lt"/>
                    <a:ea typeface="+mn-ea"/>
                    <a:cs typeface="+mn-cs"/>
                  </a:defRPr>
                </a:pPr>
                <a:endParaRPr lang="en-N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Figuren!$I$6:$I$9</c:f>
              <c:strCache>
                <c:ptCount val="4"/>
                <c:pt idx="0">
                  <c:v>Bidirectioneel laden</c:v>
                </c:pt>
                <c:pt idx="1">
                  <c:v>Laden op basis van netcapaciteit</c:v>
                </c:pt>
                <c:pt idx="2">
                  <c:v>Laden op basis van dynamische stroomtarieven</c:v>
                </c:pt>
                <c:pt idx="3">
                  <c:v>Laden op duurzame opwek (zon en wind)</c:v>
                </c:pt>
              </c:strCache>
            </c:strRef>
          </c:cat>
          <c:val>
            <c:numRef>
              <c:f>Figuren!$K$6:$K$9</c:f>
              <c:numCache>
                <c:formatCode>0%</c:formatCode>
                <c:ptCount val="4"/>
                <c:pt idx="0">
                  <c:v>0.61</c:v>
                </c:pt>
                <c:pt idx="1">
                  <c:v>0.6</c:v>
                </c:pt>
                <c:pt idx="2">
                  <c:v>0.64</c:v>
                </c:pt>
                <c:pt idx="3">
                  <c:v>0.78</c:v>
                </c:pt>
              </c:numCache>
            </c:numRef>
          </c:val>
          <c:extLst>
            <c:ext xmlns:c16="http://schemas.microsoft.com/office/drawing/2014/chart" uri="{C3380CC4-5D6E-409C-BE32-E72D297353CC}">
              <c16:uniqueId val="{00000001-6585-456E-B393-5665C0ACE582}"/>
            </c:ext>
          </c:extLst>
        </c:ser>
        <c:ser>
          <c:idx val="0"/>
          <c:order val="2"/>
          <c:tx>
            <c:strRef>
              <c:f>Figuren!$J$5</c:f>
              <c:strCache>
                <c:ptCount val="1"/>
                <c:pt idx="0">
                  <c:v>2023</c:v>
                </c:pt>
              </c:strCache>
            </c:strRef>
          </c:tx>
          <c:spPr>
            <a:solidFill>
              <a:srgbClr val="2C307E"/>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rgbClr val="2C307E"/>
                    </a:solidFill>
                    <a:latin typeface="+mn-lt"/>
                    <a:ea typeface="+mn-ea"/>
                    <a:cs typeface="+mn-cs"/>
                  </a:defRPr>
                </a:pPr>
                <a:endParaRPr lang="en-N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Figuren!$I$6:$I$9</c:f>
              <c:strCache>
                <c:ptCount val="4"/>
                <c:pt idx="0">
                  <c:v>Bidirectioneel laden</c:v>
                </c:pt>
                <c:pt idx="1">
                  <c:v>Laden op basis van netcapaciteit</c:v>
                </c:pt>
                <c:pt idx="2">
                  <c:v>Laden op basis van dynamische stroomtarieven</c:v>
                </c:pt>
                <c:pt idx="3">
                  <c:v>Laden op duurzame opwek (zon en wind)</c:v>
                </c:pt>
              </c:strCache>
            </c:strRef>
          </c:cat>
          <c:val>
            <c:numRef>
              <c:f>Figuren!$J$6:$J$9</c:f>
              <c:numCache>
                <c:formatCode>0%</c:formatCode>
                <c:ptCount val="4"/>
                <c:pt idx="0">
                  <c:v>0.56000000000000005</c:v>
                </c:pt>
                <c:pt idx="1">
                  <c:v>0.56999999999999995</c:v>
                </c:pt>
                <c:pt idx="2">
                  <c:v>0.59</c:v>
                </c:pt>
                <c:pt idx="3">
                  <c:v>0.69</c:v>
                </c:pt>
              </c:numCache>
            </c:numRef>
          </c:val>
          <c:extLst>
            <c:ext xmlns:c16="http://schemas.microsoft.com/office/drawing/2014/chart" uri="{C3380CC4-5D6E-409C-BE32-E72D297353CC}">
              <c16:uniqueId val="{00000002-6585-456E-B393-5665C0ACE582}"/>
            </c:ext>
          </c:extLst>
        </c:ser>
        <c:dLbls>
          <c:dLblPos val="outEnd"/>
          <c:showLegendKey val="0"/>
          <c:showVal val="1"/>
          <c:showCatName val="0"/>
          <c:showSerName val="0"/>
          <c:showPercent val="0"/>
          <c:showBubbleSize val="0"/>
        </c:dLbls>
        <c:gapWidth val="182"/>
        <c:axId val="1751676255"/>
        <c:axId val="1751676735"/>
      </c:barChart>
      <c:catAx>
        <c:axId val="175167625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2C307E"/>
                </a:solidFill>
                <a:latin typeface="+mn-lt"/>
                <a:ea typeface="+mn-ea"/>
                <a:cs typeface="+mn-cs"/>
              </a:defRPr>
            </a:pPr>
            <a:endParaRPr lang="en-NL"/>
          </a:p>
        </c:txPr>
        <c:crossAx val="1751676735"/>
        <c:crosses val="autoZero"/>
        <c:auto val="1"/>
        <c:lblAlgn val="ctr"/>
        <c:lblOffset val="100"/>
        <c:noMultiLvlLbl val="0"/>
      </c:catAx>
      <c:valAx>
        <c:axId val="1751676735"/>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2C307E"/>
                </a:solidFill>
                <a:latin typeface="+mn-lt"/>
                <a:ea typeface="+mn-ea"/>
                <a:cs typeface="+mn-cs"/>
              </a:defRPr>
            </a:pPr>
            <a:endParaRPr lang="en-NL"/>
          </a:p>
        </c:txPr>
        <c:crossAx val="175167625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rgbClr val="2C307E"/>
              </a:solidFill>
              <a:latin typeface="+mn-lt"/>
              <a:ea typeface="+mn-ea"/>
              <a:cs typeface="+mn-cs"/>
            </a:defRPr>
          </a:pPr>
          <a:endParaRPr lang="en-NL"/>
        </a:p>
      </c:txPr>
    </c:legend>
    <c:plotVisOnly val="1"/>
    <c:dispBlanksAs val="gap"/>
    <c:showDLblsOverMax val="0"/>
  </c:chart>
  <c:spPr>
    <a:noFill/>
    <a:ln w="9525" cap="flat" cmpd="sng" algn="ctr">
      <a:noFill/>
      <a:round/>
    </a:ln>
    <a:effectLst/>
  </c:spPr>
  <c:txPr>
    <a:bodyPr/>
    <a:lstStyle/>
    <a:p>
      <a:pPr>
        <a:defRPr/>
      </a:pPr>
      <a:endParaRPr lang="en-NL"/>
    </a:p>
  </c:txPr>
  <c:externalData r:id="rId3">
    <c:autoUpdate val="0"/>
  </c:externalData>
</c:chartSpace>
</file>

<file path=word/charts/chart8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nl-NL" sz="1100" b="0" i="0" u="none" strike="noStrike" kern="1200" spc="0" baseline="0">
                <a:solidFill>
                  <a:srgbClr val="2C307E"/>
                </a:solidFill>
              </a:rPr>
              <a:t>Kennis van slim laden t.o.v. startjaar </a:t>
            </a:r>
          </a:p>
        </c:rich>
      </c:tx>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endParaRPr lang="en-NL"/>
        </a:p>
      </c:txPr>
    </c:title>
    <c:autoTitleDeleted val="0"/>
    <c:plotArea>
      <c:layout/>
      <c:barChart>
        <c:barDir val="bar"/>
        <c:grouping val="clustered"/>
        <c:varyColors val="0"/>
        <c:ser>
          <c:idx val="7"/>
          <c:order val="0"/>
          <c:tx>
            <c:strRef>
              <c:f>Figuren!$V$27</c:f>
              <c:strCache>
                <c:ptCount val="1"/>
                <c:pt idx="0">
                  <c:v>langer dan 6 jaar</c:v>
                </c:pt>
              </c:strCache>
            </c:strRef>
          </c:tx>
          <c:spPr>
            <a:solidFill>
              <a:srgbClr val="08B46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rgbClr val="2C307E"/>
                    </a:solidFill>
                    <a:latin typeface="+mn-lt"/>
                    <a:ea typeface="+mn-ea"/>
                    <a:cs typeface="+mn-cs"/>
                  </a:defRPr>
                </a:pPr>
                <a:endParaRPr lang="en-N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Figuren!$N$28:$N$31</c:f>
              <c:strCache>
                <c:ptCount val="4"/>
                <c:pt idx="0">
                  <c:v>Bidirectioneel laden</c:v>
                </c:pt>
                <c:pt idx="1">
                  <c:v>Laden op basis van netcapaciteit</c:v>
                </c:pt>
                <c:pt idx="2">
                  <c:v>Laden op basis van dynamische stroomtarieven</c:v>
                </c:pt>
                <c:pt idx="3">
                  <c:v>Laden op duurzame opwek (zon en wind)</c:v>
                </c:pt>
              </c:strCache>
            </c:strRef>
          </c:cat>
          <c:val>
            <c:numRef>
              <c:f>Figuren!$V$28:$V$31</c:f>
              <c:numCache>
                <c:formatCode>0%</c:formatCode>
                <c:ptCount val="4"/>
                <c:pt idx="0">
                  <c:v>0.78201634877384196</c:v>
                </c:pt>
                <c:pt idx="1">
                  <c:v>0.78474114441416898</c:v>
                </c:pt>
                <c:pt idx="2">
                  <c:v>0.83106267029972747</c:v>
                </c:pt>
                <c:pt idx="3">
                  <c:v>0.75476839237057225</c:v>
                </c:pt>
              </c:numCache>
            </c:numRef>
          </c:val>
          <c:extLst>
            <c:ext xmlns:c16="http://schemas.microsoft.com/office/drawing/2014/chart" uri="{C3380CC4-5D6E-409C-BE32-E72D297353CC}">
              <c16:uniqueId val="{00000000-85C2-40EB-BC0A-0DDADB4AE282}"/>
            </c:ext>
          </c:extLst>
        </c:ser>
        <c:ser>
          <c:idx val="6"/>
          <c:order val="1"/>
          <c:tx>
            <c:strRef>
              <c:f>Figuren!$U$27</c:f>
              <c:strCache>
                <c:ptCount val="1"/>
                <c:pt idx="0">
                  <c:v>6 jaar</c:v>
                </c:pt>
              </c:strCache>
            </c:strRef>
          </c:tx>
          <c:spPr>
            <a:solidFill>
              <a:srgbClr val="8FAADC"/>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rgbClr val="2C307E"/>
                    </a:solidFill>
                    <a:latin typeface="+mn-lt"/>
                    <a:ea typeface="+mn-ea"/>
                    <a:cs typeface="+mn-cs"/>
                  </a:defRPr>
                </a:pPr>
                <a:endParaRPr lang="en-N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Figuren!$N$28:$N$31</c:f>
              <c:strCache>
                <c:ptCount val="4"/>
                <c:pt idx="0">
                  <c:v>Bidirectioneel laden</c:v>
                </c:pt>
                <c:pt idx="1">
                  <c:v>Laden op basis van netcapaciteit</c:v>
                </c:pt>
                <c:pt idx="2">
                  <c:v>Laden op basis van dynamische stroomtarieven</c:v>
                </c:pt>
                <c:pt idx="3">
                  <c:v>Laden op duurzame opwek (zon en wind)</c:v>
                </c:pt>
              </c:strCache>
            </c:strRef>
          </c:cat>
          <c:val>
            <c:numRef>
              <c:f>Figuren!$U$28:$U$31</c:f>
              <c:numCache>
                <c:formatCode>0%</c:formatCode>
                <c:ptCount val="4"/>
                <c:pt idx="0">
                  <c:v>0.78494623655913975</c:v>
                </c:pt>
                <c:pt idx="1">
                  <c:v>0.81362007168458783</c:v>
                </c:pt>
                <c:pt idx="2">
                  <c:v>0.88888888888888884</c:v>
                </c:pt>
                <c:pt idx="3">
                  <c:v>0.71684587813620071</c:v>
                </c:pt>
              </c:numCache>
            </c:numRef>
          </c:val>
          <c:extLst>
            <c:ext xmlns:c16="http://schemas.microsoft.com/office/drawing/2014/chart" uri="{C3380CC4-5D6E-409C-BE32-E72D297353CC}">
              <c16:uniqueId val="{00000001-85C2-40EB-BC0A-0DDADB4AE282}"/>
            </c:ext>
          </c:extLst>
        </c:ser>
        <c:ser>
          <c:idx val="5"/>
          <c:order val="2"/>
          <c:tx>
            <c:strRef>
              <c:f>Figuren!$T$27</c:f>
              <c:strCache>
                <c:ptCount val="1"/>
                <c:pt idx="0">
                  <c:v>5 jaar</c:v>
                </c:pt>
              </c:strCache>
            </c:strRef>
          </c:tx>
          <c:spPr>
            <a:solidFill>
              <a:srgbClr val="696969"/>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rgbClr val="2C307E"/>
                    </a:solidFill>
                    <a:latin typeface="+mn-lt"/>
                    <a:ea typeface="+mn-ea"/>
                    <a:cs typeface="+mn-cs"/>
                  </a:defRPr>
                </a:pPr>
                <a:endParaRPr lang="en-N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Figuren!$N$28:$N$31</c:f>
              <c:strCache>
                <c:ptCount val="4"/>
                <c:pt idx="0">
                  <c:v>Bidirectioneel laden</c:v>
                </c:pt>
                <c:pt idx="1">
                  <c:v>Laden op basis van netcapaciteit</c:v>
                </c:pt>
                <c:pt idx="2">
                  <c:v>Laden op basis van dynamische stroomtarieven</c:v>
                </c:pt>
                <c:pt idx="3">
                  <c:v>Laden op duurzame opwek (zon en wind)</c:v>
                </c:pt>
              </c:strCache>
            </c:strRef>
          </c:cat>
          <c:val>
            <c:numRef>
              <c:f>Figuren!$T$28:$T$31</c:f>
              <c:numCache>
                <c:formatCode>0%</c:formatCode>
                <c:ptCount val="4"/>
                <c:pt idx="0">
                  <c:v>0.74709302325581395</c:v>
                </c:pt>
                <c:pt idx="1">
                  <c:v>0.82267441860465118</c:v>
                </c:pt>
                <c:pt idx="2">
                  <c:v>0.79360465116279066</c:v>
                </c:pt>
                <c:pt idx="3">
                  <c:v>0.70639534883720934</c:v>
                </c:pt>
              </c:numCache>
            </c:numRef>
          </c:val>
          <c:extLst>
            <c:ext xmlns:c16="http://schemas.microsoft.com/office/drawing/2014/chart" uri="{C3380CC4-5D6E-409C-BE32-E72D297353CC}">
              <c16:uniqueId val="{00000002-85C2-40EB-BC0A-0DDADB4AE282}"/>
            </c:ext>
          </c:extLst>
        </c:ser>
        <c:ser>
          <c:idx val="4"/>
          <c:order val="3"/>
          <c:tx>
            <c:strRef>
              <c:f>Figuren!$S$27</c:f>
              <c:strCache>
                <c:ptCount val="1"/>
                <c:pt idx="0">
                  <c:v>4 jaar</c:v>
                </c:pt>
              </c:strCache>
            </c:strRef>
          </c:tx>
          <c:spPr>
            <a:solidFill>
              <a:srgbClr val="4EAFAA"/>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rgbClr val="2C307E"/>
                    </a:solidFill>
                    <a:latin typeface="+mn-lt"/>
                    <a:ea typeface="+mn-ea"/>
                    <a:cs typeface="+mn-cs"/>
                  </a:defRPr>
                </a:pPr>
                <a:endParaRPr lang="en-N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Figuren!$N$28:$N$31</c:f>
              <c:strCache>
                <c:ptCount val="4"/>
                <c:pt idx="0">
                  <c:v>Bidirectioneel laden</c:v>
                </c:pt>
                <c:pt idx="1">
                  <c:v>Laden op basis van netcapaciteit</c:v>
                </c:pt>
                <c:pt idx="2">
                  <c:v>Laden op basis van dynamische stroomtarieven</c:v>
                </c:pt>
                <c:pt idx="3">
                  <c:v>Laden op duurzame opwek (zon en wind)</c:v>
                </c:pt>
              </c:strCache>
            </c:strRef>
          </c:cat>
          <c:val>
            <c:numRef>
              <c:f>Figuren!$S$28:$S$31</c:f>
              <c:numCache>
                <c:formatCode>0%</c:formatCode>
                <c:ptCount val="4"/>
                <c:pt idx="0">
                  <c:v>0.7359550561797753</c:v>
                </c:pt>
                <c:pt idx="1">
                  <c:v>0.7752808988764045</c:v>
                </c:pt>
                <c:pt idx="2">
                  <c:v>0.8314606741573034</c:v>
                </c:pt>
                <c:pt idx="3">
                  <c:v>0.65730337078651691</c:v>
                </c:pt>
              </c:numCache>
            </c:numRef>
          </c:val>
          <c:extLst>
            <c:ext xmlns:c16="http://schemas.microsoft.com/office/drawing/2014/chart" uri="{C3380CC4-5D6E-409C-BE32-E72D297353CC}">
              <c16:uniqueId val="{00000003-85C2-40EB-BC0A-0DDADB4AE282}"/>
            </c:ext>
          </c:extLst>
        </c:ser>
        <c:ser>
          <c:idx val="3"/>
          <c:order val="4"/>
          <c:tx>
            <c:strRef>
              <c:f>Figuren!$R$27</c:f>
              <c:strCache>
                <c:ptCount val="1"/>
                <c:pt idx="0">
                  <c:v>3 jaar</c:v>
                </c:pt>
              </c:strCache>
            </c:strRef>
          </c:tx>
          <c:spPr>
            <a:solidFill>
              <a:srgbClr val="BAD6ED"/>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rgbClr val="2C307E"/>
                    </a:solidFill>
                    <a:latin typeface="+mn-lt"/>
                    <a:ea typeface="+mn-ea"/>
                    <a:cs typeface="+mn-cs"/>
                  </a:defRPr>
                </a:pPr>
                <a:endParaRPr lang="en-N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Figuren!$N$28:$N$31</c:f>
              <c:strCache>
                <c:ptCount val="4"/>
                <c:pt idx="0">
                  <c:v>Bidirectioneel laden</c:v>
                </c:pt>
                <c:pt idx="1">
                  <c:v>Laden op basis van netcapaciteit</c:v>
                </c:pt>
                <c:pt idx="2">
                  <c:v>Laden op basis van dynamische stroomtarieven</c:v>
                </c:pt>
                <c:pt idx="3">
                  <c:v>Laden op duurzame opwek (zon en wind)</c:v>
                </c:pt>
              </c:strCache>
            </c:strRef>
          </c:cat>
          <c:val>
            <c:numRef>
              <c:f>Figuren!$R$28:$R$31</c:f>
              <c:numCache>
                <c:formatCode>0%</c:formatCode>
                <c:ptCount val="4"/>
                <c:pt idx="0">
                  <c:v>0.71355498721227617</c:v>
                </c:pt>
                <c:pt idx="1">
                  <c:v>0.76214833759590794</c:v>
                </c:pt>
                <c:pt idx="2">
                  <c:v>0.82352941176470584</c:v>
                </c:pt>
                <c:pt idx="3">
                  <c:v>0.70076726342710993</c:v>
                </c:pt>
              </c:numCache>
            </c:numRef>
          </c:val>
          <c:extLst>
            <c:ext xmlns:c16="http://schemas.microsoft.com/office/drawing/2014/chart" uri="{C3380CC4-5D6E-409C-BE32-E72D297353CC}">
              <c16:uniqueId val="{00000004-85C2-40EB-BC0A-0DDADB4AE282}"/>
            </c:ext>
          </c:extLst>
        </c:ser>
        <c:ser>
          <c:idx val="2"/>
          <c:order val="5"/>
          <c:tx>
            <c:strRef>
              <c:f>Figuren!$Q$27</c:f>
              <c:strCache>
                <c:ptCount val="1"/>
                <c:pt idx="0">
                  <c:v>2 jaar</c:v>
                </c:pt>
              </c:strCache>
            </c:strRef>
          </c:tx>
          <c:spPr>
            <a:solidFill>
              <a:srgbClr val="C9C74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rgbClr val="2C307E"/>
                    </a:solidFill>
                    <a:latin typeface="+mn-lt"/>
                    <a:ea typeface="+mn-ea"/>
                    <a:cs typeface="+mn-cs"/>
                  </a:defRPr>
                </a:pPr>
                <a:endParaRPr lang="en-N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Figuren!$N$28:$N$31</c:f>
              <c:strCache>
                <c:ptCount val="4"/>
                <c:pt idx="0">
                  <c:v>Bidirectioneel laden</c:v>
                </c:pt>
                <c:pt idx="1">
                  <c:v>Laden op basis van netcapaciteit</c:v>
                </c:pt>
                <c:pt idx="2">
                  <c:v>Laden op basis van dynamische stroomtarieven</c:v>
                </c:pt>
                <c:pt idx="3">
                  <c:v>Laden op duurzame opwek (zon en wind)</c:v>
                </c:pt>
              </c:strCache>
            </c:strRef>
          </c:cat>
          <c:val>
            <c:numRef>
              <c:f>Figuren!$Q$28:$Q$31</c:f>
              <c:numCache>
                <c:formatCode>0%</c:formatCode>
                <c:ptCount val="4"/>
                <c:pt idx="0">
                  <c:v>0.71174377224199292</c:v>
                </c:pt>
                <c:pt idx="1">
                  <c:v>0.70996441281138789</c:v>
                </c:pt>
                <c:pt idx="2">
                  <c:v>0.78825622775800708</c:v>
                </c:pt>
                <c:pt idx="3">
                  <c:v>0.66370106761565839</c:v>
                </c:pt>
              </c:numCache>
            </c:numRef>
          </c:val>
          <c:extLst>
            <c:ext xmlns:c16="http://schemas.microsoft.com/office/drawing/2014/chart" uri="{C3380CC4-5D6E-409C-BE32-E72D297353CC}">
              <c16:uniqueId val="{00000005-85C2-40EB-BC0A-0DDADB4AE282}"/>
            </c:ext>
          </c:extLst>
        </c:ser>
        <c:ser>
          <c:idx val="1"/>
          <c:order val="6"/>
          <c:tx>
            <c:strRef>
              <c:f>Figuren!$P$27</c:f>
              <c:strCache>
                <c:ptCount val="1"/>
                <c:pt idx="0">
                  <c:v>1 jaar</c:v>
                </c:pt>
              </c:strCache>
            </c:strRef>
          </c:tx>
          <c:spPr>
            <a:solidFill>
              <a:srgbClr val="08B46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rgbClr val="2C307E"/>
                    </a:solidFill>
                    <a:latin typeface="+mn-lt"/>
                    <a:ea typeface="+mn-ea"/>
                    <a:cs typeface="+mn-cs"/>
                  </a:defRPr>
                </a:pPr>
                <a:endParaRPr lang="en-N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Figuren!$N$28:$N$31</c:f>
              <c:strCache>
                <c:ptCount val="4"/>
                <c:pt idx="0">
                  <c:v>Bidirectioneel laden</c:v>
                </c:pt>
                <c:pt idx="1">
                  <c:v>Laden op basis van netcapaciteit</c:v>
                </c:pt>
                <c:pt idx="2">
                  <c:v>Laden op basis van dynamische stroomtarieven</c:v>
                </c:pt>
                <c:pt idx="3">
                  <c:v>Laden op duurzame opwek (zon en wind)</c:v>
                </c:pt>
              </c:strCache>
            </c:strRef>
          </c:cat>
          <c:val>
            <c:numRef>
              <c:f>Figuren!$P$28:$P$31</c:f>
              <c:numCache>
                <c:formatCode>0%</c:formatCode>
                <c:ptCount val="4"/>
                <c:pt idx="0">
                  <c:v>0.65517241379310343</c:v>
                </c:pt>
                <c:pt idx="1">
                  <c:v>0.73197492163009403</c:v>
                </c:pt>
                <c:pt idx="2">
                  <c:v>0.8260188087774295</c:v>
                </c:pt>
                <c:pt idx="3">
                  <c:v>0.64733542319749215</c:v>
                </c:pt>
              </c:numCache>
            </c:numRef>
          </c:val>
          <c:extLst>
            <c:ext xmlns:c16="http://schemas.microsoft.com/office/drawing/2014/chart" uri="{C3380CC4-5D6E-409C-BE32-E72D297353CC}">
              <c16:uniqueId val="{00000006-85C2-40EB-BC0A-0DDADB4AE282}"/>
            </c:ext>
          </c:extLst>
        </c:ser>
        <c:ser>
          <c:idx val="0"/>
          <c:order val="7"/>
          <c:tx>
            <c:strRef>
              <c:f>Figuren!$O$27</c:f>
              <c:strCache>
                <c:ptCount val="1"/>
                <c:pt idx="0">
                  <c:v>Minder dan 1 jaar</c:v>
                </c:pt>
              </c:strCache>
            </c:strRef>
          </c:tx>
          <c:spPr>
            <a:solidFill>
              <a:srgbClr val="2C307E"/>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rgbClr val="2C307E"/>
                    </a:solidFill>
                    <a:latin typeface="+mn-lt"/>
                    <a:ea typeface="+mn-ea"/>
                    <a:cs typeface="+mn-cs"/>
                  </a:defRPr>
                </a:pPr>
                <a:endParaRPr lang="en-N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Figuren!$N$28:$N$31</c:f>
              <c:strCache>
                <c:ptCount val="4"/>
                <c:pt idx="0">
                  <c:v>Bidirectioneel laden</c:v>
                </c:pt>
                <c:pt idx="1">
                  <c:v>Laden op basis van netcapaciteit</c:v>
                </c:pt>
                <c:pt idx="2">
                  <c:v>Laden op basis van dynamische stroomtarieven</c:v>
                </c:pt>
                <c:pt idx="3">
                  <c:v>Laden op duurzame opwek (zon en wind)</c:v>
                </c:pt>
              </c:strCache>
            </c:strRef>
          </c:cat>
          <c:val>
            <c:numRef>
              <c:f>Figuren!$O$28:$O$31</c:f>
              <c:numCache>
                <c:formatCode>0%</c:formatCode>
                <c:ptCount val="4"/>
                <c:pt idx="0">
                  <c:v>0.60984848484848486</c:v>
                </c:pt>
                <c:pt idx="1">
                  <c:v>0.74621212121212122</c:v>
                </c:pt>
                <c:pt idx="2">
                  <c:v>0.80303030303030298</c:v>
                </c:pt>
                <c:pt idx="3">
                  <c:v>0.65530303030303028</c:v>
                </c:pt>
              </c:numCache>
            </c:numRef>
          </c:val>
          <c:extLst>
            <c:ext xmlns:c16="http://schemas.microsoft.com/office/drawing/2014/chart" uri="{C3380CC4-5D6E-409C-BE32-E72D297353CC}">
              <c16:uniqueId val="{00000007-85C2-40EB-BC0A-0DDADB4AE282}"/>
            </c:ext>
          </c:extLst>
        </c:ser>
        <c:dLbls>
          <c:dLblPos val="outEnd"/>
          <c:showLegendKey val="0"/>
          <c:showVal val="1"/>
          <c:showCatName val="0"/>
          <c:showSerName val="0"/>
          <c:showPercent val="0"/>
          <c:showBubbleSize val="0"/>
        </c:dLbls>
        <c:gapWidth val="182"/>
        <c:axId val="514685952"/>
        <c:axId val="514684512"/>
      </c:barChart>
      <c:catAx>
        <c:axId val="51468595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2C307E"/>
                </a:solidFill>
                <a:latin typeface="+mn-lt"/>
                <a:ea typeface="+mn-ea"/>
                <a:cs typeface="+mn-cs"/>
              </a:defRPr>
            </a:pPr>
            <a:endParaRPr lang="en-NL"/>
          </a:p>
        </c:txPr>
        <c:crossAx val="514684512"/>
        <c:crosses val="autoZero"/>
        <c:auto val="1"/>
        <c:lblAlgn val="ctr"/>
        <c:lblOffset val="100"/>
        <c:noMultiLvlLbl val="0"/>
      </c:catAx>
      <c:valAx>
        <c:axId val="514684512"/>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2C307E"/>
                </a:solidFill>
                <a:latin typeface="+mn-lt"/>
                <a:ea typeface="+mn-ea"/>
                <a:cs typeface="+mn-cs"/>
              </a:defRPr>
            </a:pPr>
            <a:endParaRPr lang="en-NL"/>
          </a:p>
        </c:txPr>
        <c:crossAx val="5146859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rgbClr val="2C307E"/>
              </a:solidFill>
              <a:latin typeface="+mn-lt"/>
              <a:ea typeface="+mn-ea"/>
              <a:cs typeface="+mn-cs"/>
            </a:defRPr>
          </a:pPr>
          <a:endParaRPr lang="en-NL"/>
        </a:p>
      </c:txPr>
    </c:legend>
    <c:plotVisOnly val="1"/>
    <c:dispBlanksAs val="gap"/>
    <c:showDLblsOverMax val="0"/>
  </c:chart>
  <c:spPr>
    <a:noFill/>
    <a:ln w="9525" cap="flat" cmpd="sng" algn="ctr">
      <a:noFill/>
      <a:round/>
    </a:ln>
    <a:effectLst/>
  </c:spPr>
  <c:txPr>
    <a:bodyPr/>
    <a:lstStyle/>
    <a:p>
      <a:pPr>
        <a:defRPr/>
      </a:pPr>
      <a:endParaRPr lang="en-NL"/>
    </a:p>
  </c:txPr>
  <c:externalData r:id="rId3">
    <c:autoUpdate val="0"/>
  </c:externalData>
</c:chartSpace>
</file>

<file path=word/charts/chart8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rgbClr val="2C307E"/>
                </a:solidFill>
                <a:latin typeface="+mn-lt"/>
                <a:ea typeface="+mn-ea"/>
                <a:cs typeface="+mn-cs"/>
              </a:defRPr>
            </a:pPr>
            <a:r>
              <a:rPr lang="nl-NL" sz="1100"/>
              <a:t>Gebruikte vormen van slim laden t.o.v. laders op die locatie (thuis, werk, openbaar).</a:t>
            </a:r>
          </a:p>
        </c:rich>
      </c:tx>
      <c:overlay val="0"/>
      <c:spPr>
        <a:noFill/>
        <a:ln>
          <a:noFill/>
        </a:ln>
        <a:effectLst/>
      </c:spPr>
      <c:txPr>
        <a:bodyPr rot="0" spcFirstLastPara="1" vertOverflow="ellipsis" vert="horz" wrap="square" anchor="ctr" anchorCtr="1"/>
        <a:lstStyle/>
        <a:p>
          <a:pPr>
            <a:defRPr sz="1100" b="0" i="0" u="none" strike="noStrike" kern="1200" spc="0" baseline="0">
              <a:solidFill>
                <a:srgbClr val="2C307E"/>
              </a:solidFill>
              <a:latin typeface="+mn-lt"/>
              <a:ea typeface="+mn-ea"/>
              <a:cs typeface="+mn-cs"/>
            </a:defRPr>
          </a:pPr>
          <a:endParaRPr lang="nl-NL"/>
        </a:p>
      </c:txPr>
    </c:title>
    <c:autoTitleDeleted val="0"/>
    <c:plotArea>
      <c:layout>
        <c:manualLayout>
          <c:layoutTarget val="inner"/>
          <c:xMode val="edge"/>
          <c:yMode val="edge"/>
          <c:x val="0.43565035001901664"/>
          <c:y val="0.2290218423551757"/>
          <c:w val="0.47454821375448586"/>
          <c:h val="0.51143923248910128"/>
        </c:manualLayout>
      </c:layout>
      <c:barChart>
        <c:barDir val="bar"/>
        <c:grouping val="clustered"/>
        <c:varyColors val="0"/>
        <c:ser>
          <c:idx val="1"/>
          <c:order val="0"/>
          <c:tx>
            <c:strRef>
              <c:f>Figuren!$M$251</c:f>
              <c:strCache>
                <c:ptCount val="1"/>
                <c:pt idx="0">
                  <c:v>Openbaar laadpunt [N=1.990]</c:v>
                </c:pt>
              </c:strCache>
            </c:strRef>
          </c:tx>
          <c:spPr>
            <a:solidFill>
              <a:srgbClr val="C9C743"/>
            </a:solidFill>
            <a:ln>
              <a:noFill/>
            </a:ln>
            <a:effectLst/>
          </c:spPr>
          <c:invertIfNegative val="0"/>
          <c:dLbls>
            <c:spPr>
              <a:noFill/>
              <a:ln>
                <a:noFill/>
              </a:ln>
              <a:effectLst/>
            </c:spPr>
            <c:txPr>
              <a:bodyPr rot="0" spcFirstLastPara="1" vertOverflow="ellipsis" vert="horz" wrap="square" anchor="ctr" anchorCtr="1"/>
              <a:lstStyle/>
              <a:p>
                <a:pPr>
                  <a:defRPr sz="800" b="1" i="0" u="none" strike="noStrike" kern="1200" baseline="0">
                    <a:solidFill>
                      <a:srgbClr val="2C307E"/>
                    </a:solidFill>
                    <a:latin typeface="+mn-lt"/>
                    <a:ea typeface="+mn-ea"/>
                    <a:cs typeface="+mn-cs"/>
                  </a:defRPr>
                </a:pPr>
                <a:endParaRPr lang="en-N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Figuren!$K$252:$K$255</c:f>
              <c:strCache>
                <c:ptCount val="4"/>
                <c:pt idx="0">
                  <c:v>Bidirectioneel laden</c:v>
                </c:pt>
                <c:pt idx="1">
                  <c:v>Laden op basis van netcapaciteit</c:v>
                </c:pt>
                <c:pt idx="2">
                  <c:v>Laden op basis van dynamische stroomtarieven</c:v>
                </c:pt>
                <c:pt idx="3">
                  <c:v>Laden op duurzame opwek (zon en wind)</c:v>
                </c:pt>
              </c:strCache>
            </c:strRef>
          </c:cat>
          <c:val>
            <c:numRef>
              <c:f>Figuren!$M$252:$M$255</c:f>
              <c:numCache>
                <c:formatCode>0%</c:formatCode>
                <c:ptCount val="4"/>
                <c:pt idx="0">
                  <c:v>3.3165829145728645E-2</c:v>
                </c:pt>
                <c:pt idx="1">
                  <c:v>9.3467336683417085E-2</c:v>
                </c:pt>
                <c:pt idx="2">
                  <c:v>5.5778894472361812E-2</c:v>
                </c:pt>
                <c:pt idx="3">
                  <c:v>6.733668341708543E-2</c:v>
                </c:pt>
              </c:numCache>
            </c:numRef>
          </c:val>
          <c:extLst>
            <c:ext xmlns:c16="http://schemas.microsoft.com/office/drawing/2014/chart" uri="{C3380CC4-5D6E-409C-BE32-E72D297353CC}">
              <c16:uniqueId val="{00000000-6C03-410A-8C5F-0F8E121E6C43}"/>
            </c:ext>
          </c:extLst>
        </c:ser>
        <c:ser>
          <c:idx val="2"/>
          <c:order val="1"/>
          <c:tx>
            <c:strRef>
              <c:f>Figuren!$N$251</c:f>
              <c:strCache>
                <c:ptCount val="1"/>
                <c:pt idx="0">
                  <c:v>Werk [N=998]</c:v>
                </c:pt>
              </c:strCache>
            </c:strRef>
          </c:tx>
          <c:spPr>
            <a:solidFill>
              <a:srgbClr val="08B466"/>
            </a:solidFill>
            <a:ln>
              <a:noFill/>
            </a:ln>
            <a:effectLst/>
          </c:spPr>
          <c:invertIfNegative val="0"/>
          <c:dLbls>
            <c:spPr>
              <a:noFill/>
              <a:ln>
                <a:noFill/>
              </a:ln>
              <a:effectLst/>
            </c:spPr>
            <c:txPr>
              <a:bodyPr rot="0" spcFirstLastPara="1" vertOverflow="ellipsis" vert="horz" wrap="square" anchor="ctr" anchorCtr="1"/>
              <a:lstStyle/>
              <a:p>
                <a:pPr>
                  <a:defRPr sz="800" b="1" i="0" u="none" strike="noStrike" kern="1200" baseline="0">
                    <a:solidFill>
                      <a:srgbClr val="2C307E"/>
                    </a:solidFill>
                    <a:latin typeface="+mn-lt"/>
                    <a:ea typeface="+mn-ea"/>
                    <a:cs typeface="+mn-cs"/>
                  </a:defRPr>
                </a:pPr>
                <a:endParaRPr lang="en-N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Figuren!$K$252:$K$255</c:f>
              <c:strCache>
                <c:ptCount val="4"/>
                <c:pt idx="0">
                  <c:v>Bidirectioneel laden</c:v>
                </c:pt>
                <c:pt idx="1">
                  <c:v>Laden op basis van netcapaciteit</c:v>
                </c:pt>
                <c:pt idx="2">
                  <c:v>Laden op basis van dynamische stroomtarieven</c:v>
                </c:pt>
                <c:pt idx="3">
                  <c:v>Laden op duurzame opwek (zon en wind)</c:v>
                </c:pt>
              </c:strCache>
            </c:strRef>
          </c:cat>
          <c:val>
            <c:numRef>
              <c:f>Figuren!$N$252:$N$255</c:f>
              <c:numCache>
                <c:formatCode>0%</c:formatCode>
                <c:ptCount val="4"/>
                <c:pt idx="0">
                  <c:v>1.9038076152304611E-2</c:v>
                </c:pt>
                <c:pt idx="1">
                  <c:v>9.5190380761523044E-2</c:v>
                </c:pt>
                <c:pt idx="2">
                  <c:v>5.2104208416833664E-2</c:v>
                </c:pt>
                <c:pt idx="3">
                  <c:v>8.2164328657314628E-2</c:v>
                </c:pt>
              </c:numCache>
            </c:numRef>
          </c:val>
          <c:extLst>
            <c:ext xmlns:c16="http://schemas.microsoft.com/office/drawing/2014/chart" uri="{C3380CC4-5D6E-409C-BE32-E72D297353CC}">
              <c16:uniqueId val="{00000001-6C03-410A-8C5F-0F8E121E6C43}"/>
            </c:ext>
          </c:extLst>
        </c:ser>
        <c:ser>
          <c:idx val="0"/>
          <c:order val="2"/>
          <c:tx>
            <c:strRef>
              <c:f>Figuren!$L$251</c:f>
              <c:strCache>
                <c:ptCount val="1"/>
                <c:pt idx="0">
                  <c:v>Thuis [N=2.597]</c:v>
                </c:pt>
              </c:strCache>
            </c:strRef>
          </c:tx>
          <c:spPr>
            <a:solidFill>
              <a:srgbClr val="2C307E"/>
            </a:solidFill>
            <a:ln>
              <a:noFill/>
            </a:ln>
            <a:effectLst/>
          </c:spPr>
          <c:invertIfNegative val="0"/>
          <c:dLbls>
            <c:spPr>
              <a:noFill/>
              <a:ln>
                <a:noFill/>
              </a:ln>
              <a:effectLst/>
            </c:spPr>
            <c:txPr>
              <a:bodyPr rot="0" spcFirstLastPara="1" vertOverflow="ellipsis" vert="horz" wrap="square" anchor="ctr" anchorCtr="1"/>
              <a:lstStyle/>
              <a:p>
                <a:pPr>
                  <a:defRPr sz="800" b="1" i="0" u="none" strike="noStrike" kern="1200" baseline="0">
                    <a:solidFill>
                      <a:srgbClr val="2C307E"/>
                    </a:solidFill>
                    <a:latin typeface="+mn-lt"/>
                    <a:ea typeface="+mn-ea"/>
                    <a:cs typeface="+mn-cs"/>
                  </a:defRPr>
                </a:pPr>
                <a:endParaRPr lang="en-N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Figuren!$K$252:$K$255</c:f>
              <c:strCache>
                <c:ptCount val="4"/>
                <c:pt idx="0">
                  <c:v>Bidirectioneel laden</c:v>
                </c:pt>
                <c:pt idx="1">
                  <c:v>Laden op basis van netcapaciteit</c:v>
                </c:pt>
                <c:pt idx="2">
                  <c:v>Laden op basis van dynamische stroomtarieven</c:v>
                </c:pt>
                <c:pt idx="3">
                  <c:v>Laden op duurzame opwek (zon en wind)</c:v>
                </c:pt>
              </c:strCache>
            </c:strRef>
          </c:cat>
          <c:val>
            <c:numRef>
              <c:f>Figuren!$L$252:$L$255</c:f>
              <c:numCache>
                <c:formatCode>0%</c:formatCode>
                <c:ptCount val="4"/>
                <c:pt idx="0">
                  <c:v>7.277628032345014E-2</c:v>
                </c:pt>
                <c:pt idx="1">
                  <c:v>0.30458221024258758</c:v>
                </c:pt>
                <c:pt idx="2">
                  <c:v>0.41393916056988833</c:v>
                </c:pt>
                <c:pt idx="3">
                  <c:v>0.40315748941085866</c:v>
                </c:pt>
              </c:numCache>
            </c:numRef>
          </c:val>
          <c:extLst>
            <c:ext xmlns:c16="http://schemas.microsoft.com/office/drawing/2014/chart" uri="{C3380CC4-5D6E-409C-BE32-E72D297353CC}">
              <c16:uniqueId val="{00000002-6C03-410A-8C5F-0F8E121E6C43}"/>
            </c:ext>
          </c:extLst>
        </c:ser>
        <c:dLbls>
          <c:dLblPos val="outEnd"/>
          <c:showLegendKey val="0"/>
          <c:showVal val="1"/>
          <c:showCatName val="0"/>
          <c:showSerName val="0"/>
          <c:showPercent val="0"/>
          <c:showBubbleSize val="0"/>
        </c:dLbls>
        <c:gapWidth val="182"/>
        <c:axId val="1870251871"/>
        <c:axId val="1870260991"/>
      </c:barChart>
      <c:catAx>
        <c:axId val="1870251871"/>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2C307E"/>
                </a:solidFill>
                <a:latin typeface="+mn-lt"/>
                <a:ea typeface="+mn-ea"/>
                <a:cs typeface="+mn-cs"/>
              </a:defRPr>
            </a:pPr>
            <a:endParaRPr lang="en-NL"/>
          </a:p>
        </c:txPr>
        <c:crossAx val="1870260991"/>
        <c:crosses val="autoZero"/>
        <c:auto val="1"/>
        <c:lblAlgn val="ctr"/>
        <c:lblOffset val="100"/>
        <c:noMultiLvlLbl val="0"/>
      </c:catAx>
      <c:valAx>
        <c:axId val="1870260991"/>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2C307E"/>
                </a:solidFill>
                <a:latin typeface="+mn-lt"/>
                <a:ea typeface="+mn-ea"/>
                <a:cs typeface="+mn-cs"/>
              </a:defRPr>
            </a:pPr>
            <a:endParaRPr lang="en-NL"/>
          </a:p>
        </c:txPr>
        <c:crossAx val="1870251871"/>
        <c:crosses val="autoZero"/>
        <c:crossBetween val="between"/>
        <c:majorUnit val="0.1"/>
      </c:valAx>
      <c:spPr>
        <a:noFill/>
        <a:ln>
          <a:noFill/>
        </a:ln>
        <a:effectLst/>
      </c:spPr>
    </c:plotArea>
    <c:legend>
      <c:legendPos val="b"/>
      <c:layout>
        <c:manualLayout>
          <c:xMode val="edge"/>
          <c:yMode val="edge"/>
          <c:x val="8.0854204558719958E-2"/>
          <c:y val="0.83618099019673819"/>
          <c:w val="0.85263841661112305"/>
          <c:h val="0.16381900980326175"/>
        </c:manualLayout>
      </c:layout>
      <c:overlay val="0"/>
      <c:spPr>
        <a:noFill/>
        <a:ln>
          <a:noFill/>
        </a:ln>
        <a:effectLst/>
      </c:spPr>
      <c:txPr>
        <a:bodyPr rot="0" spcFirstLastPara="1" vertOverflow="ellipsis" vert="horz" wrap="square" anchor="ctr" anchorCtr="1"/>
        <a:lstStyle/>
        <a:p>
          <a:pPr>
            <a:defRPr sz="900" b="0" i="0" u="none" strike="noStrike" kern="1200" baseline="0">
              <a:solidFill>
                <a:srgbClr val="2C307E"/>
              </a:solidFill>
              <a:latin typeface="+mn-lt"/>
              <a:ea typeface="+mn-ea"/>
              <a:cs typeface="+mn-cs"/>
            </a:defRPr>
          </a:pPr>
          <a:endParaRPr lang="en-NL"/>
        </a:p>
      </c:txPr>
    </c:legend>
    <c:plotVisOnly val="1"/>
    <c:dispBlanksAs val="gap"/>
    <c:showDLblsOverMax val="0"/>
  </c:chart>
  <c:spPr>
    <a:noFill/>
    <a:ln w="9525" cap="flat" cmpd="sng" algn="ctr">
      <a:noFill/>
      <a:round/>
    </a:ln>
    <a:effectLst/>
  </c:spPr>
  <c:txPr>
    <a:bodyPr/>
    <a:lstStyle/>
    <a:p>
      <a:pPr>
        <a:defRPr>
          <a:solidFill>
            <a:srgbClr val="2C307E"/>
          </a:solidFill>
        </a:defRPr>
      </a:pPr>
      <a:endParaRPr lang="en-NL"/>
    </a:p>
  </c:txPr>
  <c:externalData r:id="rId3">
    <c:autoUpdate val="0"/>
  </c:externalData>
</c:chartSpace>
</file>

<file path=word/charts/chart8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rgbClr val="2C307E"/>
                </a:solidFill>
                <a:latin typeface="+mn-lt"/>
                <a:ea typeface="+mn-ea"/>
                <a:cs typeface="+mn-cs"/>
              </a:defRPr>
            </a:pPr>
            <a:r>
              <a:rPr lang="nl-NL" sz="1100">
                <a:solidFill>
                  <a:srgbClr val="2C307E"/>
                </a:solidFill>
              </a:rPr>
              <a:t>Slim laden thuis </a:t>
            </a:r>
          </a:p>
        </c:rich>
      </c:tx>
      <c:overlay val="0"/>
      <c:spPr>
        <a:noFill/>
        <a:ln>
          <a:noFill/>
        </a:ln>
        <a:effectLst/>
      </c:spPr>
      <c:txPr>
        <a:bodyPr rot="0" spcFirstLastPara="1" vertOverflow="ellipsis" vert="horz" wrap="square" anchor="ctr" anchorCtr="1"/>
        <a:lstStyle/>
        <a:p>
          <a:pPr>
            <a:defRPr sz="1100" b="0" i="0" u="none" strike="noStrike" kern="1200" spc="0" baseline="0">
              <a:solidFill>
                <a:srgbClr val="2C307E"/>
              </a:solidFill>
              <a:latin typeface="+mn-lt"/>
              <a:ea typeface="+mn-ea"/>
              <a:cs typeface="+mn-cs"/>
            </a:defRPr>
          </a:pPr>
          <a:endParaRPr lang="en-NL"/>
        </a:p>
      </c:txPr>
    </c:title>
    <c:autoTitleDeleted val="0"/>
    <c:plotArea>
      <c:layout/>
      <c:barChart>
        <c:barDir val="bar"/>
        <c:grouping val="percentStacked"/>
        <c:varyColors val="0"/>
        <c:ser>
          <c:idx val="0"/>
          <c:order val="0"/>
          <c:tx>
            <c:strRef>
              <c:f>Testsheet!$C$643</c:f>
              <c:strCache>
                <c:ptCount val="1"/>
                <c:pt idx="0">
                  <c:v>Gebruik ik</c:v>
                </c:pt>
              </c:strCache>
            </c:strRef>
          </c:tx>
          <c:spPr>
            <a:solidFill>
              <a:srgbClr val="2C307E"/>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bg1"/>
                    </a:solidFill>
                    <a:latin typeface="+mn-lt"/>
                    <a:ea typeface="+mn-ea"/>
                    <a:cs typeface="+mn-cs"/>
                  </a:defRPr>
                </a:pPr>
                <a:endParaRPr lang="en-N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Testsheet!$A$644:$B$651</c:f>
              <c:multiLvlStrCache>
                <c:ptCount val="8"/>
                <c:lvl>
                  <c:pt idx="0">
                    <c:v>2024</c:v>
                  </c:pt>
                  <c:pt idx="1">
                    <c:v>2025</c:v>
                  </c:pt>
                  <c:pt idx="2">
                    <c:v>2024</c:v>
                  </c:pt>
                  <c:pt idx="3">
                    <c:v>2025</c:v>
                  </c:pt>
                  <c:pt idx="4">
                    <c:v>2024</c:v>
                  </c:pt>
                  <c:pt idx="5">
                    <c:v>2025</c:v>
                  </c:pt>
                  <c:pt idx="6">
                    <c:v>2024</c:v>
                  </c:pt>
                  <c:pt idx="7">
                    <c:v>2025</c:v>
                  </c:pt>
                </c:lvl>
                <c:lvl>
                  <c:pt idx="0">
                    <c:v>Bidirectioneel laden</c:v>
                  </c:pt>
                  <c:pt idx="2">
                    <c:v>Laden o.b.v. netcapaciteit</c:v>
                  </c:pt>
                  <c:pt idx="4">
                    <c:v>Laden op basis van dynamische stroomtarieven</c:v>
                  </c:pt>
                  <c:pt idx="6">
                    <c:v>Laden op duurzame opwek (zon en wind)</c:v>
                  </c:pt>
                </c:lvl>
              </c:multiLvlStrCache>
            </c:multiLvlStrRef>
          </c:cat>
          <c:val>
            <c:numRef>
              <c:f>Testsheet!$C$644:$C$651</c:f>
              <c:numCache>
                <c:formatCode>0%</c:formatCode>
                <c:ptCount val="8"/>
                <c:pt idx="0">
                  <c:v>4.3103448275862072E-2</c:v>
                </c:pt>
                <c:pt idx="1">
                  <c:v>7.277628032345014E-2</c:v>
                </c:pt>
                <c:pt idx="2">
                  <c:v>0.14827586206896551</c:v>
                </c:pt>
                <c:pt idx="3">
                  <c:v>0.30458221024258758</c:v>
                </c:pt>
                <c:pt idx="4">
                  <c:v>0.22586206896551725</c:v>
                </c:pt>
                <c:pt idx="5">
                  <c:v>0.41393916056988833</c:v>
                </c:pt>
                <c:pt idx="6">
                  <c:v>0.63318965517241377</c:v>
                </c:pt>
                <c:pt idx="7">
                  <c:v>0.40315748941085866</c:v>
                </c:pt>
              </c:numCache>
            </c:numRef>
          </c:val>
          <c:extLst>
            <c:ext xmlns:c16="http://schemas.microsoft.com/office/drawing/2014/chart" uri="{C3380CC4-5D6E-409C-BE32-E72D297353CC}">
              <c16:uniqueId val="{00000000-D285-4FD3-8AA5-22A98FEFAEB2}"/>
            </c:ext>
          </c:extLst>
        </c:ser>
        <c:ser>
          <c:idx val="1"/>
          <c:order val="1"/>
          <c:tx>
            <c:strRef>
              <c:f>Testsheet!$D$643</c:f>
              <c:strCache>
                <c:ptCount val="1"/>
                <c:pt idx="0">
                  <c:v>Wil ik gebruiken</c:v>
                </c:pt>
              </c:strCache>
            </c:strRef>
          </c:tx>
          <c:spPr>
            <a:solidFill>
              <a:srgbClr val="08B46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bg1"/>
                    </a:solidFill>
                    <a:latin typeface="+mn-lt"/>
                    <a:ea typeface="+mn-ea"/>
                    <a:cs typeface="+mn-cs"/>
                  </a:defRPr>
                </a:pPr>
                <a:endParaRPr lang="en-N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Testsheet!$A$644:$B$651</c:f>
              <c:multiLvlStrCache>
                <c:ptCount val="8"/>
                <c:lvl>
                  <c:pt idx="0">
                    <c:v>2024</c:v>
                  </c:pt>
                  <c:pt idx="1">
                    <c:v>2025</c:v>
                  </c:pt>
                  <c:pt idx="2">
                    <c:v>2024</c:v>
                  </c:pt>
                  <c:pt idx="3">
                    <c:v>2025</c:v>
                  </c:pt>
                  <c:pt idx="4">
                    <c:v>2024</c:v>
                  </c:pt>
                  <c:pt idx="5">
                    <c:v>2025</c:v>
                  </c:pt>
                  <c:pt idx="6">
                    <c:v>2024</c:v>
                  </c:pt>
                  <c:pt idx="7">
                    <c:v>2025</c:v>
                  </c:pt>
                </c:lvl>
                <c:lvl>
                  <c:pt idx="0">
                    <c:v>Bidirectioneel laden</c:v>
                  </c:pt>
                  <c:pt idx="2">
                    <c:v>Laden o.b.v. netcapaciteit</c:v>
                  </c:pt>
                  <c:pt idx="4">
                    <c:v>Laden op basis van dynamische stroomtarieven</c:v>
                  </c:pt>
                  <c:pt idx="6">
                    <c:v>Laden op duurzame opwek (zon en wind)</c:v>
                  </c:pt>
                </c:lvl>
              </c:multiLvlStrCache>
            </c:multiLvlStrRef>
          </c:cat>
          <c:val>
            <c:numRef>
              <c:f>Testsheet!$D$644:$D$651</c:f>
              <c:numCache>
                <c:formatCode>0%</c:formatCode>
                <c:ptCount val="8"/>
                <c:pt idx="0">
                  <c:v>0.49655172413793103</c:v>
                </c:pt>
                <c:pt idx="1">
                  <c:v>0.4955718136311128</c:v>
                </c:pt>
                <c:pt idx="2">
                  <c:v>0.24655172413793103</c:v>
                </c:pt>
                <c:pt idx="3">
                  <c:v>0.28109356950327302</c:v>
                </c:pt>
                <c:pt idx="4">
                  <c:v>0.24655172413793103</c:v>
                </c:pt>
                <c:pt idx="5">
                  <c:v>0.31998459761262998</c:v>
                </c:pt>
                <c:pt idx="6">
                  <c:v>0.19224137931034482</c:v>
                </c:pt>
                <c:pt idx="7">
                  <c:v>0.27608779360800922</c:v>
                </c:pt>
              </c:numCache>
            </c:numRef>
          </c:val>
          <c:extLst>
            <c:ext xmlns:c16="http://schemas.microsoft.com/office/drawing/2014/chart" uri="{C3380CC4-5D6E-409C-BE32-E72D297353CC}">
              <c16:uniqueId val="{00000001-D285-4FD3-8AA5-22A98FEFAEB2}"/>
            </c:ext>
          </c:extLst>
        </c:ser>
        <c:ser>
          <c:idx val="2"/>
          <c:order val="2"/>
          <c:tx>
            <c:strRef>
              <c:f>Testsheet!$E$643</c:f>
              <c:strCache>
                <c:ptCount val="1"/>
                <c:pt idx="0">
                  <c:v>Niet</c:v>
                </c:pt>
              </c:strCache>
            </c:strRef>
          </c:tx>
          <c:spPr>
            <a:solidFill>
              <a:srgbClr val="C9C74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bg1"/>
                    </a:solidFill>
                    <a:latin typeface="+mn-lt"/>
                    <a:ea typeface="+mn-ea"/>
                    <a:cs typeface="+mn-cs"/>
                  </a:defRPr>
                </a:pPr>
                <a:endParaRPr lang="en-N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Testsheet!$A$644:$B$651</c:f>
              <c:multiLvlStrCache>
                <c:ptCount val="8"/>
                <c:lvl>
                  <c:pt idx="0">
                    <c:v>2024</c:v>
                  </c:pt>
                  <c:pt idx="1">
                    <c:v>2025</c:v>
                  </c:pt>
                  <c:pt idx="2">
                    <c:v>2024</c:v>
                  </c:pt>
                  <c:pt idx="3">
                    <c:v>2025</c:v>
                  </c:pt>
                  <c:pt idx="4">
                    <c:v>2024</c:v>
                  </c:pt>
                  <c:pt idx="5">
                    <c:v>2025</c:v>
                  </c:pt>
                  <c:pt idx="6">
                    <c:v>2024</c:v>
                  </c:pt>
                  <c:pt idx="7">
                    <c:v>2025</c:v>
                  </c:pt>
                </c:lvl>
                <c:lvl>
                  <c:pt idx="0">
                    <c:v>Bidirectioneel laden</c:v>
                  </c:pt>
                  <c:pt idx="2">
                    <c:v>Laden o.b.v. netcapaciteit</c:v>
                  </c:pt>
                  <c:pt idx="4">
                    <c:v>Laden op basis van dynamische stroomtarieven</c:v>
                  </c:pt>
                  <c:pt idx="6">
                    <c:v>Laden op duurzame opwek (zon en wind)</c:v>
                  </c:pt>
                </c:lvl>
              </c:multiLvlStrCache>
            </c:multiLvlStrRef>
          </c:cat>
          <c:val>
            <c:numRef>
              <c:f>Testsheet!$E$644:$E$651</c:f>
              <c:numCache>
                <c:formatCode>0%</c:formatCode>
                <c:ptCount val="8"/>
                <c:pt idx="0">
                  <c:v>0.46034482758620687</c:v>
                </c:pt>
                <c:pt idx="1">
                  <c:v>0.43165190604543702</c:v>
                </c:pt>
                <c:pt idx="2">
                  <c:v>0.60517241379310349</c:v>
                </c:pt>
                <c:pt idx="3">
                  <c:v>0.4143242202541394</c:v>
                </c:pt>
                <c:pt idx="4">
                  <c:v>0.52758620689655167</c:v>
                </c:pt>
                <c:pt idx="5">
                  <c:v>0.26607624181748168</c:v>
                </c:pt>
                <c:pt idx="6">
                  <c:v>0.17456896551724141</c:v>
                </c:pt>
                <c:pt idx="7">
                  <c:v>0.32075471698113206</c:v>
                </c:pt>
              </c:numCache>
            </c:numRef>
          </c:val>
          <c:extLst>
            <c:ext xmlns:c16="http://schemas.microsoft.com/office/drawing/2014/chart" uri="{C3380CC4-5D6E-409C-BE32-E72D297353CC}">
              <c16:uniqueId val="{00000002-D285-4FD3-8AA5-22A98FEFAEB2}"/>
            </c:ext>
          </c:extLst>
        </c:ser>
        <c:dLbls>
          <c:dLblPos val="ctr"/>
          <c:showLegendKey val="0"/>
          <c:showVal val="1"/>
          <c:showCatName val="0"/>
          <c:showSerName val="0"/>
          <c:showPercent val="0"/>
          <c:showBubbleSize val="0"/>
        </c:dLbls>
        <c:gapWidth val="150"/>
        <c:overlap val="100"/>
        <c:axId val="315504831"/>
        <c:axId val="315500511"/>
      </c:barChart>
      <c:catAx>
        <c:axId val="315504831"/>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2C307E"/>
                </a:solidFill>
                <a:latin typeface="+mn-lt"/>
                <a:ea typeface="+mn-ea"/>
                <a:cs typeface="+mn-cs"/>
              </a:defRPr>
            </a:pPr>
            <a:endParaRPr lang="en-NL"/>
          </a:p>
        </c:txPr>
        <c:crossAx val="315500511"/>
        <c:crosses val="autoZero"/>
        <c:auto val="1"/>
        <c:lblAlgn val="ctr"/>
        <c:lblOffset val="100"/>
        <c:noMultiLvlLbl val="0"/>
      </c:catAx>
      <c:valAx>
        <c:axId val="315500511"/>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2C307E"/>
                </a:solidFill>
                <a:latin typeface="+mn-lt"/>
                <a:ea typeface="+mn-ea"/>
                <a:cs typeface="+mn-cs"/>
              </a:defRPr>
            </a:pPr>
            <a:endParaRPr lang="en-NL"/>
          </a:p>
        </c:txPr>
        <c:crossAx val="31550483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rgbClr val="2C307E"/>
              </a:solidFill>
              <a:latin typeface="+mn-lt"/>
              <a:ea typeface="+mn-ea"/>
              <a:cs typeface="+mn-cs"/>
            </a:defRPr>
          </a:pPr>
          <a:endParaRPr lang="en-NL"/>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a:pPr>
      <a:endParaRPr lang="en-NL"/>
    </a:p>
  </c:txPr>
  <c:externalData r:id="rId3">
    <c:autoUpdate val="0"/>
  </c:externalData>
</c:chartSpace>
</file>

<file path=word/charts/chart8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rgbClr val="2C307E"/>
                </a:solidFill>
                <a:latin typeface="+mn-lt"/>
                <a:ea typeface="+mn-ea"/>
                <a:cs typeface="+mn-cs"/>
              </a:defRPr>
            </a:pPr>
            <a:r>
              <a:rPr lang="en-US" sz="1100">
                <a:solidFill>
                  <a:srgbClr val="2C307E"/>
                </a:solidFill>
              </a:rPr>
              <a:t>Hoe ervaar je de volgende vorm van slim laden bij je thuislaadpunt? </a:t>
            </a:r>
          </a:p>
        </c:rich>
      </c:tx>
      <c:overlay val="0"/>
      <c:spPr>
        <a:noFill/>
        <a:ln>
          <a:noFill/>
        </a:ln>
        <a:effectLst/>
      </c:spPr>
      <c:txPr>
        <a:bodyPr rot="0" spcFirstLastPara="1" vertOverflow="ellipsis" vert="horz" wrap="square" anchor="ctr" anchorCtr="1"/>
        <a:lstStyle/>
        <a:p>
          <a:pPr>
            <a:defRPr sz="1100" b="0" i="0" u="none" strike="noStrike" kern="1200" spc="0" baseline="0">
              <a:solidFill>
                <a:srgbClr val="2C307E"/>
              </a:solidFill>
              <a:latin typeface="+mn-lt"/>
              <a:ea typeface="+mn-ea"/>
              <a:cs typeface="+mn-cs"/>
            </a:defRPr>
          </a:pPr>
          <a:endParaRPr lang="en-NL"/>
        </a:p>
      </c:txPr>
    </c:title>
    <c:autoTitleDeleted val="0"/>
    <c:plotArea>
      <c:layout>
        <c:manualLayout>
          <c:layoutTarget val="inner"/>
          <c:xMode val="edge"/>
          <c:yMode val="edge"/>
          <c:x val="0.45049951611141864"/>
          <c:y val="0.16165282873141534"/>
          <c:w val="0.44879517391746404"/>
          <c:h val="0.53588097297839699"/>
        </c:manualLayout>
      </c:layout>
      <c:barChart>
        <c:barDir val="bar"/>
        <c:grouping val="stacked"/>
        <c:varyColors val="0"/>
        <c:ser>
          <c:idx val="0"/>
          <c:order val="0"/>
          <c:tx>
            <c:strRef>
              <c:f>Figuren!$B$373</c:f>
              <c:strCache>
                <c:ptCount val="1"/>
                <c:pt idx="0">
                  <c:v>zeer negatief</c:v>
                </c:pt>
              </c:strCache>
            </c:strRef>
          </c:tx>
          <c:spPr>
            <a:solidFill>
              <a:srgbClr val="2C307E"/>
            </a:solidFill>
            <a:ln>
              <a:noFill/>
            </a:ln>
            <a:effectLst/>
          </c:spPr>
          <c:invertIfNegative val="0"/>
          <c:dLbls>
            <c:delete val="1"/>
          </c:dLbls>
          <c:cat>
            <c:strRef>
              <c:f>Figuren!$A$375:$A$377</c:f>
              <c:strCache>
                <c:ptCount val="3"/>
                <c:pt idx="0">
                  <c:v>Laden op basis van netcapaciteit [N=801]</c:v>
                </c:pt>
                <c:pt idx="1">
                  <c:v>Laden op basis van dynamische stroomtarieven [N=1.084]</c:v>
                </c:pt>
                <c:pt idx="2">
                  <c:v>Laden op duurzame opwek (zon en wind) [N=1.052]</c:v>
                </c:pt>
              </c:strCache>
            </c:strRef>
          </c:cat>
          <c:val>
            <c:numRef>
              <c:f>Figuren!$B$375:$B$377</c:f>
              <c:numCache>
                <c:formatCode>0%</c:formatCode>
                <c:ptCount val="3"/>
                <c:pt idx="0">
                  <c:v>2.6217228464419477E-2</c:v>
                </c:pt>
                <c:pt idx="1">
                  <c:v>7.3800738007380072E-3</c:v>
                </c:pt>
                <c:pt idx="2">
                  <c:v>1.9011406844106463E-2</c:v>
                </c:pt>
              </c:numCache>
            </c:numRef>
          </c:val>
          <c:extLst>
            <c:ext xmlns:c16="http://schemas.microsoft.com/office/drawing/2014/chart" uri="{C3380CC4-5D6E-409C-BE32-E72D297353CC}">
              <c16:uniqueId val="{00000000-9156-45C9-9D9F-38EB3FE1474D}"/>
            </c:ext>
          </c:extLst>
        </c:ser>
        <c:ser>
          <c:idx val="1"/>
          <c:order val="1"/>
          <c:tx>
            <c:strRef>
              <c:f>Figuren!$C$373</c:f>
              <c:strCache>
                <c:ptCount val="1"/>
                <c:pt idx="0">
                  <c:v>enigszins negatief</c:v>
                </c:pt>
              </c:strCache>
            </c:strRef>
          </c:tx>
          <c:spPr>
            <a:solidFill>
              <a:srgbClr val="08B466"/>
            </a:solidFill>
            <a:ln>
              <a:noFill/>
            </a:ln>
            <a:effectLst/>
          </c:spPr>
          <c:invertIfNegative val="0"/>
          <c:dLbls>
            <c:delete val="1"/>
          </c:dLbls>
          <c:cat>
            <c:strRef>
              <c:f>Figuren!$A$375:$A$377</c:f>
              <c:strCache>
                <c:ptCount val="3"/>
                <c:pt idx="0">
                  <c:v>Laden op basis van netcapaciteit [N=801]</c:v>
                </c:pt>
                <c:pt idx="1">
                  <c:v>Laden op basis van dynamische stroomtarieven [N=1.084]</c:v>
                </c:pt>
                <c:pt idx="2">
                  <c:v>Laden op duurzame opwek (zon en wind) [N=1.052]</c:v>
                </c:pt>
              </c:strCache>
            </c:strRef>
          </c:cat>
          <c:val>
            <c:numRef>
              <c:f>Figuren!$C$375:$C$377</c:f>
              <c:numCache>
                <c:formatCode>0%</c:formatCode>
                <c:ptCount val="3"/>
                <c:pt idx="0">
                  <c:v>3.6204744069912607E-2</c:v>
                </c:pt>
                <c:pt idx="1">
                  <c:v>2.3062730627306273E-2</c:v>
                </c:pt>
                <c:pt idx="2">
                  <c:v>3.4220532319391636E-2</c:v>
                </c:pt>
              </c:numCache>
            </c:numRef>
          </c:val>
          <c:extLst>
            <c:ext xmlns:c16="http://schemas.microsoft.com/office/drawing/2014/chart" uri="{C3380CC4-5D6E-409C-BE32-E72D297353CC}">
              <c16:uniqueId val="{00000001-9156-45C9-9D9F-38EB3FE1474D}"/>
            </c:ext>
          </c:extLst>
        </c:ser>
        <c:ser>
          <c:idx val="2"/>
          <c:order val="2"/>
          <c:tx>
            <c:strRef>
              <c:f>Figuren!$D$373</c:f>
              <c:strCache>
                <c:ptCount val="1"/>
                <c:pt idx="0">
                  <c:v>neutraal </c:v>
                </c:pt>
              </c:strCache>
            </c:strRef>
          </c:tx>
          <c:spPr>
            <a:solidFill>
              <a:srgbClr val="C9C74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bg1"/>
                    </a:solidFill>
                    <a:latin typeface="+mn-lt"/>
                    <a:ea typeface="+mn-ea"/>
                    <a:cs typeface="+mn-cs"/>
                  </a:defRPr>
                </a:pPr>
                <a:endParaRPr lang="en-N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Figuren!$A$375:$A$377</c:f>
              <c:strCache>
                <c:ptCount val="3"/>
                <c:pt idx="0">
                  <c:v>Laden op basis van netcapaciteit [N=801]</c:v>
                </c:pt>
                <c:pt idx="1">
                  <c:v>Laden op basis van dynamische stroomtarieven [N=1.084]</c:v>
                </c:pt>
                <c:pt idx="2">
                  <c:v>Laden op duurzame opwek (zon en wind) [N=1.052]</c:v>
                </c:pt>
              </c:strCache>
            </c:strRef>
          </c:cat>
          <c:val>
            <c:numRef>
              <c:f>Figuren!$D$375:$D$377</c:f>
              <c:numCache>
                <c:formatCode>0%</c:formatCode>
                <c:ptCount val="3"/>
                <c:pt idx="0">
                  <c:v>0.17478152309612985</c:v>
                </c:pt>
                <c:pt idx="1">
                  <c:v>0.1070110701107011</c:v>
                </c:pt>
                <c:pt idx="2">
                  <c:v>0.17680608365019013</c:v>
                </c:pt>
              </c:numCache>
            </c:numRef>
          </c:val>
          <c:extLst>
            <c:ext xmlns:c16="http://schemas.microsoft.com/office/drawing/2014/chart" uri="{C3380CC4-5D6E-409C-BE32-E72D297353CC}">
              <c16:uniqueId val="{00000002-9156-45C9-9D9F-38EB3FE1474D}"/>
            </c:ext>
          </c:extLst>
        </c:ser>
        <c:ser>
          <c:idx val="3"/>
          <c:order val="3"/>
          <c:tx>
            <c:strRef>
              <c:f>Figuren!$E$373</c:f>
              <c:strCache>
                <c:ptCount val="1"/>
                <c:pt idx="0">
                  <c:v>enigszins positief</c:v>
                </c:pt>
              </c:strCache>
            </c:strRef>
          </c:tx>
          <c:spPr>
            <a:solidFill>
              <a:srgbClr val="BAD6ED"/>
            </a:solidFill>
            <a:ln>
              <a:noFill/>
            </a:ln>
            <a:effectLst/>
          </c:spPr>
          <c:invertIfNegative val="0"/>
          <c:dLbls>
            <c:dLbl>
              <c:idx val="1"/>
              <c:layout>
                <c:manualLayout>
                  <c:x val="1.9129603060736491E-2"/>
                  <c:y val="-5.29094416956675E-1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E5F-4E5D-94A5-B26609A67AB9}"/>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rgbClr val="2C307E"/>
                    </a:solidFill>
                    <a:latin typeface="+mn-lt"/>
                    <a:ea typeface="+mn-ea"/>
                    <a:cs typeface="+mn-cs"/>
                  </a:defRPr>
                </a:pPr>
                <a:endParaRPr lang="en-N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Figuren!$A$375:$A$377</c:f>
              <c:strCache>
                <c:ptCount val="3"/>
                <c:pt idx="0">
                  <c:v>Laden op basis van netcapaciteit [N=801]</c:v>
                </c:pt>
                <c:pt idx="1">
                  <c:v>Laden op basis van dynamische stroomtarieven [N=1.084]</c:v>
                </c:pt>
                <c:pt idx="2">
                  <c:v>Laden op duurzame opwek (zon en wind) [N=1.052]</c:v>
                </c:pt>
              </c:strCache>
            </c:strRef>
          </c:cat>
          <c:val>
            <c:numRef>
              <c:f>Figuren!$E$375:$E$377</c:f>
              <c:numCache>
                <c:formatCode>0%</c:formatCode>
                <c:ptCount val="3"/>
                <c:pt idx="0">
                  <c:v>0.26092384519350814</c:v>
                </c:pt>
                <c:pt idx="1">
                  <c:v>0.18634686346863469</c:v>
                </c:pt>
                <c:pt idx="2">
                  <c:v>0.2423954372623574</c:v>
                </c:pt>
              </c:numCache>
            </c:numRef>
          </c:val>
          <c:extLst>
            <c:ext xmlns:c16="http://schemas.microsoft.com/office/drawing/2014/chart" uri="{C3380CC4-5D6E-409C-BE32-E72D297353CC}">
              <c16:uniqueId val="{00000003-9156-45C9-9D9F-38EB3FE1474D}"/>
            </c:ext>
          </c:extLst>
        </c:ser>
        <c:ser>
          <c:idx val="4"/>
          <c:order val="4"/>
          <c:tx>
            <c:strRef>
              <c:f>Figuren!$F$373</c:f>
              <c:strCache>
                <c:ptCount val="1"/>
                <c:pt idx="0">
                  <c:v>zeer positief</c:v>
                </c:pt>
              </c:strCache>
            </c:strRef>
          </c:tx>
          <c:spPr>
            <a:solidFill>
              <a:srgbClr val="4EAFAA"/>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bg1"/>
                    </a:solidFill>
                    <a:latin typeface="+mn-lt"/>
                    <a:ea typeface="+mn-ea"/>
                    <a:cs typeface="+mn-cs"/>
                  </a:defRPr>
                </a:pPr>
                <a:endParaRPr lang="en-N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Figuren!$A$375:$A$377</c:f>
              <c:strCache>
                <c:ptCount val="3"/>
                <c:pt idx="0">
                  <c:v>Laden op basis van netcapaciteit [N=801]</c:v>
                </c:pt>
                <c:pt idx="1">
                  <c:v>Laden op basis van dynamische stroomtarieven [N=1.084]</c:v>
                </c:pt>
                <c:pt idx="2">
                  <c:v>Laden op duurzame opwek (zon en wind) [N=1.052]</c:v>
                </c:pt>
              </c:strCache>
            </c:strRef>
          </c:cat>
          <c:val>
            <c:numRef>
              <c:f>Figuren!$F$375:$F$377</c:f>
              <c:numCache>
                <c:formatCode>0%</c:formatCode>
                <c:ptCount val="3"/>
                <c:pt idx="0">
                  <c:v>0.50187265917602997</c:v>
                </c:pt>
                <c:pt idx="1">
                  <c:v>0.67619926199261993</c:v>
                </c:pt>
                <c:pt idx="2">
                  <c:v>0.52756653992395441</c:v>
                </c:pt>
              </c:numCache>
            </c:numRef>
          </c:val>
          <c:extLst>
            <c:ext xmlns:c16="http://schemas.microsoft.com/office/drawing/2014/chart" uri="{C3380CC4-5D6E-409C-BE32-E72D297353CC}">
              <c16:uniqueId val="{00000004-9156-45C9-9D9F-38EB3FE1474D}"/>
            </c:ext>
          </c:extLst>
        </c:ser>
        <c:dLbls>
          <c:dLblPos val="ctr"/>
          <c:showLegendKey val="0"/>
          <c:showVal val="1"/>
          <c:showCatName val="0"/>
          <c:showSerName val="0"/>
          <c:showPercent val="0"/>
          <c:showBubbleSize val="0"/>
        </c:dLbls>
        <c:gapWidth val="150"/>
        <c:overlap val="100"/>
        <c:axId val="1759173359"/>
        <c:axId val="1759175279"/>
      </c:barChart>
      <c:catAx>
        <c:axId val="1759173359"/>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2C307E"/>
                </a:solidFill>
                <a:latin typeface="+mn-lt"/>
                <a:ea typeface="+mn-ea"/>
                <a:cs typeface="+mn-cs"/>
              </a:defRPr>
            </a:pPr>
            <a:endParaRPr lang="en-NL"/>
          </a:p>
        </c:txPr>
        <c:crossAx val="1759175279"/>
        <c:crosses val="autoZero"/>
        <c:auto val="1"/>
        <c:lblAlgn val="ctr"/>
        <c:lblOffset val="100"/>
        <c:noMultiLvlLbl val="0"/>
      </c:catAx>
      <c:valAx>
        <c:axId val="1759175279"/>
        <c:scaling>
          <c:orientation val="minMax"/>
          <c:max val="1"/>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2C307E"/>
                </a:solidFill>
                <a:latin typeface="+mn-lt"/>
                <a:ea typeface="+mn-ea"/>
                <a:cs typeface="+mn-cs"/>
              </a:defRPr>
            </a:pPr>
            <a:endParaRPr lang="en-NL"/>
          </a:p>
        </c:txPr>
        <c:crossAx val="1759173359"/>
        <c:crosses val="autoZero"/>
        <c:crossBetween val="between"/>
        <c:majorUnit val="0.25"/>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rgbClr val="2C307E"/>
              </a:solidFill>
              <a:latin typeface="+mn-lt"/>
              <a:ea typeface="+mn-ea"/>
              <a:cs typeface="+mn-cs"/>
            </a:defRPr>
          </a:pPr>
          <a:endParaRPr lang="en-NL"/>
        </a:p>
      </c:txPr>
    </c:legend>
    <c:plotVisOnly val="1"/>
    <c:dispBlanksAs val="gap"/>
    <c:showDLblsOverMax val="0"/>
  </c:chart>
  <c:spPr>
    <a:noFill/>
    <a:ln w="9525" cap="flat" cmpd="sng" algn="ctr">
      <a:noFill/>
      <a:round/>
    </a:ln>
    <a:effectLst/>
  </c:spPr>
  <c:txPr>
    <a:bodyPr/>
    <a:lstStyle/>
    <a:p>
      <a:pPr>
        <a:defRPr/>
      </a:pPr>
      <a:endParaRPr lang="en-NL"/>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marL="0" marR="0" lvl="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nl-NL" sz="1100" b="0" i="0" u="none" strike="noStrike" kern="1200" spc="0" baseline="0">
                <a:solidFill>
                  <a:srgbClr val="2C307E"/>
                </a:solidFill>
              </a:rPr>
              <a:t>Wie rijdt er nog meer in de elektrische auto?</a:t>
            </a:r>
          </a:p>
        </c:rich>
      </c:tx>
      <c:overlay val="0"/>
    </c:title>
    <c:autoTitleDeleted val="0"/>
    <c:plotArea>
      <c:layout>
        <c:manualLayout>
          <c:layoutTarget val="inner"/>
          <c:xMode val="edge"/>
          <c:yMode val="edge"/>
          <c:x val="0.33630670628151393"/>
          <c:y val="0.27856909764621668"/>
          <c:w val="0.34484875186871378"/>
          <c:h val="0.48200450545286128"/>
        </c:manualLayout>
      </c:layout>
      <c:pieChart>
        <c:varyColors val="1"/>
        <c:ser>
          <c:idx val="0"/>
          <c:order val="0"/>
          <c:spPr>
            <a:solidFill>
              <a:srgbClr val="08B466"/>
            </a:solidFill>
          </c:spPr>
          <c:dPt>
            <c:idx val="0"/>
            <c:bubble3D val="0"/>
            <c:spPr>
              <a:solidFill>
                <a:srgbClr val="2C307E"/>
              </a:solidFill>
              <a:ln w="19050">
                <a:noFill/>
              </a:ln>
              <a:effectLst/>
            </c:spPr>
            <c:extLst>
              <c:ext xmlns:c16="http://schemas.microsoft.com/office/drawing/2014/chart" uri="{C3380CC4-5D6E-409C-BE32-E72D297353CC}">
                <c16:uniqueId val="{00000001-3C6E-41C3-8EF7-EBAE25A04D8F}"/>
              </c:ext>
            </c:extLst>
          </c:dPt>
          <c:dPt>
            <c:idx val="1"/>
            <c:bubble3D val="0"/>
            <c:spPr>
              <a:solidFill>
                <a:srgbClr val="08B466"/>
              </a:solidFill>
              <a:ln w="19050">
                <a:noFill/>
              </a:ln>
              <a:effectLst/>
            </c:spPr>
            <c:extLst>
              <c:ext xmlns:c16="http://schemas.microsoft.com/office/drawing/2014/chart" uri="{C3380CC4-5D6E-409C-BE32-E72D297353CC}">
                <c16:uniqueId val="{00000003-3C6E-41C3-8EF7-EBAE25A04D8F}"/>
              </c:ext>
            </c:extLst>
          </c:dPt>
          <c:dPt>
            <c:idx val="2"/>
            <c:bubble3D val="0"/>
            <c:spPr>
              <a:solidFill>
                <a:srgbClr val="C9C743"/>
              </a:solidFill>
            </c:spPr>
            <c:extLst>
              <c:ext xmlns:c16="http://schemas.microsoft.com/office/drawing/2014/chart" uri="{C3380CC4-5D6E-409C-BE32-E72D297353CC}">
                <c16:uniqueId val="{00000005-3C6E-41C3-8EF7-EBAE25A04D8F}"/>
              </c:ext>
            </c:extLst>
          </c:dPt>
          <c:dPt>
            <c:idx val="3"/>
            <c:bubble3D val="0"/>
            <c:spPr>
              <a:solidFill>
                <a:srgbClr val="BAD6ED"/>
              </a:solidFill>
            </c:spPr>
            <c:extLst>
              <c:ext xmlns:c16="http://schemas.microsoft.com/office/drawing/2014/chart" uri="{C3380CC4-5D6E-409C-BE32-E72D297353CC}">
                <c16:uniqueId val="{00000007-3C6E-41C3-8EF7-EBAE25A04D8F}"/>
              </c:ext>
            </c:extLst>
          </c:dPt>
          <c:dPt>
            <c:idx val="4"/>
            <c:bubble3D val="0"/>
            <c:spPr>
              <a:solidFill>
                <a:srgbClr val="4EAFAA"/>
              </a:solidFill>
            </c:spPr>
            <c:extLst>
              <c:ext xmlns:c16="http://schemas.microsoft.com/office/drawing/2014/chart" uri="{C3380CC4-5D6E-409C-BE32-E72D297353CC}">
                <c16:uniqueId val="{00000009-3C6E-41C3-8EF7-EBAE25A04D8F}"/>
              </c:ext>
            </c:extLst>
          </c:dPt>
          <c:dLbls>
            <c:dLbl>
              <c:idx val="1"/>
              <c:layout>
                <c:manualLayout>
                  <c:x val="0.11071314256449651"/>
                  <c:y val="4.047433576150574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C6E-41C3-8EF7-EBAE25A04D8F}"/>
                </c:ext>
              </c:extLst>
            </c:dLbl>
            <c:dLbl>
              <c:idx val="2"/>
              <c:layout>
                <c:manualLayout>
                  <c:x val="1.6150016757231028E-2"/>
                  <c:y val="2.8034174136978701E-2"/>
                </c:manualLayout>
              </c:layout>
              <c:spPr>
                <a:noFill/>
                <a:ln>
                  <a:noFill/>
                </a:ln>
                <a:effectLst/>
              </c:spPr>
              <c:txPr>
                <a:bodyPr wrap="square" lIns="38100" tIns="19050" rIns="38100" bIns="19050" anchor="ctr">
                  <a:spAutoFit/>
                </a:bodyPr>
                <a:lstStyle/>
                <a:p>
                  <a:pPr>
                    <a:defRPr sz="800" b="1">
                      <a:solidFill>
                        <a:srgbClr val="2C307E"/>
                      </a:solidFill>
                    </a:defRPr>
                  </a:pPr>
                  <a:endParaRPr lang="nl-NL"/>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C6E-41C3-8EF7-EBAE25A04D8F}"/>
                </c:ext>
              </c:extLst>
            </c:dLbl>
            <c:dLbl>
              <c:idx val="3"/>
              <c:layout>
                <c:manualLayout>
                  <c:x val="4.3729971343252107E-2"/>
                  <c:y val="1.6328121450655292E-2"/>
                </c:manualLayout>
              </c:layout>
              <c:spPr>
                <a:noFill/>
                <a:ln>
                  <a:noFill/>
                </a:ln>
                <a:effectLst/>
              </c:spPr>
              <c:txPr>
                <a:bodyPr wrap="square" lIns="38100" tIns="19050" rIns="38100" bIns="19050" anchor="ctr">
                  <a:spAutoFit/>
                </a:bodyPr>
                <a:lstStyle/>
                <a:p>
                  <a:pPr>
                    <a:defRPr sz="800" b="1">
                      <a:solidFill>
                        <a:srgbClr val="2C307E"/>
                      </a:solidFill>
                    </a:defRPr>
                  </a:pPr>
                  <a:endParaRPr lang="nl-NL"/>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3C6E-41C3-8EF7-EBAE25A04D8F}"/>
                </c:ext>
              </c:extLst>
            </c:dLbl>
            <c:dLbl>
              <c:idx val="4"/>
              <c:layout>
                <c:manualLayout>
                  <c:x val="4.3390307918827219E-2"/>
                  <c:y val="0.1080052891961234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3C6E-41C3-8EF7-EBAE25A04D8F}"/>
                </c:ext>
              </c:extLst>
            </c:dLbl>
            <c:spPr>
              <a:noFill/>
              <a:ln>
                <a:noFill/>
              </a:ln>
              <a:effectLst/>
            </c:spPr>
            <c:txPr>
              <a:bodyPr wrap="square" lIns="38100" tIns="19050" rIns="38100" bIns="19050" anchor="ctr">
                <a:spAutoFit/>
              </a:bodyPr>
              <a:lstStyle/>
              <a:p>
                <a:pPr>
                  <a:defRPr sz="800" b="1">
                    <a:solidFill>
                      <a:schemeClr val="bg1"/>
                    </a:solidFill>
                  </a:defRPr>
                </a:pPr>
                <a:endParaRPr lang="nl-NL"/>
              </a:p>
            </c:txPr>
            <c:showLegendKey val="0"/>
            <c:showVal val="1"/>
            <c:showCatName val="0"/>
            <c:showSerName val="0"/>
            <c:showPercent val="0"/>
            <c:showBubbleSize val="0"/>
            <c:showLeaderLines val="1"/>
            <c:extLst>
              <c:ext xmlns:c15="http://schemas.microsoft.com/office/drawing/2012/chart" uri="{CE6537A1-D6FC-4f65-9D91-7224C49458BB}"/>
            </c:extLst>
          </c:dLbls>
          <c:cat>
            <c:strRef>
              <c:f>'3.1 de EV-rijder'!$M$82:$M$86</c:f>
              <c:strCache>
                <c:ptCount val="5"/>
                <c:pt idx="0">
                  <c:v>Partner</c:v>
                </c:pt>
                <c:pt idx="1">
                  <c:v>Kinderen</c:v>
                </c:pt>
                <c:pt idx="2">
                  <c:v>Vrienden</c:v>
                </c:pt>
                <c:pt idx="3">
                  <c:v>Buren</c:v>
                </c:pt>
                <c:pt idx="4">
                  <c:v>Anderen namelijk</c:v>
                </c:pt>
              </c:strCache>
            </c:strRef>
          </c:cat>
          <c:val>
            <c:numRef>
              <c:f>'3.1 de EV-rijder'!$P$82:$P$86</c:f>
              <c:numCache>
                <c:formatCode>0%</c:formatCode>
                <c:ptCount val="5"/>
                <c:pt idx="0">
                  <c:v>0.71362271362271368</c:v>
                </c:pt>
                <c:pt idx="1">
                  <c:v>0.16161616161616163</c:v>
                </c:pt>
                <c:pt idx="2">
                  <c:v>2.9757029757029756E-2</c:v>
                </c:pt>
                <c:pt idx="3">
                  <c:v>1.9383019383019381E-2</c:v>
                </c:pt>
                <c:pt idx="4">
                  <c:v>6.9888069888069893E-2</c:v>
                </c:pt>
              </c:numCache>
            </c:numRef>
          </c:val>
          <c:extLst>
            <c:ext xmlns:c16="http://schemas.microsoft.com/office/drawing/2014/chart" uri="{C3380CC4-5D6E-409C-BE32-E72D297353CC}">
              <c16:uniqueId val="{0000000A-3C6E-41C3-8EF7-EBAE25A04D8F}"/>
            </c:ext>
          </c:extLst>
        </c:ser>
        <c:dLbls>
          <c:showLegendKey val="0"/>
          <c:showVal val="0"/>
          <c:showCatName val="0"/>
          <c:showSerName val="0"/>
          <c:showPercent val="0"/>
          <c:showBubbleSize val="0"/>
          <c:showLeaderLines val="1"/>
        </c:dLbls>
        <c:firstSliceAng val="0"/>
      </c:pieChart>
      <c:spPr>
        <a:noFill/>
      </c:spPr>
    </c:plotArea>
    <c:legend>
      <c:legendPos val="b"/>
      <c:layout>
        <c:manualLayout>
          <c:xMode val="edge"/>
          <c:yMode val="edge"/>
          <c:x val="9.7719133745297667E-3"/>
          <c:y val="0.73846688281611861"/>
          <c:w val="0.98045617325094048"/>
          <c:h val="0.23479514926944292"/>
        </c:manualLayout>
      </c:layout>
      <c:overlay val="0"/>
      <c:spPr>
        <a:noFill/>
        <a:ln>
          <a:noFill/>
        </a:ln>
        <a:effectLst/>
      </c:spPr>
      <c:txPr>
        <a:bodyPr rot="0" spcFirstLastPara="1" vertOverflow="ellipsis" vert="horz" wrap="square" anchor="ctr" anchorCtr="1"/>
        <a:lstStyle/>
        <a:p>
          <a:pPr rtl="0">
            <a:defRPr sz="900" b="0" i="0" u="none" strike="noStrike" kern="1200" baseline="0">
              <a:solidFill>
                <a:srgbClr val="2C307E"/>
              </a:solidFill>
              <a:latin typeface="+mn-lt"/>
              <a:ea typeface="+mn-ea"/>
              <a:cs typeface="+mn-cs"/>
            </a:defRPr>
          </a:pPr>
          <a:endParaRPr lang="nl-NL"/>
        </a:p>
      </c:txPr>
    </c:legend>
    <c:plotVisOnly val="1"/>
    <c:dispBlanksAs val="gap"/>
    <c:showDLblsOverMax val="0"/>
    <c:extLst/>
  </c:chart>
  <c:spPr>
    <a:noFill/>
    <a:ln>
      <a:noFill/>
    </a:ln>
  </c:spPr>
  <c:txPr>
    <a:bodyPr/>
    <a:lstStyle/>
    <a:p>
      <a:pPr>
        <a:defRPr/>
      </a:pPr>
      <a:endParaRPr lang="nl-NL"/>
    </a:p>
  </c:txPr>
  <c:externalData r:id="rId1">
    <c:autoUpdate val="0"/>
  </c:externalData>
</c:chartSpace>
</file>

<file path=word/charts/chart9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rgbClr val="2C307E"/>
                </a:solidFill>
                <a:latin typeface="+mn-lt"/>
                <a:ea typeface="+mn-ea"/>
                <a:cs typeface="+mn-cs"/>
              </a:defRPr>
            </a:pPr>
            <a:r>
              <a:rPr lang="nl-NL" sz="1100">
                <a:solidFill>
                  <a:srgbClr val="2C307E"/>
                </a:solidFill>
              </a:rPr>
              <a:t>Welke technische functionaliteiten heeft jouw laadpunt thuis?</a:t>
            </a:r>
          </a:p>
        </c:rich>
      </c:tx>
      <c:overlay val="0"/>
      <c:spPr>
        <a:noFill/>
        <a:ln>
          <a:noFill/>
        </a:ln>
        <a:effectLst/>
      </c:spPr>
    </c:title>
    <c:autoTitleDeleted val="0"/>
    <c:plotArea>
      <c:layout>
        <c:manualLayout>
          <c:layoutTarget val="inner"/>
          <c:xMode val="edge"/>
          <c:yMode val="edge"/>
          <c:x val="0.5131259955489782"/>
          <c:y val="0.12182151589242052"/>
          <c:w val="0.3970725682245243"/>
          <c:h val="0.75427070843844357"/>
        </c:manualLayout>
      </c:layout>
      <c:barChart>
        <c:barDir val="bar"/>
        <c:grouping val="clustered"/>
        <c:varyColors val="0"/>
        <c:ser>
          <c:idx val="0"/>
          <c:order val="0"/>
          <c:tx>
            <c:strRef>
              <c:f>'3.4 thuisladen oprit'!$K$198</c:f>
              <c:strCache>
                <c:ptCount val="1"/>
                <c:pt idx="0">
                  <c:v>2025</c:v>
                </c:pt>
              </c:strCache>
            </c:strRef>
          </c:tx>
          <c:spPr>
            <a:solidFill>
              <a:srgbClr val="4EAFAA"/>
            </a:solidFill>
            <a:ln>
              <a:noFill/>
            </a:ln>
            <a:effectLst/>
          </c:spPr>
          <c:invertIfNegative val="0"/>
          <c:dLbls>
            <c:spPr>
              <a:noFill/>
              <a:ln>
                <a:noFill/>
              </a:ln>
              <a:effectLst/>
            </c:spPr>
            <c:txPr>
              <a:bodyPr wrap="square" lIns="38100" tIns="19050" rIns="38100" bIns="19050" anchor="ctr" anchorCtr="0">
                <a:spAutoFit/>
              </a:bodyPr>
              <a:lstStyle/>
              <a:p>
                <a:pPr algn="ctr">
                  <a:defRPr lang="en-US" sz="800" b="1" i="0" u="none" strike="noStrike" kern="1200" baseline="0">
                    <a:solidFill>
                      <a:srgbClr val="2C307E"/>
                    </a:solidFill>
                    <a:latin typeface="+mn-lt"/>
                    <a:ea typeface="+mn-ea"/>
                    <a:cs typeface="+mn-cs"/>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'3.4 thuisladen oprit'!$J$199:$J$205</c:f>
              <c:strCache>
                <c:ptCount val="7"/>
                <c:pt idx="0">
                  <c:v>Weet ik niet</c:v>
                </c:pt>
                <c:pt idx="1">
                  <c:v>Geen van bovenstaande   </c:v>
                </c:pt>
                <c:pt idx="2">
                  <c:v>Bestuurbaar via een Home Energy Management Systeem </c:v>
                </c:pt>
                <c:pt idx="3">
                  <c:v>Energiemeter</c:v>
                </c:pt>
                <c:pt idx="4">
                  <c:v>Laadpaslezer (RFID)   </c:v>
                </c:pt>
                <c:pt idx="5">
                  <c:v>Slim laden functies, zoals ‘local load balancing’   </c:v>
                </c:pt>
                <c:pt idx="6">
                  <c:v>Internet/WIFI-functie   </c:v>
                </c:pt>
              </c:strCache>
            </c:strRef>
          </c:cat>
          <c:val>
            <c:numRef>
              <c:f>'3.4 thuisladen oprit'!$K$199:$K$205</c:f>
              <c:numCache>
                <c:formatCode>0%</c:formatCode>
                <c:ptCount val="7"/>
                <c:pt idx="0">
                  <c:v>2.8391167192429023E-2</c:v>
                </c:pt>
                <c:pt idx="1">
                  <c:v>8.7539432176656148E-2</c:v>
                </c:pt>
                <c:pt idx="2">
                  <c:v>0.36987381703470029</c:v>
                </c:pt>
                <c:pt idx="3">
                  <c:v>0.42192429022082018</c:v>
                </c:pt>
                <c:pt idx="4">
                  <c:v>0.49132492113564669</c:v>
                </c:pt>
                <c:pt idx="5">
                  <c:v>0.60646687697160884</c:v>
                </c:pt>
                <c:pt idx="6">
                  <c:v>0.63406940063091488</c:v>
                </c:pt>
              </c:numCache>
            </c:numRef>
          </c:val>
          <c:extLst>
            <c:ext xmlns:c16="http://schemas.microsoft.com/office/drawing/2014/chart" uri="{C3380CC4-5D6E-409C-BE32-E72D297353CC}">
              <c16:uniqueId val="{00000000-211A-487B-A4E0-74C10934CA73}"/>
            </c:ext>
          </c:extLst>
        </c:ser>
        <c:ser>
          <c:idx val="1"/>
          <c:order val="1"/>
          <c:tx>
            <c:strRef>
              <c:f>'3.4 thuisladen oprit'!$L$198</c:f>
              <c:strCache>
                <c:ptCount val="1"/>
                <c:pt idx="0">
                  <c:v>2024</c:v>
                </c:pt>
              </c:strCache>
            </c:strRef>
          </c:tx>
          <c:spPr>
            <a:solidFill>
              <a:srgbClr val="BAD6ED"/>
            </a:solidFill>
          </c:spPr>
          <c:invertIfNegative val="0"/>
          <c:cat>
            <c:strRef>
              <c:f>'3.4 thuisladen oprit'!$J$199:$J$205</c:f>
              <c:strCache>
                <c:ptCount val="7"/>
                <c:pt idx="0">
                  <c:v>Weet ik niet</c:v>
                </c:pt>
                <c:pt idx="1">
                  <c:v>Geen van bovenstaande   </c:v>
                </c:pt>
                <c:pt idx="2">
                  <c:v>Bestuurbaar via een Home Energy Management Systeem </c:v>
                </c:pt>
                <c:pt idx="3">
                  <c:v>Energiemeter</c:v>
                </c:pt>
                <c:pt idx="4">
                  <c:v>Laadpaslezer (RFID)   </c:v>
                </c:pt>
                <c:pt idx="5">
                  <c:v>Slim laden functies, zoals ‘local load balancing’   </c:v>
                </c:pt>
                <c:pt idx="6">
                  <c:v>Internet/WIFI-functie   </c:v>
                </c:pt>
              </c:strCache>
            </c:strRef>
          </c:cat>
          <c:val>
            <c:numRef>
              <c:f>'3.4 thuisladen oprit'!$L$199:$L$205</c:f>
              <c:numCache>
                <c:formatCode>0%</c:formatCode>
                <c:ptCount val="7"/>
                <c:pt idx="0">
                  <c:v>0.05</c:v>
                </c:pt>
                <c:pt idx="1">
                  <c:v>0.11</c:v>
                </c:pt>
                <c:pt idx="2">
                  <c:v>0.31</c:v>
                </c:pt>
                <c:pt idx="3">
                  <c:v>0.44</c:v>
                </c:pt>
                <c:pt idx="4">
                  <c:v>0.49</c:v>
                </c:pt>
                <c:pt idx="5">
                  <c:v>0.57999999999999996</c:v>
                </c:pt>
                <c:pt idx="6">
                  <c:v>0.61</c:v>
                </c:pt>
              </c:numCache>
            </c:numRef>
          </c:val>
          <c:extLst>
            <c:ext xmlns:c16="http://schemas.microsoft.com/office/drawing/2014/chart" uri="{C3380CC4-5D6E-409C-BE32-E72D297353CC}">
              <c16:uniqueId val="{00000001-211A-487B-A4E0-74C10934CA73}"/>
            </c:ext>
          </c:extLst>
        </c:ser>
        <c:ser>
          <c:idx val="2"/>
          <c:order val="2"/>
          <c:tx>
            <c:strRef>
              <c:f>'3.4 thuisladen oprit'!$M$198</c:f>
              <c:strCache>
                <c:ptCount val="1"/>
                <c:pt idx="0">
                  <c:v>2023</c:v>
                </c:pt>
              </c:strCache>
            </c:strRef>
          </c:tx>
          <c:spPr>
            <a:solidFill>
              <a:srgbClr val="C9C743"/>
            </a:solidFill>
          </c:spPr>
          <c:invertIfNegative val="0"/>
          <c:cat>
            <c:strRef>
              <c:f>'3.4 thuisladen oprit'!$J$199:$J$205</c:f>
              <c:strCache>
                <c:ptCount val="7"/>
                <c:pt idx="0">
                  <c:v>Weet ik niet</c:v>
                </c:pt>
                <c:pt idx="1">
                  <c:v>Geen van bovenstaande   </c:v>
                </c:pt>
                <c:pt idx="2">
                  <c:v>Bestuurbaar via een Home Energy Management Systeem </c:v>
                </c:pt>
                <c:pt idx="3">
                  <c:v>Energiemeter</c:v>
                </c:pt>
                <c:pt idx="4">
                  <c:v>Laadpaslezer (RFID)   </c:v>
                </c:pt>
                <c:pt idx="5">
                  <c:v>Slim laden functies, zoals ‘local load balancing’   </c:v>
                </c:pt>
                <c:pt idx="6">
                  <c:v>Internet/WIFI-functie   </c:v>
                </c:pt>
              </c:strCache>
            </c:strRef>
          </c:cat>
          <c:val>
            <c:numRef>
              <c:f>'3.4 thuisladen oprit'!$M$199:$M$205</c:f>
              <c:numCache>
                <c:formatCode>0%</c:formatCode>
                <c:ptCount val="7"/>
                <c:pt idx="0">
                  <c:v>4.3529411764705879E-2</c:v>
                </c:pt>
                <c:pt idx="1">
                  <c:v>0.11470588235294117</c:v>
                </c:pt>
                <c:pt idx="2">
                  <c:v>0.28294117647058825</c:v>
                </c:pt>
                <c:pt idx="3">
                  <c:v>0.46882352941176469</c:v>
                </c:pt>
                <c:pt idx="4">
                  <c:v>0.50705882352941178</c:v>
                </c:pt>
                <c:pt idx="5">
                  <c:v>0.55000000000000004</c:v>
                </c:pt>
                <c:pt idx="6">
                  <c:v>0.56941176470588239</c:v>
                </c:pt>
              </c:numCache>
            </c:numRef>
          </c:val>
          <c:extLst>
            <c:ext xmlns:c16="http://schemas.microsoft.com/office/drawing/2014/chart" uri="{C3380CC4-5D6E-409C-BE32-E72D297353CC}">
              <c16:uniqueId val="{00000002-211A-487B-A4E0-74C10934CA73}"/>
            </c:ext>
          </c:extLst>
        </c:ser>
        <c:ser>
          <c:idx val="3"/>
          <c:order val="3"/>
          <c:tx>
            <c:strRef>
              <c:f>'3.4 thuisladen oprit'!$N$198</c:f>
              <c:strCache>
                <c:ptCount val="1"/>
                <c:pt idx="0">
                  <c:v>2022</c:v>
                </c:pt>
              </c:strCache>
            </c:strRef>
          </c:tx>
          <c:spPr>
            <a:solidFill>
              <a:srgbClr val="08B466"/>
            </a:solidFill>
          </c:spPr>
          <c:invertIfNegative val="0"/>
          <c:cat>
            <c:strRef>
              <c:f>'3.4 thuisladen oprit'!$J$199:$J$205</c:f>
              <c:strCache>
                <c:ptCount val="7"/>
                <c:pt idx="0">
                  <c:v>Weet ik niet</c:v>
                </c:pt>
                <c:pt idx="1">
                  <c:v>Geen van bovenstaande   </c:v>
                </c:pt>
                <c:pt idx="2">
                  <c:v>Bestuurbaar via een Home Energy Management Systeem </c:v>
                </c:pt>
                <c:pt idx="3">
                  <c:v>Energiemeter</c:v>
                </c:pt>
                <c:pt idx="4">
                  <c:v>Laadpaslezer (RFID)   </c:v>
                </c:pt>
                <c:pt idx="5">
                  <c:v>Slim laden functies, zoals ‘local load balancing’   </c:v>
                </c:pt>
                <c:pt idx="6">
                  <c:v>Internet/WIFI-functie   </c:v>
                </c:pt>
              </c:strCache>
            </c:strRef>
          </c:cat>
          <c:val>
            <c:numRef>
              <c:f>'3.4 thuisladen oprit'!$N$199:$N$205</c:f>
              <c:numCache>
                <c:formatCode>0%</c:formatCode>
                <c:ptCount val="7"/>
                <c:pt idx="0">
                  <c:v>0.05</c:v>
                </c:pt>
                <c:pt idx="1">
                  <c:v>0.11</c:v>
                </c:pt>
                <c:pt idx="2">
                  <c:v>0.22</c:v>
                </c:pt>
                <c:pt idx="3">
                  <c:v>0.43</c:v>
                </c:pt>
                <c:pt idx="4">
                  <c:v>0.54</c:v>
                </c:pt>
                <c:pt idx="5">
                  <c:v>0.54</c:v>
                </c:pt>
                <c:pt idx="6">
                  <c:v>0.51</c:v>
                </c:pt>
              </c:numCache>
            </c:numRef>
          </c:val>
          <c:extLst>
            <c:ext xmlns:c16="http://schemas.microsoft.com/office/drawing/2014/chart" uri="{C3380CC4-5D6E-409C-BE32-E72D297353CC}">
              <c16:uniqueId val="{00000003-211A-487B-A4E0-74C10934CA73}"/>
            </c:ext>
          </c:extLst>
        </c:ser>
        <c:ser>
          <c:idx val="4"/>
          <c:order val="4"/>
          <c:tx>
            <c:strRef>
              <c:f>'3.4 thuisladen oprit'!$O$198</c:f>
              <c:strCache>
                <c:ptCount val="1"/>
                <c:pt idx="0">
                  <c:v>2021</c:v>
                </c:pt>
              </c:strCache>
            </c:strRef>
          </c:tx>
          <c:spPr>
            <a:solidFill>
              <a:srgbClr val="2C307E"/>
            </a:solidFill>
          </c:spPr>
          <c:invertIfNegative val="0"/>
          <c:cat>
            <c:strRef>
              <c:f>'3.4 thuisladen oprit'!$J$199:$J$205</c:f>
              <c:strCache>
                <c:ptCount val="7"/>
                <c:pt idx="0">
                  <c:v>Weet ik niet</c:v>
                </c:pt>
                <c:pt idx="1">
                  <c:v>Geen van bovenstaande   </c:v>
                </c:pt>
                <c:pt idx="2">
                  <c:v>Bestuurbaar via een Home Energy Management Systeem </c:v>
                </c:pt>
                <c:pt idx="3">
                  <c:v>Energiemeter</c:v>
                </c:pt>
                <c:pt idx="4">
                  <c:v>Laadpaslezer (RFID)   </c:v>
                </c:pt>
                <c:pt idx="5">
                  <c:v>Slim laden functies, zoals ‘local load balancing’   </c:v>
                </c:pt>
                <c:pt idx="6">
                  <c:v>Internet/WIFI-functie   </c:v>
                </c:pt>
              </c:strCache>
            </c:strRef>
          </c:cat>
          <c:val>
            <c:numRef>
              <c:f>'3.4 thuisladen oprit'!$O$199:$O$205</c:f>
              <c:numCache>
                <c:formatCode>General</c:formatCode>
                <c:ptCount val="7"/>
                <c:pt idx="0" formatCode="0%">
                  <c:v>0.02</c:v>
                </c:pt>
                <c:pt idx="2" formatCode="0%">
                  <c:v>0.21</c:v>
                </c:pt>
                <c:pt idx="3" formatCode="0%">
                  <c:v>0.42</c:v>
                </c:pt>
                <c:pt idx="4" formatCode="0%">
                  <c:v>0.43</c:v>
                </c:pt>
                <c:pt idx="5" formatCode="0%">
                  <c:v>0.41</c:v>
                </c:pt>
                <c:pt idx="6" formatCode="0%">
                  <c:v>0.41</c:v>
                </c:pt>
              </c:numCache>
            </c:numRef>
          </c:val>
          <c:extLst>
            <c:ext xmlns:c16="http://schemas.microsoft.com/office/drawing/2014/chart" uri="{C3380CC4-5D6E-409C-BE32-E72D297353CC}">
              <c16:uniqueId val="{00000004-211A-487B-A4E0-74C10934CA73}"/>
            </c:ext>
          </c:extLst>
        </c:ser>
        <c:dLbls>
          <c:showLegendKey val="0"/>
          <c:showVal val="0"/>
          <c:showCatName val="0"/>
          <c:showSerName val="0"/>
          <c:showPercent val="0"/>
          <c:showBubbleSize val="0"/>
        </c:dLbls>
        <c:gapWidth val="219"/>
        <c:axId val="656388416"/>
        <c:axId val="656385896"/>
      </c:barChart>
      <c:catAx>
        <c:axId val="65638841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2C307E"/>
                </a:solidFill>
                <a:latin typeface="+mn-lt"/>
                <a:ea typeface="+mn-ea"/>
                <a:cs typeface="+mn-cs"/>
              </a:defRPr>
            </a:pPr>
            <a:endParaRPr lang="nl-NL"/>
          </a:p>
        </c:txPr>
        <c:crossAx val="656385896"/>
        <c:crosses val="autoZero"/>
        <c:auto val="1"/>
        <c:lblAlgn val="ctr"/>
        <c:lblOffset val="100"/>
        <c:noMultiLvlLbl val="0"/>
      </c:catAx>
      <c:valAx>
        <c:axId val="656385896"/>
        <c:scaling>
          <c:orientation val="minMax"/>
        </c:scaling>
        <c:delete val="0"/>
        <c:axPos val="b"/>
        <c:majorGridlines>
          <c:spPr>
            <a:ln>
              <a:solidFill>
                <a:srgbClr val="D9D9D9"/>
              </a:solidFill>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2C307E"/>
                </a:solidFill>
                <a:latin typeface="+mn-lt"/>
                <a:ea typeface="+mn-ea"/>
                <a:cs typeface="+mn-cs"/>
              </a:defRPr>
            </a:pPr>
            <a:endParaRPr lang="nl-NL"/>
          </a:p>
        </c:txPr>
        <c:crossAx val="656388416"/>
        <c:crosses val="autoZero"/>
        <c:crossBetween val="between"/>
        <c:majorUnit val="0.25"/>
      </c:valAx>
      <c:spPr>
        <a:noFill/>
        <a:ln>
          <a:noFill/>
        </a:ln>
      </c:spPr>
    </c:plotArea>
    <c:legend>
      <c:legendPos val="b"/>
      <c:overlay val="0"/>
      <c:txPr>
        <a:bodyPr/>
        <a:lstStyle/>
        <a:p>
          <a:pPr>
            <a:defRPr sz="900">
              <a:solidFill>
                <a:srgbClr val="2C307E"/>
              </a:solidFill>
            </a:defRPr>
          </a:pPr>
          <a:endParaRPr lang="nl-NL"/>
        </a:p>
      </c:txPr>
    </c:legend>
    <c:plotVisOnly val="1"/>
    <c:dispBlanksAs val="gap"/>
    <c:showDLblsOverMax val="0"/>
    <c:extLst/>
  </c:chart>
  <c:spPr>
    <a:noFill/>
    <a:ln>
      <a:noFill/>
    </a:ln>
  </c:spPr>
  <c:txPr>
    <a:bodyPr/>
    <a:lstStyle/>
    <a:p>
      <a:pPr>
        <a:defRPr/>
      </a:pPr>
      <a:endParaRPr lang="nl-NL"/>
    </a:p>
  </c:txPr>
  <c:externalData r:id="rId1">
    <c:autoUpdate val="0"/>
  </c:externalData>
</c:chartSpace>
</file>

<file path=word/charts/chart9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rgbClr val="2C307E"/>
                </a:solidFill>
                <a:latin typeface="+mn-lt"/>
                <a:ea typeface="+mn-ea"/>
                <a:cs typeface="+mn-cs"/>
              </a:defRPr>
            </a:pPr>
            <a:r>
              <a:rPr lang="nl-NL" sz="1100"/>
              <a:t>Hoe pas je slim laden thuis toe? </a:t>
            </a:r>
          </a:p>
        </c:rich>
      </c:tx>
      <c:layout>
        <c:manualLayout>
          <c:xMode val="edge"/>
          <c:yMode val="edge"/>
          <c:x val="0.13158756877054645"/>
          <c:y val="0"/>
        </c:manualLayout>
      </c:layout>
      <c:overlay val="0"/>
      <c:spPr>
        <a:noFill/>
        <a:ln>
          <a:noFill/>
        </a:ln>
        <a:effectLst/>
      </c:spPr>
      <c:txPr>
        <a:bodyPr rot="0" spcFirstLastPara="1" vertOverflow="ellipsis" vert="horz" wrap="square" anchor="ctr" anchorCtr="1"/>
        <a:lstStyle/>
        <a:p>
          <a:pPr>
            <a:defRPr sz="1100" b="0" i="0" u="none" strike="noStrike" kern="1200" spc="0" baseline="0">
              <a:solidFill>
                <a:srgbClr val="2C307E"/>
              </a:solidFill>
              <a:latin typeface="+mn-lt"/>
              <a:ea typeface="+mn-ea"/>
              <a:cs typeface="+mn-cs"/>
            </a:defRPr>
          </a:pPr>
          <a:endParaRPr lang="en-NL"/>
        </a:p>
      </c:txPr>
    </c:title>
    <c:autoTitleDeleted val="0"/>
    <c:plotArea>
      <c:layout>
        <c:manualLayout>
          <c:layoutTarget val="inner"/>
          <c:xMode val="edge"/>
          <c:yMode val="edge"/>
          <c:x val="0.45980185045018584"/>
          <c:y val="0.13058023891320236"/>
          <c:w val="0.46340484340461746"/>
          <c:h val="0.73264210068442681"/>
        </c:manualLayout>
      </c:layout>
      <c:barChart>
        <c:barDir val="bar"/>
        <c:grouping val="clustered"/>
        <c:varyColors val="0"/>
        <c:ser>
          <c:idx val="0"/>
          <c:order val="0"/>
          <c:spPr>
            <a:solidFill>
              <a:srgbClr val="C9C743"/>
            </a:solidFill>
            <a:ln>
              <a:noFill/>
            </a:ln>
            <a:effectLst/>
          </c:spPr>
          <c:invertIfNegative val="0"/>
          <c:dLbls>
            <c:spPr>
              <a:noFill/>
              <a:ln>
                <a:noFill/>
              </a:ln>
              <a:effectLst/>
            </c:spPr>
            <c:txPr>
              <a:bodyPr rot="0" spcFirstLastPara="1" vertOverflow="ellipsis" vert="horz" wrap="square" anchor="ctr" anchorCtr="1"/>
              <a:lstStyle/>
              <a:p>
                <a:pPr>
                  <a:defRPr sz="800" b="1" i="0" u="none" strike="noStrike" kern="1200" baseline="0">
                    <a:solidFill>
                      <a:srgbClr val="08B466"/>
                    </a:solidFill>
                    <a:latin typeface="+mn-lt"/>
                    <a:ea typeface="+mn-ea"/>
                    <a:cs typeface="+mn-cs"/>
                  </a:defRPr>
                </a:pPr>
                <a:endParaRPr lang="en-N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Figuren!$A$524:$A$527</c:f>
              <c:strCache>
                <c:ptCount val="4"/>
                <c:pt idx="0">
                  <c:v>Handmatig aansluiten aan de laadpaal</c:v>
                </c:pt>
                <c:pt idx="1">
                  <c:v>Instellingen van de laadpaal</c:v>
                </c:pt>
                <c:pt idx="2">
                  <c:v>Instellingen in de auto</c:v>
                </c:pt>
                <c:pt idx="3">
                  <c:v>Een app van een derde partij</c:v>
                </c:pt>
              </c:strCache>
            </c:strRef>
          </c:cat>
          <c:val>
            <c:numRef>
              <c:f>Figuren!$C$524:$C$527</c:f>
              <c:numCache>
                <c:formatCode>0%</c:formatCode>
                <c:ptCount val="4"/>
                <c:pt idx="0">
                  <c:v>0.48771266540642721</c:v>
                </c:pt>
                <c:pt idx="1">
                  <c:v>0.34782608695652173</c:v>
                </c:pt>
                <c:pt idx="2">
                  <c:v>0.28166351606805295</c:v>
                </c:pt>
                <c:pt idx="3">
                  <c:v>0.25015752993068685</c:v>
                </c:pt>
              </c:numCache>
            </c:numRef>
          </c:val>
          <c:extLst>
            <c:ext xmlns:c16="http://schemas.microsoft.com/office/drawing/2014/chart" uri="{C3380CC4-5D6E-409C-BE32-E72D297353CC}">
              <c16:uniqueId val="{00000000-5EB1-4BCE-831D-871FED274A4E}"/>
            </c:ext>
          </c:extLst>
        </c:ser>
        <c:dLbls>
          <c:dLblPos val="outEnd"/>
          <c:showLegendKey val="0"/>
          <c:showVal val="1"/>
          <c:showCatName val="0"/>
          <c:showSerName val="0"/>
          <c:showPercent val="0"/>
          <c:showBubbleSize val="0"/>
        </c:dLbls>
        <c:gapWidth val="219"/>
        <c:axId val="1934380511"/>
        <c:axId val="1934390111"/>
      </c:barChart>
      <c:catAx>
        <c:axId val="1934380511"/>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2C307E"/>
                </a:solidFill>
                <a:latin typeface="+mn-lt"/>
                <a:ea typeface="+mn-ea"/>
                <a:cs typeface="+mn-cs"/>
              </a:defRPr>
            </a:pPr>
            <a:endParaRPr lang="en-NL"/>
          </a:p>
        </c:txPr>
        <c:crossAx val="1934390111"/>
        <c:crosses val="autoZero"/>
        <c:auto val="1"/>
        <c:lblAlgn val="ctr"/>
        <c:lblOffset val="100"/>
        <c:noMultiLvlLbl val="0"/>
      </c:catAx>
      <c:valAx>
        <c:axId val="1934390111"/>
        <c:scaling>
          <c:orientation val="minMax"/>
          <c:max val="0.5"/>
          <c:min val="0"/>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2C307E"/>
                </a:solidFill>
                <a:latin typeface="+mn-lt"/>
                <a:ea typeface="+mn-ea"/>
                <a:cs typeface="+mn-cs"/>
              </a:defRPr>
            </a:pPr>
            <a:endParaRPr lang="en-NL"/>
          </a:p>
        </c:txPr>
        <c:crossAx val="1934380511"/>
        <c:crosses val="autoZero"/>
        <c:crossBetween val="between"/>
        <c:majorUnit val="0.2"/>
      </c:valAx>
      <c:spPr>
        <a:noFill/>
        <a:ln>
          <a:noFill/>
        </a:ln>
        <a:effectLst/>
      </c:spPr>
    </c:plotArea>
    <c:plotVisOnly val="1"/>
    <c:dispBlanksAs val="gap"/>
    <c:showDLblsOverMax val="0"/>
  </c:chart>
  <c:spPr>
    <a:noFill/>
    <a:ln w="9525" cap="flat" cmpd="sng" algn="ctr">
      <a:noFill/>
      <a:round/>
    </a:ln>
    <a:effectLst/>
  </c:spPr>
  <c:txPr>
    <a:bodyPr/>
    <a:lstStyle/>
    <a:p>
      <a:pPr>
        <a:defRPr>
          <a:solidFill>
            <a:srgbClr val="2C307E"/>
          </a:solidFill>
        </a:defRPr>
      </a:pPr>
      <a:endParaRPr lang="en-NL"/>
    </a:p>
  </c:txPr>
  <c:externalData r:id="rId3">
    <c:autoUpdate val="0"/>
  </c:externalData>
</c:chartSpace>
</file>

<file path=word/charts/chart9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rgbClr val="2C307E"/>
                </a:solidFill>
                <a:latin typeface="+mn-lt"/>
                <a:ea typeface="+mn-ea"/>
                <a:cs typeface="+mn-cs"/>
              </a:defRPr>
            </a:pPr>
            <a:r>
              <a:rPr lang="nl-NL" sz="1100"/>
              <a:t>Hoeveel % van je laadsessies thuis zijn slim? </a:t>
            </a:r>
          </a:p>
        </c:rich>
      </c:tx>
      <c:overlay val="0"/>
      <c:spPr>
        <a:noFill/>
        <a:ln>
          <a:noFill/>
        </a:ln>
        <a:effectLst/>
      </c:spPr>
      <c:txPr>
        <a:bodyPr rot="0" spcFirstLastPara="1" vertOverflow="ellipsis" vert="horz" wrap="square" anchor="ctr" anchorCtr="1"/>
        <a:lstStyle/>
        <a:p>
          <a:pPr>
            <a:defRPr sz="1100" b="0" i="0" u="none" strike="noStrike" kern="1200" spc="0" baseline="0">
              <a:solidFill>
                <a:srgbClr val="2C307E"/>
              </a:solidFill>
              <a:latin typeface="+mn-lt"/>
              <a:ea typeface="+mn-ea"/>
              <a:cs typeface="+mn-cs"/>
            </a:defRPr>
          </a:pPr>
          <a:endParaRPr lang="en-NL"/>
        </a:p>
      </c:txPr>
    </c:title>
    <c:autoTitleDeleted val="0"/>
    <c:plotArea>
      <c:layout/>
      <c:barChart>
        <c:barDir val="col"/>
        <c:grouping val="clustered"/>
        <c:varyColors val="0"/>
        <c:ser>
          <c:idx val="0"/>
          <c:order val="0"/>
          <c:spPr>
            <a:solidFill>
              <a:srgbClr val="C9C743"/>
            </a:solidFill>
            <a:ln>
              <a:noFill/>
            </a:ln>
            <a:effectLst/>
          </c:spPr>
          <c:invertIfNegative val="0"/>
          <c:dLbls>
            <c:spPr>
              <a:noFill/>
              <a:ln>
                <a:noFill/>
              </a:ln>
              <a:effectLst/>
            </c:spPr>
            <c:txPr>
              <a:bodyPr rot="0" spcFirstLastPara="1" vertOverflow="ellipsis" vert="horz" wrap="square" anchor="ctr" anchorCtr="1"/>
              <a:lstStyle/>
              <a:p>
                <a:pPr>
                  <a:defRPr sz="800" b="1" i="0" u="none" strike="noStrike" kern="1200" baseline="0">
                    <a:solidFill>
                      <a:srgbClr val="08B466"/>
                    </a:solidFill>
                    <a:latin typeface="+mn-lt"/>
                    <a:ea typeface="+mn-ea"/>
                    <a:cs typeface="+mn-cs"/>
                  </a:defRPr>
                </a:pPr>
                <a:endParaRPr lang="en-N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Figuren!$B$543:$K$543</c:f>
              <c:strCache>
                <c:ptCount val="10"/>
                <c:pt idx="0">
                  <c:v>0 tot 10</c:v>
                </c:pt>
                <c:pt idx="1">
                  <c:v>10 tot 20</c:v>
                </c:pt>
                <c:pt idx="2">
                  <c:v>20 tot 30</c:v>
                </c:pt>
                <c:pt idx="3">
                  <c:v>30 to 40</c:v>
                </c:pt>
                <c:pt idx="4">
                  <c:v>40 tot 50</c:v>
                </c:pt>
                <c:pt idx="5">
                  <c:v>50 tot 60</c:v>
                </c:pt>
                <c:pt idx="6">
                  <c:v>60 tot 70</c:v>
                </c:pt>
                <c:pt idx="7">
                  <c:v>70 tot 80</c:v>
                </c:pt>
                <c:pt idx="8">
                  <c:v>80 tot 90</c:v>
                </c:pt>
                <c:pt idx="9">
                  <c:v>90 tot 100</c:v>
                </c:pt>
              </c:strCache>
            </c:strRef>
          </c:cat>
          <c:val>
            <c:numRef>
              <c:f>Figuren!$B$545:$K$545</c:f>
              <c:numCache>
                <c:formatCode>0%</c:formatCode>
                <c:ptCount val="10"/>
                <c:pt idx="0">
                  <c:v>1.9961365099806824E-2</c:v>
                </c:pt>
                <c:pt idx="1">
                  <c:v>2.06052801030264E-2</c:v>
                </c:pt>
                <c:pt idx="2">
                  <c:v>2.3824855119124275E-2</c:v>
                </c:pt>
                <c:pt idx="3">
                  <c:v>3.4771410173857049E-2</c:v>
                </c:pt>
                <c:pt idx="4">
                  <c:v>3.1551835157759174E-2</c:v>
                </c:pt>
                <c:pt idx="5">
                  <c:v>5.280103026400515E-2</c:v>
                </c:pt>
                <c:pt idx="6">
                  <c:v>6.1171925305859624E-2</c:v>
                </c:pt>
                <c:pt idx="7">
                  <c:v>0.11783644558918223</c:v>
                </c:pt>
                <c:pt idx="8">
                  <c:v>0.21249195106245974</c:v>
                </c:pt>
                <c:pt idx="9">
                  <c:v>0.42498390212491949</c:v>
                </c:pt>
              </c:numCache>
            </c:numRef>
          </c:val>
          <c:extLst>
            <c:ext xmlns:c16="http://schemas.microsoft.com/office/drawing/2014/chart" uri="{C3380CC4-5D6E-409C-BE32-E72D297353CC}">
              <c16:uniqueId val="{00000000-4CCA-4AEC-B9E0-0ED5AB279C3E}"/>
            </c:ext>
          </c:extLst>
        </c:ser>
        <c:dLbls>
          <c:showLegendKey val="0"/>
          <c:showVal val="0"/>
          <c:showCatName val="0"/>
          <c:showSerName val="0"/>
          <c:showPercent val="0"/>
          <c:showBubbleSize val="0"/>
        </c:dLbls>
        <c:gapWidth val="219"/>
        <c:overlap val="-27"/>
        <c:axId val="1992469392"/>
        <c:axId val="1992469872"/>
      </c:barChart>
      <c:catAx>
        <c:axId val="1992469392"/>
        <c:scaling>
          <c:orientation val="minMax"/>
        </c:scaling>
        <c:delete val="0"/>
        <c:axPos val="b"/>
        <c:title>
          <c:tx>
            <c:rich>
              <a:bodyPr rot="0" spcFirstLastPara="1" vertOverflow="ellipsis" vert="horz" wrap="square" anchor="ctr" anchorCtr="1"/>
              <a:lstStyle/>
              <a:p>
                <a:pPr>
                  <a:defRPr sz="900" b="0" i="0" u="none" strike="noStrike" kern="1200" baseline="0">
                    <a:solidFill>
                      <a:srgbClr val="2C307E"/>
                    </a:solidFill>
                    <a:latin typeface="+mn-lt"/>
                    <a:ea typeface="+mn-ea"/>
                    <a:cs typeface="+mn-cs"/>
                  </a:defRPr>
                </a:pPr>
                <a:r>
                  <a:rPr lang="nl-NL" sz="900"/>
                  <a:t>% van totaal aantal thuislaadsessies</a:t>
                </a:r>
              </a:p>
            </c:rich>
          </c:tx>
          <c:overlay val="0"/>
          <c:spPr>
            <a:noFill/>
            <a:ln>
              <a:noFill/>
            </a:ln>
            <a:effectLst/>
          </c:spPr>
          <c:txPr>
            <a:bodyPr rot="0" spcFirstLastPara="1" vertOverflow="ellipsis" vert="horz" wrap="square" anchor="ctr" anchorCtr="1"/>
            <a:lstStyle/>
            <a:p>
              <a:pPr>
                <a:defRPr sz="900" b="0" i="0" u="none" strike="noStrike" kern="1200" baseline="0">
                  <a:solidFill>
                    <a:srgbClr val="2C307E"/>
                  </a:solidFill>
                  <a:latin typeface="+mn-lt"/>
                  <a:ea typeface="+mn-ea"/>
                  <a:cs typeface="+mn-cs"/>
                </a:defRPr>
              </a:pPr>
              <a:endParaRPr lang="en-NL"/>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2C307E"/>
                </a:solidFill>
                <a:latin typeface="+mn-lt"/>
                <a:ea typeface="+mn-ea"/>
                <a:cs typeface="+mn-cs"/>
              </a:defRPr>
            </a:pPr>
            <a:endParaRPr lang="en-NL"/>
          </a:p>
        </c:txPr>
        <c:crossAx val="1992469872"/>
        <c:crosses val="autoZero"/>
        <c:auto val="1"/>
        <c:lblAlgn val="ctr"/>
        <c:lblOffset val="100"/>
        <c:noMultiLvlLbl val="0"/>
      </c:catAx>
      <c:valAx>
        <c:axId val="19924698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2C307E"/>
                </a:solidFill>
                <a:latin typeface="+mn-lt"/>
                <a:ea typeface="+mn-ea"/>
                <a:cs typeface="+mn-cs"/>
              </a:defRPr>
            </a:pPr>
            <a:endParaRPr lang="en-NL"/>
          </a:p>
        </c:txPr>
        <c:crossAx val="1992469392"/>
        <c:crosses val="autoZero"/>
        <c:crossBetween val="between"/>
        <c:majorUnit val="0.1"/>
      </c:valAx>
      <c:spPr>
        <a:noFill/>
        <a:ln>
          <a:noFill/>
        </a:ln>
        <a:effectLst/>
      </c:spPr>
    </c:plotArea>
    <c:plotVisOnly val="1"/>
    <c:dispBlanksAs val="gap"/>
    <c:showDLblsOverMax val="0"/>
  </c:chart>
  <c:spPr>
    <a:noFill/>
    <a:ln w="9525" cap="flat" cmpd="sng" algn="ctr">
      <a:noFill/>
      <a:round/>
    </a:ln>
    <a:effectLst/>
  </c:spPr>
  <c:txPr>
    <a:bodyPr/>
    <a:lstStyle/>
    <a:p>
      <a:pPr>
        <a:defRPr>
          <a:solidFill>
            <a:srgbClr val="2C307E"/>
          </a:solidFill>
        </a:defRPr>
      </a:pPr>
      <a:endParaRPr lang="en-NL"/>
    </a:p>
  </c:txPr>
  <c:externalData r:id="rId3">
    <c:autoUpdate val="0"/>
  </c:externalData>
</c:chartSpace>
</file>

<file path=word/charts/chart9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rgbClr val="2C307E"/>
                </a:solidFill>
                <a:latin typeface="+mn-lt"/>
                <a:ea typeface="+mn-ea"/>
                <a:cs typeface="+mn-cs"/>
              </a:defRPr>
            </a:pPr>
            <a:r>
              <a:rPr lang="nl-NL" sz="1100"/>
              <a:t>Ik laad bewust op tijdens uren dat ik zonnestroom opwek</a:t>
            </a:r>
          </a:p>
        </c:rich>
      </c:tx>
      <c:overlay val="0"/>
      <c:spPr>
        <a:noFill/>
        <a:ln>
          <a:noFill/>
        </a:ln>
        <a:effectLst/>
      </c:spPr>
      <c:txPr>
        <a:bodyPr rot="0" spcFirstLastPara="1" vertOverflow="ellipsis" vert="horz" wrap="square" anchor="ctr" anchorCtr="1"/>
        <a:lstStyle/>
        <a:p>
          <a:pPr>
            <a:defRPr sz="1100" b="0" i="0" u="none" strike="noStrike" kern="1200" spc="0" baseline="0">
              <a:solidFill>
                <a:srgbClr val="2C307E"/>
              </a:solidFill>
              <a:latin typeface="+mn-lt"/>
              <a:ea typeface="+mn-ea"/>
              <a:cs typeface="+mn-cs"/>
            </a:defRPr>
          </a:pPr>
          <a:endParaRPr lang="nl-NL"/>
        </a:p>
      </c:txPr>
    </c:title>
    <c:autoTitleDeleted val="0"/>
    <c:plotArea>
      <c:layout/>
      <c:barChart>
        <c:barDir val="col"/>
        <c:grouping val="clustered"/>
        <c:varyColors val="0"/>
        <c:ser>
          <c:idx val="0"/>
          <c:order val="0"/>
          <c:spPr>
            <a:solidFill>
              <a:srgbClr val="C9C74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rgbClr val="08B466"/>
                    </a:solidFill>
                    <a:latin typeface="+mn-lt"/>
                    <a:ea typeface="+mn-ea"/>
                    <a:cs typeface="+mn-cs"/>
                  </a:defRPr>
                </a:pPr>
                <a:endParaRPr lang="en-N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Figuren!$E$611:$E$614</c:f>
              <c:strCache>
                <c:ptCount val="4"/>
                <c:pt idx="0">
                  <c:v>Nooit</c:v>
                </c:pt>
                <c:pt idx="1">
                  <c:v>Soms</c:v>
                </c:pt>
                <c:pt idx="2">
                  <c:v>Vaak</c:v>
                </c:pt>
                <c:pt idx="3">
                  <c:v>Altijd</c:v>
                </c:pt>
              </c:strCache>
            </c:strRef>
          </c:cat>
          <c:val>
            <c:numRef>
              <c:f>Figuren!$F$611:$F$614</c:f>
              <c:numCache>
                <c:formatCode>0%</c:formatCode>
                <c:ptCount val="4"/>
                <c:pt idx="0">
                  <c:v>4.2302357836338421E-2</c:v>
                </c:pt>
                <c:pt idx="1">
                  <c:v>0.15672676837725383</c:v>
                </c:pt>
                <c:pt idx="2">
                  <c:v>0.50624133148404993</c:v>
                </c:pt>
                <c:pt idx="3">
                  <c:v>0.29472954230235782</c:v>
                </c:pt>
              </c:numCache>
            </c:numRef>
          </c:val>
          <c:extLst>
            <c:ext xmlns:c16="http://schemas.microsoft.com/office/drawing/2014/chart" uri="{C3380CC4-5D6E-409C-BE32-E72D297353CC}">
              <c16:uniqueId val="{00000000-A870-4E9F-A728-76B88F25C116}"/>
            </c:ext>
          </c:extLst>
        </c:ser>
        <c:dLbls>
          <c:showLegendKey val="0"/>
          <c:showVal val="0"/>
          <c:showCatName val="0"/>
          <c:showSerName val="0"/>
          <c:showPercent val="0"/>
          <c:showBubbleSize val="0"/>
        </c:dLbls>
        <c:gapWidth val="219"/>
        <c:overlap val="-27"/>
        <c:axId val="1847604319"/>
        <c:axId val="1847606719"/>
      </c:barChart>
      <c:catAx>
        <c:axId val="184760431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2C307E"/>
                </a:solidFill>
                <a:latin typeface="+mn-lt"/>
                <a:ea typeface="+mn-ea"/>
                <a:cs typeface="+mn-cs"/>
              </a:defRPr>
            </a:pPr>
            <a:endParaRPr lang="en-NL"/>
          </a:p>
        </c:txPr>
        <c:crossAx val="1847606719"/>
        <c:crosses val="autoZero"/>
        <c:auto val="1"/>
        <c:lblAlgn val="ctr"/>
        <c:lblOffset val="100"/>
        <c:noMultiLvlLbl val="0"/>
      </c:catAx>
      <c:valAx>
        <c:axId val="1847606719"/>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2C307E"/>
                </a:solidFill>
                <a:latin typeface="+mn-lt"/>
                <a:ea typeface="+mn-ea"/>
                <a:cs typeface="+mn-cs"/>
              </a:defRPr>
            </a:pPr>
            <a:endParaRPr lang="en-NL"/>
          </a:p>
        </c:txPr>
        <c:crossAx val="1847604319"/>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a:solidFill>
            <a:srgbClr val="2C307E"/>
          </a:solidFill>
        </a:defRPr>
      </a:pPr>
      <a:endParaRPr lang="en-NL"/>
    </a:p>
  </c:txPr>
  <c:externalData r:id="rId3">
    <c:autoUpdate val="0"/>
  </c:externalData>
</c:chartSpace>
</file>

<file path=word/charts/chart9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rgbClr val="2C307E"/>
                </a:solidFill>
                <a:latin typeface="+mn-lt"/>
                <a:ea typeface="+mn-ea"/>
                <a:cs typeface="+mn-cs"/>
              </a:defRPr>
            </a:pPr>
            <a:r>
              <a:rPr lang="nl-NL" sz="1100"/>
              <a:t>Slim laden</a:t>
            </a:r>
            <a:r>
              <a:rPr lang="nl-NL" sz="1100" baseline="0"/>
              <a:t> openbaar</a:t>
            </a:r>
            <a:endParaRPr lang="nl-NL" sz="1100"/>
          </a:p>
        </c:rich>
      </c:tx>
      <c:overlay val="0"/>
      <c:spPr>
        <a:noFill/>
        <a:ln>
          <a:noFill/>
        </a:ln>
        <a:effectLst/>
      </c:spPr>
      <c:txPr>
        <a:bodyPr rot="0" spcFirstLastPara="1" vertOverflow="ellipsis" vert="horz" wrap="square" anchor="ctr" anchorCtr="1"/>
        <a:lstStyle/>
        <a:p>
          <a:pPr>
            <a:defRPr sz="1100" b="0" i="0" u="none" strike="noStrike" kern="1200" spc="0" baseline="0">
              <a:solidFill>
                <a:srgbClr val="2C307E"/>
              </a:solidFill>
              <a:latin typeface="+mn-lt"/>
              <a:ea typeface="+mn-ea"/>
              <a:cs typeface="+mn-cs"/>
            </a:defRPr>
          </a:pPr>
          <a:endParaRPr lang="nl-NL"/>
        </a:p>
      </c:txPr>
    </c:title>
    <c:autoTitleDeleted val="0"/>
    <c:plotArea>
      <c:layout/>
      <c:barChart>
        <c:barDir val="bar"/>
        <c:grouping val="percentStacked"/>
        <c:varyColors val="0"/>
        <c:ser>
          <c:idx val="0"/>
          <c:order val="0"/>
          <c:tx>
            <c:strRef>
              <c:f>Testsheet!$C$643</c:f>
              <c:strCache>
                <c:ptCount val="1"/>
                <c:pt idx="0">
                  <c:v>Gebruik ik</c:v>
                </c:pt>
              </c:strCache>
            </c:strRef>
          </c:tx>
          <c:spPr>
            <a:solidFill>
              <a:srgbClr val="2C307E"/>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bg1"/>
                    </a:solidFill>
                    <a:latin typeface="+mn-lt"/>
                    <a:ea typeface="+mn-ea"/>
                    <a:cs typeface="+mn-cs"/>
                  </a:defRPr>
                </a:pPr>
                <a:endParaRPr lang="en-N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Testsheet!$A$666:$B$673</c:f>
              <c:multiLvlStrCache>
                <c:ptCount val="8"/>
                <c:lvl>
                  <c:pt idx="0">
                    <c:v>2024</c:v>
                  </c:pt>
                  <c:pt idx="1">
                    <c:v>2025</c:v>
                  </c:pt>
                  <c:pt idx="2">
                    <c:v>2024</c:v>
                  </c:pt>
                  <c:pt idx="3">
                    <c:v>2025</c:v>
                  </c:pt>
                  <c:pt idx="4">
                    <c:v>2024</c:v>
                  </c:pt>
                  <c:pt idx="5">
                    <c:v>2025</c:v>
                  </c:pt>
                  <c:pt idx="6">
                    <c:v>2024</c:v>
                  </c:pt>
                  <c:pt idx="7">
                    <c:v>2025</c:v>
                  </c:pt>
                </c:lvl>
                <c:lvl>
                  <c:pt idx="0">
                    <c:v>Bidirectioneel laden</c:v>
                  </c:pt>
                  <c:pt idx="2">
                    <c:v>Laden o.b.v. netcapaciteit</c:v>
                  </c:pt>
                  <c:pt idx="4">
                    <c:v>Laden op basis van dynamische stroomtarieven</c:v>
                  </c:pt>
                  <c:pt idx="6">
                    <c:v>Laden op duurzame opwek (zon en wind)</c:v>
                  </c:pt>
                </c:lvl>
              </c:multiLvlStrCache>
            </c:multiLvlStrRef>
          </c:cat>
          <c:val>
            <c:numRef>
              <c:f>Testsheet!$C$666:$C$673</c:f>
              <c:numCache>
                <c:formatCode>0%</c:formatCode>
                <c:ptCount val="8"/>
                <c:pt idx="0">
                  <c:v>1.0509721492380452E-2</c:v>
                </c:pt>
                <c:pt idx="1">
                  <c:v>3.3165829145728645E-2</c:v>
                </c:pt>
                <c:pt idx="2">
                  <c:v>8.9332632685233837E-2</c:v>
                </c:pt>
                <c:pt idx="3">
                  <c:v>9.3467336683417085E-2</c:v>
                </c:pt>
                <c:pt idx="4">
                  <c:v>2.5748817656332107E-2</c:v>
                </c:pt>
                <c:pt idx="5">
                  <c:v>5.5778894472361812E-2</c:v>
                </c:pt>
                <c:pt idx="6">
                  <c:v>0.12348922753547031</c:v>
                </c:pt>
                <c:pt idx="7">
                  <c:v>6.733668341708543E-2</c:v>
                </c:pt>
              </c:numCache>
            </c:numRef>
          </c:val>
          <c:extLst>
            <c:ext xmlns:c16="http://schemas.microsoft.com/office/drawing/2014/chart" uri="{C3380CC4-5D6E-409C-BE32-E72D297353CC}">
              <c16:uniqueId val="{00000000-5E83-449B-9D8B-B5F1541711FA}"/>
            </c:ext>
          </c:extLst>
        </c:ser>
        <c:ser>
          <c:idx val="1"/>
          <c:order val="1"/>
          <c:tx>
            <c:strRef>
              <c:f>Testsheet!$D$643</c:f>
              <c:strCache>
                <c:ptCount val="1"/>
                <c:pt idx="0">
                  <c:v>Wil ik gebruiken</c:v>
                </c:pt>
              </c:strCache>
            </c:strRef>
          </c:tx>
          <c:spPr>
            <a:solidFill>
              <a:srgbClr val="08B46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bg1"/>
                    </a:solidFill>
                    <a:latin typeface="+mn-lt"/>
                    <a:ea typeface="+mn-ea"/>
                    <a:cs typeface="+mn-cs"/>
                  </a:defRPr>
                </a:pPr>
                <a:endParaRPr lang="en-N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Testsheet!$A$666:$B$673</c:f>
              <c:multiLvlStrCache>
                <c:ptCount val="8"/>
                <c:lvl>
                  <c:pt idx="0">
                    <c:v>2024</c:v>
                  </c:pt>
                  <c:pt idx="1">
                    <c:v>2025</c:v>
                  </c:pt>
                  <c:pt idx="2">
                    <c:v>2024</c:v>
                  </c:pt>
                  <c:pt idx="3">
                    <c:v>2025</c:v>
                  </c:pt>
                  <c:pt idx="4">
                    <c:v>2024</c:v>
                  </c:pt>
                  <c:pt idx="5">
                    <c:v>2025</c:v>
                  </c:pt>
                  <c:pt idx="6">
                    <c:v>2024</c:v>
                  </c:pt>
                  <c:pt idx="7">
                    <c:v>2025</c:v>
                  </c:pt>
                </c:lvl>
                <c:lvl>
                  <c:pt idx="0">
                    <c:v>Bidirectioneel laden</c:v>
                  </c:pt>
                  <c:pt idx="2">
                    <c:v>Laden o.b.v. netcapaciteit</c:v>
                  </c:pt>
                  <c:pt idx="4">
                    <c:v>Laden op basis van dynamische stroomtarieven</c:v>
                  </c:pt>
                  <c:pt idx="6">
                    <c:v>Laden op duurzame opwek (zon en wind)</c:v>
                  </c:pt>
                </c:lvl>
              </c:multiLvlStrCache>
            </c:multiLvlStrRef>
          </c:cat>
          <c:val>
            <c:numRef>
              <c:f>Testsheet!$D$666:$D$673</c:f>
              <c:numCache>
                <c:formatCode>0%</c:formatCode>
                <c:ptCount val="8"/>
                <c:pt idx="0">
                  <c:v>0.10141881240147137</c:v>
                </c:pt>
                <c:pt idx="1">
                  <c:v>0.13969849246231156</c:v>
                </c:pt>
                <c:pt idx="2">
                  <c:v>0.15974776668418286</c:v>
                </c:pt>
                <c:pt idx="3">
                  <c:v>0.21608040201005024</c:v>
                </c:pt>
                <c:pt idx="4">
                  <c:v>0.19390436153441934</c:v>
                </c:pt>
                <c:pt idx="5">
                  <c:v>0.2492462311557789</c:v>
                </c:pt>
                <c:pt idx="6">
                  <c:v>0.22438255386232264</c:v>
                </c:pt>
                <c:pt idx="7">
                  <c:v>0.20703517587939699</c:v>
                </c:pt>
              </c:numCache>
            </c:numRef>
          </c:val>
          <c:extLst>
            <c:ext xmlns:c16="http://schemas.microsoft.com/office/drawing/2014/chart" uri="{C3380CC4-5D6E-409C-BE32-E72D297353CC}">
              <c16:uniqueId val="{00000001-5E83-449B-9D8B-B5F1541711FA}"/>
            </c:ext>
          </c:extLst>
        </c:ser>
        <c:ser>
          <c:idx val="2"/>
          <c:order val="2"/>
          <c:tx>
            <c:strRef>
              <c:f>Testsheet!$E$643</c:f>
              <c:strCache>
                <c:ptCount val="1"/>
                <c:pt idx="0">
                  <c:v>Niet</c:v>
                </c:pt>
              </c:strCache>
            </c:strRef>
          </c:tx>
          <c:spPr>
            <a:solidFill>
              <a:srgbClr val="C9C74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bg1"/>
                    </a:solidFill>
                    <a:latin typeface="+mn-lt"/>
                    <a:ea typeface="+mn-ea"/>
                    <a:cs typeface="+mn-cs"/>
                  </a:defRPr>
                </a:pPr>
                <a:endParaRPr lang="en-N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Testsheet!$A$666:$B$673</c:f>
              <c:multiLvlStrCache>
                <c:ptCount val="8"/>
                <c:lvl>
                  <c:pt idx="0">
                    <c:v>2024</c:v>
                  </c:pt>
                  <c:pt idx="1">
                    <c:v>2025</c:v>
                  </c:pt>
                  <c:pt idx="2">
                    <c:v>2024</c:v>
                  </c:pt>
                  <c:pt idx="3">
                    <c:v>2025</c:v>
                  </c:pt>
                  <c:pt idx="4">
                    <c:v>2024</c:v>
                  </c:pt>
                  <c:pt idx="5">
                    <c:v>2025</c:v>
                  </c:pt>
                  <c:pt idx="6">
                    <c:v>2024</c:v>
                  </c:pt>
                  <c:pt idx="7">
                    <c:v>2025</c:v>
                  </c:pt>
                </c:lvl>
                <c:lvl>
                  <c:pt idx="0">
                    <c:v>Bidirectioneel laden</c:v>
                  </c:pt>
                  <c:pt idx="2">
                    <c:v>Laden o.b.v. netcapaciteit</c:v>
                  </c:pt>
                  <c:pt idx="4">
                    <c:v>Laden op basis van dynamische stroomtarieven</c:v>
                  </c:pt>
                  <c:pt idx="6">
                    <c:v>Laden op duurzame opwek (zon en wind)</c:v>
                  </c:pt>
                </c:lvl>
              </c:multiLvlStrCache>
            </c:multiLvlStrRef>
          </c:cat>
          <c:val>
            <c:numRef>
              <c:f>Testsheet!$E$666:$E$673</c:f>
              <c:numCache>
                <c:formatCode>0%</c:formatCode>
                <c:ptCount val="8"/>
                <c:pt idx="0">
                  <c:v>0.88807146610614818</c:v>
                </c:pt>
                <c:pt idx="1">
                  <c:v>0.82713567839195978</c:v>
                </c:pt>
                <c:pt idx="2">
                  <c:v>0.75091960063058327</c:v>
                </c:pt>
                <c:pt idx="3">
                  <c:v>0.6904522613065327</c:v>
                </c:pt>
                <c:pt idx="4">
                  <c:v>0.78034682080924855</c:v>
                </c:pt>
                <c:pt idx="5">
                  <c:v>0.69497487437185923</c:v>
                </c:pt>
                <c:pt idx="6">
                  <c:v>0.65212821860220704</c:v>
                </c:pt>
                <c:pt idx="7">
                  <c:v>0.72562814070351755</c:v>
                </c:pt>
              </c:numCache>
            </c:numRef>
          </c:val>
          <c:extLst>
            <c:ext xmlns:c16="http://schemas.microsoft.com/office/drawing/2014/chart" uri="{C3380CC4-5D6E-409C-BE32-E72D297353CC}">
              <c16:uniqueId val="{00000002-5E83-449B-9D8B-B5F1541711FA}"/>
            </c:ext>
          </c:extLst>
        </c:ser>
        <c:dLbls>
          <c:dLblPos val="ctr"/>
          <c:showLegendKey val="0"/>
          <c:showVal val="1"/>
          <c:showCatName val="0"/>
          <c:showSerName val="0"/>
          <c:showPercent val="0"/>
          <c:showBubbleSize val="0"/>
        </c:dLbls>
        <c:gapWidth val="150"/>
        <c:overlap val="100"/>
        <c:axId val="315504831"/>
        <c:axId val="315500511"/>
      </c:barChart>
      <c:catAx>
        <c:axId val="315504831"/>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2C307E"/>
                </a:solidFill>
                <a:latin typeface="+mn-lt"/>
                <a:ea typeface="+mn-ea"/>
                <a:cs typeface="+mn-cs"/>
              </a:defRPr>
            </a:pPr>
            <a:endParaRPr lang="en-NL"/>
          </a:p>
        </c:txPr>
        <c:crossAx val="315500511"/>
        <c:crosses val="autoZero"/>
        <c:auto val="1"/>
        <c:lblAlgn val="ctr"/>
        <c:lblOffset val="100"/>
        <c:noMultiLvlLbl val="0"/>
      </c:catAx>
      <c:valAx>
        <c:axId val="315500511"/>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2C307E"/>
                </a:solidFill>
                <a:latin typeface="+mn-lt"/>
                <a:ea typeface="+mn-ea"/>
                <a:cs typeface="+mn-cs"/>
              </a:defRPr>
            </a:pPr>
            <a:endParaRPr lang="en-NL"/>
          </a:p>
        </c:txPr>
        <c:crossAx val="31550483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rgbClr val="2C307E"/>
              </a:solidFill>
              <a:latin typeface="+mn-lt"/>
              <a:ea typeface="+mn-ea"/>
              <a:cs typeface="+mn-cs"/>
            </a:defRPr>
          </a:pPr>
          <a:endParaRPr lang="en-NL"/>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a:pPr>
      <a:endParaRPr lang="en-NL"/>
    </a:p>
  </c:txPr>
  <c:externalData r:id="rId3">
    <c:autoUpdate val="0"/>
  </c:externalData>
</c:chartSpace>
</file>

<file path=word/charts/chart9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rgbClr val="2C307E"/>
                </a:solidFill>
                <a:latin typeface="+mn-lt"/>
                <a:ea typeface="+mn-ea"/>
                <a:cs typeface="+mn-cs"/>
              </a:defRPr>
            </a:pPr>
            <a:r>
              <a:rPr lang="nl-NL" sz="1100" b="0" i="0" u="none" strike="noStrike" baseline="0">
                <a:solidFill>
                  <a:srgbClr val="2C307E"/>
                </a:solidFill>
                <a:effectLst/>
              </a:rPr>
              <a:t>Hoe ervaar je de volgende vorm van slim laden bij een openbaar laadpunt? </a:t>
            </a:r>
            <a:r>
              <a:rPr lang="nl-NL" sz="1100" b="0" i="0" u="none" strike="noStrike" baseline="0">
                <a:solidFill>
                  <a:srgbClr val="2C307E"/>
                </a:solidFill>
              </a:rPr>
              <a:t> </a:t>
            </a:r>
            <a:endParaRPr lang="nl-NL" sz="1100">
              <a:solidFill>
                <a:srgbClr val="2C307E"/>
              </a:solidFill>
            </a:endParaRPr>
          </a:p>
        </c:rich>
      </c:tx>
      <c:overlay val="0"/>
      <c:spPr>
        <a:noFill/>
        <a:ln>
          <a:noFill/>
        </a:ln>
        <a:effectLst/>
      </c:spPr>
      <c:txPr>
        <a:bodyPr rot="0" spcFirstLastPara="1" vertOverflow="ellipsis" vert="horz" wrap="square" anchor="ctr" anchorCtr="1"/>
        <a:lstStyle/>
        <a:p>
          <a:pPr>
            <a:defRPr sz="1100" b="0" i="0" u="none" strike="noStrike" kern="1200" spc="0" baseline="0">
              <a:solidFill>
                <a:srgbClr val="2C307E"/>
              </a:solidFill>
              <a:latin typeface="+mn-lt"/>
              <a:ea typeface="+mn-ea"/>
              <a:cs typeface="+mn-cs"/>
            </a:defRPr>
          </a:pPr>
          <a:endParaRPr lang="nl-NL"/>
        </a:p>
      </c:txPr>
    </c:title>
    <c:autoTitleDeleted val="0"/>
    <c:plotArea>
      <c:layout>
        <c:manualLayout>
          <c:layoutTarget val="inner"/>
          <c:xMode val="edge"/>
          <c:yMode val="edge"/>
          <c:x val="0.45528191687660274"/>
          <c:y val="0.23415798831597665"/>
          <c:w val="0.44879517391746404"/>
          <c:h val="0.44892459176135907"/>
        </c:manualLayout>
      </c:layout>
      <c:barChart>
        <c:barDir val="bar"/>
        <c:grouping val="stacked"/>
        <c:varyColors val="0"/>
        <c:ser>
          <c:idx val="0"/>
          <c:order val="0"/>
          <c:tx>
            <c:strRef>
              <c:f>Figuren!$B$426</c:f>
              <c:strCache>
                <c:ptCount val="1"/>
                <c:pt idx="0">
                  <c:v>zeer negatief</c:v>
                </c:pt>
              </c:strCache>
            </c:strRef>
          </c:tx>
          <c:spPr>
            <a:solidFill>
              <a:srgbClr val="2C307E"/>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N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Figuren!$A$428:$A$429</c:f>
              <c:strCache>
                <c:ptCount val="2"/>
                <c:pt idx="0">
                  <c:v>Laden op basis van netcapaciteit [N=205]</c:v>
                </c:pt>
                <c:pt idx="1">
                  <c:v>Laden op basis van dynamische stroomtarieven [N=122]</c:v>
                </c:pt>
              </c:strCache>
            </c:strRef>
          </c:cat>
          <c:val>
            <c:numRef>
              <c:f>Figuren!$B$428:$B$429</c:f>
              <c:numCache>
                <c:formatCode>0%</c:formatCode>
                <c:ptCount val="2"/>
                <c:pt idx="0">
                  <c:v>5.3658536585365853E-2</c:v>
                </c:pt>
                <c:pt idx="1">
                  <c:v>6.5573770491803282E-2</c:v>
                </c:pt>
              </c:numCache>
            </c:numRef>
          </c:val>
          <c:extLst>
            <c:ext xmlns:c16="http://schemas.microsoft.com/office/drawing/2014/chart" uri="{C3380CC4-5D6E-409C-BE32-E72D297353CC}">
              <c16:uniqueId val="{00000000-3934-4CD8-963C-6E8810B34CB8}"/>
            </c:ext>
          </c:extLst>
        </c:ser>
        <c:ser>
          <c:idx val="1"/>
          <c:order val="1"/>
          <c:tx>
            <c:strRef>
              <c:f>Figuren!$C$426</c:f>
              <c:strCache>
                <c:ptCount val="1"/>
                <c:pt idx="0">
                  <c:v>enigszins negatief</c:v>
                </c:pt>
              </c:strCache>
            </c:strRef>
          </c:tx>
          <c:spPr>
            <a:solidFill>
              <a:srgbClr val="08B46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N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Figuren!$A$428:$A$429</c:f>
              <c:strCache>
                <c:ptCount val="2"/>
                <c:pt idx="0">
                  <c:v>Laden op basis van netcapaciteit [N=205]</c:v>
                </c:pt>
                <c:pt idx="1">
                  <c:v>Laden op basis van dynamische stroomtarieven [N=122]</c:v>
                </c:pt>
              </c:strCache>
            </c:strRef>
          </c:cat>
          <c:val>
            <c:numRef>
              <c:f>Figuren!$C$428:$C$429</c:f>
              <c:numCache>
                <c:formatCode>0%</c:formatCode>
                <c:ptCount val="2"/>
                <c:pt idx="0">
                  <c:v>0.11707317073170732</c:v>
                </c:pt>
                <c:pt idx="1">
                  <c:v>8.1967213114754092E-2</c:v>
                </c:pt>
              </c:numCache>
            </c:numRef>
          </c:val>
          <c:extLst>
            <c:ext xmlns:c16="http://schemas.microsoft.com/office/drawing/2014/chart" uri="{C3380CC4-5D6E-409C-BE32-E72D297353CC}">
              <c16:uniqueId val="{00000001-3934-4CD8-963C-6E8810B34CB8}"/>
            </c:ext>
          </c:extLst>
        </c:ser>
        <c:ser>
          <c:idx val="2"/>
          <c:order val="2"/>
          <c:tx>
            <c:strRef>
              <c:f>Figuren!$D$426</c:f>
              <c:strCache>
                <c:ptCount val="1"/>
                <c:pt idx="0">
                  <c:v>neutraal </c:v>
                </c:pt>
              </c:strCache>
            </c:strRef>
          </c:tx>
          <c:spPr>
            <a:solidFill>
              <a:srgbClr val="C9C74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N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Figuren!$A$428:$A$429</c:f>
              <c:strCache>
                <c:ptCount val="2"/>
                <c:pt idx="0">
                  <c:v>Laden op basis van netcapaciteit [N=205]</c:v>
                </c:pt>
                <c:pt idx="1">
                  <c:v>Laden op basis van dynamische stroomtarieven [N=122]</c:v>
                </c:pt>
              </c:strCache>
            </c:strRef>
          </c:cat>
          <c:val>
            <c:numRef>
              <c:f>Figuren!$D$428:$D$429</c:f>
              <c:numCache>
                <c:formatCode>0%</c:formatCode>
                <c:ptCount val="2"/>
                <c:pt idx="0">
                  <c:v>0.28780487804878047</c:v>
                </c:pt>
                <c:pt idx="1">
                  <c:v>0.32786885245901637</c:v>
                </c:pt>
              </c:numCache>
            </c:numRef>
          </c:val>
          <c:extLst>
            <c:ext xmlns:c16="http://schemas.microsoft.com/office/drawing/2014/chart" uri="{C3380CC4-5D6E-409C-BE32-E72D297353CC}">
              <c16:uniqueId val="{00000002-3934-4CD8-963C-6E8810B34CB8}"/>
            </c:ext>
          </c:extLst>
        </c:ser>
        <c:ser>
          <c:idx val="3"/>
          <c:order val="3"/>
          <c:tx>
            <c:strRef>
              <c:f>Figuren!$E$426</c:f>
              <c:strCache>
                <c:ptCount val="1"/>
                <c:pt idx="0">
                  <c:v>enigszins positief</c:v>
                </c:pt>
              </c:strCache>
            </c:strRef>
          </c:tx>
          <c:spPr>
            <a:solidFill>
              <a:srgbClr val="BAD6ED"/>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2C307E"/>
                    </a:solidFill>
                    <a:latin typeface="+mn-lt"/>
                    <a:ea typeface="+mn-ea"/>
                    <a:cs typeface="+mn-cs"/>
                  </a:defRPr>
                </a:pPr>
                <a:endParaRPr lang="en-N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Figuren!$A$428:$A$429</c:f>
              <c:strCache>
                <c:ptCount val="2"/>
                <c:pt idx="0">
                  <c:v>Laden op basis van netcapaciteit [N=205]</c:v>
                </c:pt>
                <c:pt idx="1">
                  <c:v>Laden op basis van dynamische stroomtarieven [N=122]</c:v>
                </c:pt>
              </c:strCache>
            </c:strRef>
          </c:cat>
          <c:val>
            <c:numRef>
              <c:f>Figuren!$E$428:$E$429</c:f>
              <c:numCache>
                <c:formatCode>0%</c:formatCode>
                <c:ptCount val="2"/>
                <c:pt idx="0">
                  <c:v>0.25853658536585367</c:v>
                </c:pt>
                <c:pt idx="1">
                  <c:v>0.27868852459016391</c:v>
                </c:pt>
              </c:numCache>
            </c:numRef>
          </c:val>
          <c:extLst>
            <c:ext xmlns:c16="http://schemas.microsoft.com/office/drawing/2014/chart" uri="{C3380CC4-5D6E-409C-BE32-E72D297353CC}">
              <c16:uniqueId val="{00000003-3934-4CD8-963C-6E8810B34CB8}"/>
            </c:ext>
          </c:extLst>
        </c:ser>
        <c:ser>
          <c:idx val="4"/>
          <c:order val="4"/>
          <c:tx>
            <c:strRef>
              <c:f>Figuren!$F$426</c:f>
              <c:strCache>
                <c:ptCount val="1"/>
                <c:pt idx="0">
                  <c:v>zeer positief</c:v>
                </c:pt>
              </c:strCache>
            </c:strRef>
          </c:tx>
          <c:spPr>
            <a:solidFill>
              <a:srgbClr val="4EAFAA"/>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N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Figuren!$A$428:$A$429</c:f>
              <c:strCache>
                <c:ptCount val="2"/>
                <c:pt idx="0">
                  <c:v>Laden op basis van netcapaciteit [N=205]</c:v>
                </c:pt>
                <c:pt idx="1">
                  <c:v>Laden op basis van dynamische stroomtarieven [N=122]</c:v>
                </c:pt>
              </c:strCache>
            </c:strRef>
          </c:cat>
          <c:val>
            <c:numRef>
              <c:f>Figuren!$F$428:$F$429</c:f>
              <c:numCache>
                <c:formatCode>0%</c:formatCode>
                <c:ptCount val="2"/>
                <c:pt idx="0">
                  <c:v>0.28292682926829266</c:v>
                </c:pt>
                <c:pt idx="1">
                  <c:v>0.24590163934426229</c:v>
                </c:pt>
              </c:numCache>
            </c:numRef>
          </c:val>
          <c:extLst>
            <c:ext xmlns:c16="http://schemas.microsoft.com/office/drawing/2014/chart" uri="{C3380CC4-5D6E-409C-BE32-E72D297353CC}">
              <c16:uniqueId val="{00000004-3934-4CD8-963C-6E8810B34CB8}"/>
            </c:ext>
          </c:extLst>
        </c:ser>
        <c:dLbls>
          <c:dLblPos val="ctr"/>
          <c:showLegendKey val="0"/>
          <c:showVal val="1"/>
          <c:showCatName val="0"/>
          <c:showSerName val="0"/>
          <c:showPercent val="0"/>
          <c:showBubbleSize val="0"/>
        </c:dLbls>
        <c:gapWidth val="150"/>
        <c:overlap val="100"/>
        <c:axId val="1671652383"/>
        <c:axId val="1671653343"/>
      </c:barChart>
      <c:catAx>
        <c:axId val="1671652383"/>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2C307E"/>
                </a:solidFill>
                <a:latin typeface="+mn-lt"/>
                <a:ea typeface="+mn-ea"/>
                <a:cs typeface="+mn-cs"/>
              </a:defRPr>
            </a:pPr>
            <a:endParaRPr lang="en-NL"/>
          </a:p>
        </c:txPr>
        <c:crossAx val="1671653343"/>
        <c:crosses val="autoZero"/>
        <c:auto val="1"/>
        <c:lblAlgn val="ctr"/>
        <c:lblOffset val="100"/>
        <c:noMultiLvlLbl val="0"/>
      </c:catAx>
      <c:valAx>
        <c:axId val="1671653343"/>
        <c:scaling>
          <c:orientation val="minMax"/>
          <c:max val="1"/>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2C307E"/>
                </a:solidFill>
                <a:latin typeface="+mn-lt"/>
                <a:ea typeface="+mn-ea"/>
                <a:cs typeface="+mn-cs"/>
              </a:defRPr>
            </a:pPr>
            <a:endParaRPr lang="en-NL"/>
          </a:p>
        </c:txPr>
        <c:crossAx val="1671652383"/>
        <c:crosses val="autoZero"/>
        <c:crossBetween val="between"/>
      </c:valAx>
      <c:spPr>
        <a:noFill/>
        <a:ln>
          <a:noFill/>
        </a:ln>
        <a:effectLst/>
      </c:spPr>
    </c:plotArea>
    <c:legend>
      <c:legendPos val="b"/>
      <c:layout>
        <c:manualLayout>
          <c:xMode val="edge"/>
          <c:yMode val="edge"/>
          <c:x val="2.710717473084874E-2"/>
          <c:y val="0.78825670537884607"/>
          <c:w val="0.93143844824275013"/>
          <c:h val="0.18008102549186628"/>
        </c:manualLayout>
      </c:layout>
      <c:overlay val="0"/>
      <c:spPr>
        <a:noFill/>
        <a:ln>
          <a:noFill/>
        </a:ln>
        <a:effectLst/>
      </c:spPr>
      <c:txPr>
        <a:bodyPr rot="0" spcFirstLastPara="1" vertOverflow="ellipsis" vert="horz" wrap="square" anchor="ctr" anchorCtr="1"/>
        <a:lstStyle/>
        <a:p>
          <a:pPr>
            <a:defRPr sz="900" b="0" i="0" u="none" strike="noStrike" kern="1200" baseline="0">
              <a:solidFill>
                <a:srgbClr val="2C307E"/>
              </a:solidFill>
              <a:latin typeface="+mn-lt"/>
              <a:ea typeface="+mn-ea"/>
              <a:cs typeface="+mn-cs"/>
            </a:defRPr>
          </a:pPr>
          <a:endParaRPr lang="en-NL"/>
        </a:p>
      </c:txPr>
    </c:legend>
    <c:plotVisOnly val="1"/>
    <c:dispBlanksAs val="gap"/>
    <c:showDLblsOverMax val="0"/>
  </c:chart>
  <c:spPr>
    <a:noFill/>
    <a:ln w="9525" cap="flat" cmpd="sng" algn="ctr">
      <a:solidFill>
        <a:schemeClr val="tx1">
          <a:lumMod val="15000"/>
          <a:lumOff val="85000"/>
        </a:schemeClr>
      </a:solidFill>
      <a:round/>
    </a:ln>
    <a:effectLst/>
  </c:spPr>
  <c:txPr>
    <a:bodyPr/>
    <a:lstStyle/>
    <a:p>
      <a:pPr>
        <a:defRPr/>
      </a:pPr>
      <a:endParaRPr lang="en-NL"/>
    </a:p>
  </c:txPr>
  <c:externalData r:id="rId3">
    <c:autoUpdate val="0"/>
  </c:externalData>
</c:chartSpace>
</file>

<file path=word/charts/chart9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rgbClr val="2C307E"/>
                </a:solidFill>
                <a:latin typeface="+mn-lt"/>
                <a:ea typeface="+mn-ea"/>
                <a:cs typeface="+mn-cs"/>
              </a:defRPr>
            </a:pPr>
            <a:r>
              <a:rPr lang="nl-NL" sz="1100"/>
              <a:t>Voorzie je knelpunten bij het toepassen van slim laden op je laadsessie aan de openbare laadpaal?  [N=921]</a:t>
            </a:r>
          </a:p>
        </c:rich>
      </c:tx>
      <c:layout>
        <c:manualLayout>
          <c:xMode val="edge"/>
          <c:yMode val="edge"/>
          <c:x val="0.17292418772563178"/>
          <c:y val="0"/>
        </c:manualLayout>
      </c:layout>
      <c:overlay val="0"/>
      <c:spPr>
        <a:noFill/>
        <a:ln>
          <a:noFill/>
        </a:ln>
        <a:effectLst/>
      </c:spPr>
      <c:txPr>
        <a:bodyPr rot="0" spcFirstLastPara="1" vertOverflow="ellipsis" vert="horz" wrap="square" anchor="ctr" anchorCtr="1"/>
        <a:lstStyle/>
        <a:p>
          <a:pPr>
            <a:defRPr sz="1100" b="0" i="0" u="none" strike="noStrike" kern="1200" spc="0" baseline="0">
              <a:solidFill>
                <a:srgbClr val="2C307E"/>
              </a:solidFill>
              <a:latin typeface="+mn-lt"/>
              <a:ea typeface="+mn-ea"/>
              <a:cs typeface="+mn-cs"/>
            </a:defRPr>
          </a:pPr>
          <a:endParaRPr lang="en-NL"/>
        </a:p>
      </c:txPr>
    </c:title>
    <c:autoTitleDeleted val="0"/>
    <c:plotArea>
      <c:layout>
        <c:manualLayout>
          <c:layoutTarget val="inner"/>
          <c:xMode val="edge"/>
          <c:yMode val="edge"/>
          <c:x val="0.48005267840462862"/>
          <c:y val="0.22107733018434206"/>
          <c:w val="0.43424460121398561"/>
          <c:h val="0.65562786758408143"/>
        </c:manualLayout>
      </c:layout>
      <c:barChart>
        <c:barDir val="bar"/>
        <c:grouping val="clustered"/>
        <c:varyColors val="0"/>
        <c:ser>
          <c:idx val="0"/>
          <c:order val="0"/>
          <c:tx>
            <c:strRef>
              <c:f>Figuren!$C$768</c:f>
              <c:strCache>
                <c:ptCount val="1"/>
                <c:pt idx="0">
                  <c:v>2025</c:v>
                </c:pt>
              </c:strCache>
            </c:strRef>
          </c:tx>
          <c:spPr>
            <a:solidFill>
              <a:srgbClr val="C9C743"/>
            </a:solidFill>
            <a:ln>
              <a:noFill/>
            </a:ln>
            <a:effectLst/>
          </c:spPr>
          <c:invertIfNegative val="0"/>
          <c:dLbls>
            <c:spPr>
              <a:noFill/>
              <a:ln>
                <a:noFill/>
              </a:ln>
              <a:effectLst/>
            </c:spPr>
            <c:txPr>
              <a:bodyPr rot="0" spcFirstLastPara="1" vertOverflow="ellipsis" vert="horz" wrap="square" anchor="ctr" anchorCtr="1"/>
              <a:lstStyle/>
              <a:p>
                <a:pPr>
                  <a:defRPr sz="800" b="1" i="0" u="none" strike="noStrike" kern="1200" baseline="0">
                    <a:solidFill>
                      <a:srgbClr val="2C307E"/>
                    </a:solidFill>
                    <a:latin typeface="+mn-lt"/>
                    <a:ea typeface="+mn-ea"/>
                    <a:cs typeface="+mn-cs"/>
                  </a:defRPr>
                </a:pPr>
                <a:endParaRPr lang="en-N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Figuren!$B$771:$B$775</c:f>
              <c:strCache>
                <c:ptCount val="5"/>
                <c:pt idx="0">
                  <c:v>Onzekerheid of de auto kan omgaan met schommelingen in laadvermogen</c:v>
                </c:pt>
                <c:pt idx="1">
                  <c:v>Laadtarieven zijn minder inzichtelijk</c:v>
                </c:pt>
                <c:pt idx="2">
                  <c:v>Ik heb minder laadzekerheid</c:v>
                </c:pt>
                <c:pt idx="3">
                  <c:v>Onzekerheid over het financieel voordeel op jaarbasis</c:v>
                </c:pt>
                <c:pt idx="4">
                  <c:v>Ik heb zelf geen controle meer over mijn laadsessie</c:v>
                </c:pt>
              </c:strCache>
            </c:strRef>
          </c:cat>
          <c:val>
            <c:numRef>
              <c:f>Figuren!$C$771:$C$775</c:f>
              <c:numCache>
                <c:formatCode>0%</c:formatCode>
                <c:ptCount val="5"/>
                <c:pt idx="0">
                  <c:v>0.15526601520086863</c:v>
                </c:pt>
                <c:pt idx="1">
                  <c:v>0.2725298588490771</c:v>
                </c:pt>
                <c:pt idx="2">
                  <c:v>0.60260586319218246</c:v>
                </c:pt>
                <c:pt idx="3">
                  <c:v>0.11292073832790445</c:v>
                </c:pt>
                <c:pt idx="4">
                  <c:v>0.52008686210640609</c:v>
                </c:pt>
              </c:numCache>
            </c:numRef>
          </c:val>
          <c:extLst>
            <c:ext xmlns:c16="http://schemas.microsoft.com/office/drawing/2014/chart" uri="{C3380CC4-5D6E-409C-BE32-E72D297353CC}">
              <c16:uniqueId val="{00000000-6560-43BA-B90D-82C3FE561A36}"/>
            </c:ext>
          </c:extLst>
        </c:ser>
        <c:ser>
          <c:idx val="1"/>
          <c:order val="1"/>
          <c:tx>
            <c:strRef>
              <c:f>Figuren!$D$768</c:f>
              <c:strCache>
                <c:ptCount val="1"/>
                <c:pt idx="0">
                  <c:v>2024</c:v>
                </c:pt>
              </c:strCache>
            </c:strRef>
          </c:tx>
          <c:spPr>
            <a:solidFill>
              <a:srgbClr val="08B466"/>
            </a:solidFill>
            <a:ln>
              <a:noFill/>
            </a:ln>
            <a:effectLst/>
          </c:spPr>
          <c:invertIfNegative val="0"/>
          <c:dLbls>
            <c:spPr>
              <a:noFill/>
              <a:ln>
                <a:noFill/>
              </a:ln>
              <a:effectLst/>
            </c:spPr>
            <c:txPr>
              <a:bodyPr rot="0" spcFirstLastPara="1" vertOverflow="ellipsis" vert="horz" wrap="square" anchor="ctr" anchorCtr="1"/>
              <a:lstStyle/>
              <a:p>
                <a:pPr>
                  <a:defRPr sz="800" b="1" i="0" u="none" strike="noStrike" kern="1200" baseline="0">
                    <a:solidFill>
                      <a:srgbClr val="2C307E"/>
                    </a:solidFill>
                    <a:latin typeface="+mn-lt"/>
                    <a:ea typeface="+mn-ea"/>
                    <a:cs typeface="+mn-cs"/>
                  </a:defRPr>
                </a:pPr>
                <a:endParaRPr lang="en-N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Figuren!$B$771:$B$775</c:f>
              <c:strCache>
                <c:ptCount val="5"/>
                <c:pt idx="0">
                  <c:v>Onzekerheid of de auto kan omgaan met schommelingen in laadvermogen</c:v>
                </c:pt>
                <c:pt idx="1">
                  <c:v>Laadtarieven zijn minder inzichtelijk</c:v>
                </c:pt>
                <c:pt idx="2">
                  <c:v>Ik heb minder laadzekerheid</c:v>
                </c:pt>
                <c:pt idx="3">
                  <c:v>Onzekerheid over het financieel voordeel op jaarbasis</c:v>
                </c:pt>
                <c:pt idx="4">
                  <c:v>Ik heb zelf geen controle meer over mijn laadsessie</c:v>
                </c:pt>
              </c:strCache>
            </c:strRef>
          </c:cat>
          <c:val>
            <c:numRef>
              <c:f>Figuren!$D$771:$D$775</c:f>
              <c:numCache>
                <c:formatCode>0%</c:formatCode>
                <c:ptCount val="5"/>
                <c:pt idx="0">
                  <c:v>0.15654320987654322</c:v>
                </c:pt>
                <c:pt idx="1">
                  <c:v>0.29975308641975307</c:v>
                </c:pt>
                <c:pt idx="2">
                  <c:v>0.49728395061728398</c:v>
                </c:pt>
                <c:pt idx="3">
                  <c:v>0.12493827160493827</c:v>
                </c:pt>
                <c:pt idx="4">
                  <c:v>0.42716049382716048</c:v>
                </c:pt>
              </c:numCache>
            </c:numRef>
          </c:val>
          <c:extLst>
            <c:ext xmlns:c16="http://schemas.microsoft.com/office/drawing/2014/chart" uri="{C3380CC4-5D6E-409C-BE32-E72D297353CC}">
              <c16:uniqueId val="{00000001-6560-43BA-B90D-82C3FE561A36}"/>
            </c:ext>
          </c:extLst>
        </c:ser>
        <c:ser>
          <c:idx val="2"/>
          <c:order val="2"/>
          <c:tx>
            <c:strRef>
              <c:f>Figuren!$E$768</c:f>
              <c:strCache>
                <c:ptCount val="1"/>
                <c:pt idx="0">
                  <c:v>2023</c:v>
                </c:pt>
              </c:strCache>
            </c:strRef>
          </c:tx>
          <c:spPr>
            <a:solidFill>
              <a:srgbClr val="2C307E"/>
            </a:solidFill>
            <a:ln>
              <a:noFill/>
            </a:ln>
            <a:effectLst/>
          </c:spPr>
          <c:invertIfNegative val="0"/>
          <c:dLbls>
            <c:spPr>
              <a:noFill/>
              <a:ln>
                <a:noFill/>
              </a:ln>
              <a:effectLst/>
            </c:spPr>
            <c:txPr>
              <a:bodyPr rot="0" spcFirstLastPara="1" vertOverflow="ellipsis" vert="horz" wrap="square" anchor="ctr" anchorCtr="1"/>
              <a:lstStyle/>
              <a:p>
                <a:pPr>
                  <a:defRPr sz="800" b="1" i="0" u="none" strike="noStrike" kern="1200" baseline="0">
                    <a:solidFill>
                      <a:srgbClr val="2C307E"/>
                    </a:solidFill>
                    <a:latin typeface="+mn-lt"/>
                    <a:ea typeface="+mn-ea"/>
                    <a:cs typeface="+mn-cs"/>
                  </a:defRPr>
                </a:pPr>
                <a:endParaRPr lang="en-N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Figuren!$B$771:$B$775</c:f>
              <c:strCache>
                <c:ptCount val="5"/>
                <c:pt idx="0">
                  <c:v>Onzekerheid of de auto kan omgaan met schommelingen in laadvermogen</c:v>
                </c:pt>
                <c:pt idx="1">
                  <c:v>Laadtarieven zijn minder inzichtelijk</c:v>
                </c:pt>
                <c:pt idx="2">
                  <c:v>Ik heb minder laadzekerheid</c:v>
                </c:pt>
                <c:pt idx="3">
                  <c:v>Onzekerheid over het financieel voordeel op jaarbasis</c:v>
                </c:pt>
                <c:pt idx="4">
                  <c:v>Ik heb zelf geen controle meer over mijn laadsessie</c:v>
                </c:pt>
              </c:strCache>
            </c:strRef>
          </c:cat>
          <c:val>
            <c:numRef>
              <c:f>Figuren!$E$771:$E$775</c:f>
              <c:numCache>
                <c:formatCode>0%</c:formatCode>
                <c:ptCount val="5"/>
                <c:pt idx="0">
                  <c:v>0.13</c:v>
                </c:pt>
                <c:pt idx="1">
                  <c:v>0.32</c:v>
                </c:pt>
                <c:pt idx="2">
                  <c:v>0.39</c:v>
                </c:pt>
                <c:pt idx="3">
                  <c:v>0.2</c:v>
                </c:pt>
                <c:pt idx="4">
                  <c:v>0.33</c:v>
                </c:pt>
              </c:numCache>
            </c:numRef>
          </c:val>
          <c:extLst>
            <c:ext xmlns:c16="http://schemas.microsoft.com/office/drawing/2014/chart" uri="{C3380CC4-5D6E-409C-BE32-E72D297353CC}">
              <c16:uniqueId val="{00000002-6560-43BA-B90D-82C3FE561A36}"/>
            </c:ext>
          </c:extLst>
        </c:ser>
        <c:dLbls>
          <c:dLblPos val="outEnd"/>
          <c:showLegendKey val="0"/>
          <c:showVal val="1"/>
          <c:showCatName val="0"/>
          <c:showSerName val="0"/>
          <c:showPercent val="0"/>
          <c:showBubbleSize val="0"/>
        </c:dLbls>
        <c:gapWidth val="182"/>
        <c:axId val="303864528"/>
        <c:axId val="303865008"/>
      </c:barChart>
      <c:catAx>
        <c:axId val="30386452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2C307E"/>
                </a:solidFill>
                <a:latin typeface="+mn-lt"/>
                <a:ea typeface="+mn-ea"/>
                <a:cs typeface="+mn-cs"/>
              </a:defRPr>
            </a:pPr>
            <a:endParaRPr lang="en-NL"/>
          </a:p>
        </c:txPr>
        <c:crossAx val="303865008"/>
        <c:crosses val="autoZero"/>
        <c:auto val="1"/>
        <c:lblAlgn val="ctr"/>
        <c:lblOffset val="100"/>
        <c:noMultiLvlLbl val="0"/>
      </c:catAx>
      <c:valAx>
        <c:axId val="30386500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2C307E"/>
                </a:solidFill>
                <a:latin typeface="+mn-lt"/>
                <a:ea typeface="+mn-ea"/>
                <a:cs typeface="+mn-cs"/>
              </a:defRPr>
            </a:pPr>
            <a:endParaRPr lang="en-NL"/>
          </a:p>
        </c:txPr>
        <c:crossAx val="303864528"/>
        <c:crosses val="autoZero"/>
        <c:crossBetween val="between"/>
        <c:majorUnit val="0.2"/>
      </c:valAx>
      <c:spPr>
        <a:noFill/>
        <a:ln>
          <a:noFill/>
        </a:ln>
        <a:effectLst/>
      </c:spPr>
    </c:plotArea>
    <c:legend>
      <c:legendPos val="b"/>
      <c:layout>
        <c:manualLayout>
          <c:xMode val="edge"/>
          <c:yMode val="edge"/>
          <c:x val="0.27604785525455527"/>
          <c:y val="0.94127329698891171"/>
          <c:w val="0.45692920492339179"/>
          <c:h val="5.8726703011088288E-2"/>
        </c:manualLayout>
      </c:layout>
      <c:overlay val="0"/>
      <c:spPr>
        <a:noFill/>
        <a:ln>
          <a:noFill/>
        </a:ln>
        <a:effectLst/>
      </c:spPr>
      <c:txPr>
        <a:bodyPr rot="0" spcFirstLastPara="1" vertOverflow="ellipsis" vert="horz" wrap="square" anchor="ctr" anchorCtr="1"/>
        <a:lstStyle/>
        <a:p>
          <a:pPr>
            <a:defRPr sz="900" b="0" i="0" u="none" strike="noStrike" kern="1200" baseline="0">
              <a:solidFill>
                <a:srgbClr val="2C307E"/>
              </a:solidFill>
              <a:latin typeface="+mn-lt"/>
              <a:ea typeface="+mn-ea"/>
              <a:cs typeface="+mn-cs"/>
            </a:defRPr>
          </a:pPr>
          <a:endParaRPr lang="en-NL"/>
        </a:p>
      </c:txPr>
    </c:legend>
    <c:plotVisOnly val="1"/>
    <c:dispBlanksAs val="gap"/>
    <c:showDLblsOverMax val="0"/>
  </c:chart>
  <c:spPr>
    <a:noFill/>
    <a:ln w="9525" cap="flat" cmpd="sng" algn="ctr">
      <a:noFill/>
      <a:round/>
    </a:ln>
    <a:effectLst/>
  </c:spPr>
  <c:txPr>
    <a:bodyPr/>
    <a:lstStyle/>
    <a:p>
      <a:pPr>
        <a:defRPr>
          <a:solidFill>
            <a:srgbClr val="2C307E"/>
          </a:solidFill>
        </a:defRPr>
      </a:pPr>
      <a:endParaRPr lang="en-NL"/>
    </a:p>
  </c:txPr>
  <c:externalData r:id="rId3">
    <c:autoUpdate val="0"/>
  </c:externalData>
</c:chartSpace>
</file>

<file path=word/charts/chart9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rgbClr val="2C307E"/>
                </a:solidFill>
                <a:latin typeface="+mn-lt"/>
                <a:ea typeface="+mn-ea"/>
                <a:cs typeface="+mn-cs"/>
              </a:defRPr>
            </a:pPr>
            <a:r>
              <a:rPr lang="nl-NL" sz="1200"/>
              <a:t>Ik vind het acceptabel dat ik... </a:t>
            </a:r>
          </a:p>
        </c:rich>
      </c:tx>
      <c:layout>
        <c:manualLayout>
          <c:xMode val="edge"/>
          <c:yMode val="edge"/>
          <c:x val="0.167502679528403"/>
          <c:y val="0"/>
        </c:manualLayout>
      </c:layout>
      <c:overlay val="0"/>
      <c:spPr>
        <a:noFill/>
        <a:ln>
          <a:noFill/>
        </a:ln>
        <a:effectLst/>
      </c:spPr>
      <c:txPr>
        <a:bodyPr rot="0" spcFirstLastPara="1" vertOverflow="ellipsis" vert="horz" wrap="square" anchor="ctr" anchorCtr="1"/>
        <a:lstStyle/>
        <a:p>
          <a:pPr>
            <a:defRPr sz="1200" b="0" i="0" u="none" strike="noStrike" kern="1200" spc="0" baseline="0">
              <a:solidFill>
                <a:srgbClr val="2C307E"/>
              </a:solidFill>
              <a:latin typeface="+mn-lt"/>
              <a:ea typeface="+mn-ea"/>
              <a:cs typeface="+mn-cs"/>
            </a:defRPr>
          </a:pPr>
          <a:endParaRPr lang="nl-NL"/>
        </a:p>
      </c:txPr>
    </c:title>
    <c:autoTitleDeleted val="0"/>
    <c:plotArea>
      <c:layout>
        <c:manualLayout>
          <c:layoutTarget val="inner"/>
          <c:xMode val="edge"/>
          <c:yMode val="edge"/>
          <c:x val="0.47877627836713338"/>
          <c:y val="0.10357353381532879"/>
          <c:w val="0.43094513507354987"/>
          <c:h val="0.64819644033670742"/>
        </c:manualLayout>
      </c:layout>
      <c:barChart>
        <c:barDir val="bar"/>
        <c:grouping val="percentStacked"/>
        <c:varyColors val="0"/>
        <c:ser>
          <c:idx val="0"/>
          <c:order val="0"/>
          <c:tx>
            <c:strRef>
              <c:f>Figuren!$B$653</c:f>
              <c:strCache>
                <c:ptCount val="1"/>
                <c:pt idx="0">
                  <c:v>Helemaal mee oneens</c:v>
                </c:pt>
              </c:strCache>
            </c:strRef>
          </c:tx>
          <c:spPr>
            <a:solidFill>
              <a:srgbClr val="2C307E"/>
            </a:solidFill>
            <a:ln>
              <a:noFill/>
            </a:ln>
            <a:effectLst/>
          </c:spPr>
          <c:invertIfNegative val="0"/>
          <c:dLbls>
            <c:spPr>
              <a:noFill/>
              <a:ln>
                <a:noFill/>
              </a:ln>
              <a:effectLst/>
            </c:spPr>
            <c:txPr>
              <a:bodyPr rot="0" spcFirstLastPara="1" vertOverflow="ellipsis" vert="horz" wrap="square" anchor="ctr" anchorCtr="1"/>
              <a:lstStyle/>
              <a:p>
                <a:pPr>
                  <a:defRPr sz="800" b="1" i="0" u="none" strike="noStrike" kern="1200" baseline="0">
                    <a:solidFill>
                      <a:schemeClr val="bg1"/>
                    </a:solidFill>
                    <a:latin typeface="+mn-lt"/>
                    <a:ea typeface="+mn-ea"/>
                    <a:cs typeface="+mn-cs"/>
                  </a:defRPr>
                </a:pPr>
                <a:endParaRPr lang="en-N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Figuren!$A$654:$A$656</c:f>
              <c:strCache>
                <c:ptCount val="3"/>
                <c:pt idx="0">
                  <c:v>meer betaal voor laden op momenten van schaarste van energie. [N=934]</c:v>
                </c:pt>
                <c:pt idx="1">
                  <c:v>minder snel laad op momenten van schaarste van energie. [N=934]</c:v>
                </c:pt>
                <c:pt idx="2">
                  <c:v>meer betaal als ik wil laden op minder optimale momenten (en dus niet slim wil laden). [N=934]</c:v>
                </c:pt>
              </c:strCache>
            </c:strRef>
          </c:cat>
          <c:val>
            <c:numRef>
              <c:f>Figuren!$B$654:$B$656</c:f>
              <c:numCache>
                <c:formatCode>0%</c:formatCode>
                <c:ptCount val="3"/>
                <c:pt idx="0">
                  <c:v>0.11884368308351177</c:v>
                </c:pt>
                <c:pt idx="1">
                  <c:v>0.11884368308351177</c:v>
                </c:pt>
                <c:pt idx="2">
                  <c:v>0.1157556270096463</c:v>
                </c:pt>
              </c:numCache>
            </c:numRef>
          </c:val>
          <c:extLst>
            <c:ext xmlns:c16="http://schemas.microsoft.com/office/drawing/2014/chart" uri="{C3380CC4-5D6E-409C-BE32-E72D297353CC}">
              <c16:uniqueId val="{00000000-30C1-46C1-AFC3-2F4BC35A513D}"/>
            </c:ext>
          </c:extLst>
        </c:ser>
        <c:ser>
          <c:idx val="1"/>
          <c:order val="1"/>
          <c:tx>
            <c:strRef>
              <c:f>Figuren!$C$653</c:f>
              <c:strCache>
                <c:ptCount val="1"/>
                <c:pt idx="0">
                  <c:v>Mee oneens</c:v>
                </c:pt>
              </c:strCache>
            </c:strRef>
          </c:tx>
          <c:spPr>
            <a:solidFill>
              <a:srgbClr val="08B466"/>
            </a:solidFill>
            <a:ln>
              <a:noFill/>
            </a:ln>
            <a:effectLst/>
          </c:spPr>
          <c:invertIfNegative val="0"/>
          <c:dLbls>
            <c:spPr>
              <a:noFill/>
              <a:ln>
                <a:noFill/>
              </a:ln>
              <a:effectLst/>
            </c:spPr>
            <c:txPr>
              <a:bodyPr rot="0" spcFirstLastPara="1" vertOverflow="ellipsis" vert="horz" wrap="square" anchor="ctr" anchorCtr="1"/>
              <a:lstStyle/>
              <a:p>
                <a:pPr>
                  <a:defRPr sz="800" b="1" i="0" u="none" strike="noStrike" kern="1200" baseline="0">
                    <a:solidFill>
                      <a:schemeClr val="bg1"/>
                    </a:solidFill>
                    <a:latin typeface="+mn-lt"/>
                    <a:ea typeface="+mn-ea"/>
                    <a:cs typeface="+mn-cs"/>
                  </a:defRPr>
                </a:pPr>
                <a:endParaRPr lang="en-N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Figuren!$A$654:$A$656</c:f>
              <c:strCache>
                <c:ptCount val="3"/>
                <c:pt idx="0">
                  <c:v>meer betaal voor laden op momenten van schaarste van energie. [N=934]</c:v>
                </c:pt>
                <c:pt idx="1">
                  <c:v>minder snel laad op momenten van schaarste van energie. [N=934]</c:v>
                </c:pt>
                <c:pt idx="2">
                  <c:v>meer betaal als ik wil laden op minder optimale momenten (en dus niet slim wil laden). [N=934]</c:v>
                </c:pt>
              </c:strCache>
            </c:strRef>
          </c:cat>
          <c:val>
            <c:numRef>
              <c:f>Figuren!$C$654:$C$656</c:f>
              <c:numCache>
                <c:formatCode>0%</c:formatCode>
                <c:ptCount val="3"/>
                <c:pt idx="0">
                  <c:v>0.13062098501070663</c:v>
                </c:pt>
                <c:pt idx="1">
                  <c:v>0.18843683083511778</c:v>
                </c:pt>
                <c:pt idx="2">
                  <c:v>0.14040728831725616</c:v>
                </c:pt>
              </c:numCache>
            </c:numRef>
          </c:val>
          <c:extLst>
            <c:ext xmlns:c16="http://schemas.microsoft.com/office/drawing/2014/chart" uri="{C3380CC4-5D6E-409C-BE32-E72D297353CC}">
              <c16:uniqueId val="{00000001-30C1-46C1-AFC3-2F4BC35A513D}"/>
            </c:ext>
          </c:extLst>
        </c:ser>
        <c:ser>
          <c:idx val="2"/>
          <c:order val="2"/>
          <c:tx>
            <c:strRef>
              <c:f>Figuren!$D$653</c:f>
              <c:strCache>
                <c:ptCount val="1"/>
                <c:pt idx="0">
                  <c:v>Neutraal</c:v>
                </c:pt>
              </c:strCache>
            </c:strRef>
          </c:tx>
          <c:spPr>
            <a:solidFill>
              <a:srgbClr val="C9C743"/>
            </a:solidFill>
            <a:ln>
              <a:noFill/>
            </a:ln>
            <a:effectLst/>
          </c:spPr>
          <c:invertIfNegative val="0"/>
          <c:dLbls>
            <c:spPr>
              <a:noFill/>
              <a:ln>
                <a:noFill/>
              </a:ln>
              <a:effectLst/>
            </c:spPr>
            <c:txPr>
              <a:bodyPr rot="0" spcFirstLastPara="1" vertOverflow="ellipsis" vert="horz" wrap="square" anchor="ctr" anchorCtr="1"/>
              <a:lstStyle/>
              <a:p>
                <a:pPr>
                  <a:defRPr sz="800" b="1" i="0" u="none" strike="noStrike" kern="1200" baseline="0">
                    <a:solidFill>
                      <a:schemeClr val="bg1"/>
                    </a:solidFill>
                    <a:latin typeface="+mn-lt"/>
                    <a:ea typeface="+mn-ea"/>
                    <a:cs typeface="+mn-cs"/>
                  </a:defRPr>
                </a:pPr>
                <a:endParaRPr lang="en-N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Figuren!$A$654:$A$656</c:f>
              <c:strCache>
                <c:ptCount val="3"/>
                <c:pt idx="0">
                  <c:v>meer betaal voor laden op momenten van schaarste van energie. [N=934]</c:v>
                </c:pt>
                <c:pt idx="1">
                  <c:v>minder snel laad op momenten van schaarste van energie. [N=934]</c:v>
                </c:pt>
                <c:pt idx="2">
                  <c:v>meer betaal als ik wil laden op minder optimale momenten (en dus niet slim wil laden). [N=934]</c:v>
                </c:pt>
              </c:strCache>
            </c:strRef>
          </c:cat>
          <c:val>
            <c:numRef>
              <c:f>Figuren!$D$654:$D$656</c:f>
              <c:numCache>
                <c:formatCode>0%</c:formatCode>
                <c:ptCount val="3"/>
                <c:pt idx="0">
                  <c:v>0.17987152034261242</c:v>
                </c:pt>
                <c:pt idx="1">
                  <c:v>0.20342612419700215</c:v>
                </c:pt>
                <c:pt idx="2">
                  <c:v>0.18006430868167203</c:v>
                </c:pt>
              </c:numCache>
            </c:numRef>
          </c:val>
          <c:extLst>
            <c:ext xmlns:c16="http://schemas.microsoft.com/office/drawing/2014/chart" uri="{C3380CC4-5D6E-409C-BE32-E72D297353CC}">
              <c16:uniqueId val="{00000002-30C1-46C1-AFC3-2F4BC35A513D}"/>
            </c:ext>
          </c:extLst>
        </c:ser>
        <c:ser>
          <c:idx val="3"/>
          <c:order val="3"/>
          <c:tx>
            <c:strRef>
              <c:f>Figuren!$E$653</c:f>
              <c:strCache>
                <c:ptCount val="1"/>
                <c:pt idx="0">
                  <c:v>Mee eens</c:v>
                </c:pt>
              </c:strCache>
            </c:strRef>
          </c:tx>
          <c:spPr>
            <a:solidFill>
              <a:srgbClr val="BAD6ED"/>
            </a:solidFill>
            <a:ln>
              <a:noFill/>
            </a:ln>
            <a:effectLst/>
          </c:spPr>
          <c:invertIfNegative val="0"/>
          <c:dLbls>
            <c:spPr>
              <a:noFill/>
              <a:ln>
                <a:noFill/>
              </a:ln>
              <a:effectLst/>
            </c:spPr>
            <c:txPr>
              <a:bodyPr rot="0" spcFirstLastPara="1" vertOverflow="ellipsis" vert="horz" wrap="square" anchor="ctr" anchorCtr="1"/>
              <a:lstStyle/>
              <a:p>
                <a:pPr>
                  <a:defRPr sz="800" b="1" i="0" u="none" strike="noStrike" kern="1200" baseline="0">
                    <a:solidFill>
                      <a:srgbClr val="2C307E"/>
                    </a:solidFill>
                    <a:latin typeface="+mn-lt"/>
                    <a:ea typeface="+mn-ea"/>
                    <a:cs typeface="+mn-cs"/>
                  </a:defRPr>
                </a:pPr>
                <a:endParaRPr lang="en-N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Figuren!$A$654:$A$656</c:f>
              <c:strCache>
                <c:ptCount val="3"/>
                <c:pt idx="0">
                  <c:v>meer betaal voor laden op momenten van schaarste van energie. [N=934]</c:v>
                </c:pt>
                <c:pt idx="1">
                  <c:v>minder snel laad op momenten van schaarste van energie. [N=934]</c:v>
                </c:pt>
                <c:pt idx="2">
                  <c:v>meer betaal als ik wil laden op minder optimale momenten (en dus niet slim wil laden). [N=934]</c:v>
                </c:pt>
              </c:strCache>
            </c:strRef>
          </c:cat>
          <c:val>
            <c:numRef>
              <c:f>Figuren!$E$654:$E$656</c:f>
              <c:numCache>
                <c:formatCode>0%</c:formatCode>
                <c:ptCount val="3"/>
                <c:pt idx="0">
                  <c:v>0.43897216274089934</c:v>
                </c:pt>
                <c:pt idx="1">
                  <c:v>0.38972162740899358</c:v>
                </c:pt>
                <c:pt idx="2">
                  <c:v>0.44051446945337619</c:v>
                </c:pt>
              </c:numCache>
            </c:numRef>
          </c:val>
          <c:extLst>
            <c:ext xmlns:c16="http://schemas.microsoft.com/office/drawing/2014/chart" uri="{C3380CC4-5D6E-409C-BE32-E72D297353CC}">
              <c16:uniqueId val="{00000003-30C1-46C1-AFC3-2F4BC35A513D}"/>
            </c:ext>
          </c:extLst>
        </c:ser>
        <c:ser>
          <c:idx val="4"/>
          <c:order val="4"/>
          <c:tx>
            <c:strRef>
              <c:f>Figuren!$F$653</c:f>
              <c:strCache>
                <c:ptCount val="1"/>
                <c:pt idx="0">
                  <c:v>Helemaal mee eens</c:v>
                </c:pt>
              </c:strCache>
            </c:strRef>
          </c:tx>
          <c:spPr>
            <a:solidFill>
              <a:srgbClr val="4EAFAA"/>
            </a:solidFill>
            <a:ln>
              <a:noFill/>
            </a:ln>
            <a:effectLst/>
          </c:spPr>
          <c:invertIfNegative val="0"/>
          <c:dLbls>
            <c:spPr>
              <a:noFill/>
              <a:ln>
                <a:noFill/>
              </a:ln>
              <a:effectLst/>
            </c:spPr>
            <c:txPr>
              <a:bodyPr rot="0" spcFirstLastPara="1" vertOverflow="ellipsis" vert="horz" wrap="square" anchor="ctr" anchorCtr="1"/>
              <a:lstStyle/>
              <a:p>
                <a:pPr>
                  <a:defRPr sz="800" b="1" i="0" u="none" strike="noStrike" kern="1200" baseline="0">
                    <a:solidFill>
                      <a:schemeClr val="bg1"/>
                    </a:solidFill>
                    <a:latin typeface="+mn-lt"/>
                    <a:ea typeface="+mn-ea"/>
                    <a:cs typeface="+mn-cs"/>
                  </a:defRPr>
                </a:pPr>
                <a:endParaRPr lang="en-N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Figuren!$A$654:$A$656</c:f>
              <c:strCache>
                <c:ptCount val="3"/>
                <c:pt idx="0">
                  <c:v>meer betaal voor laden op momenten van schaarste van energie. [N=934]</c:v>
                </c:pt>
                <c:pt idx="1">
                  <c:v>minder snel laad op momenten van schaarste van energie. [N=934]</c:v>
                </c:pt>
                <c:pt idx="2">
                  <c:v>meer betaal als ik wil laden op minder optimale momenten (en dus niet slim wil laden). [N=934]</c:v>
                </c:pt>
              </c:strCache>
            </c:strRef>
          </c:cat>
          <c:val>
            <c:numRef>
              <c:f>Figuren!$F$654:$F$656</c:f>
              <c:numCache>
                <c:formatCode>0%</c:formatCode>
                <c:ptCount val="3"/>
                <c:pt idx="0">
                  <c:v>0.1316916488222698</c:v>
                </c:pt>
                <c:pt idx="1">
                  <c:v>9.9571734475374735E-2</c:v>
                </c:pt>
                <c:pt idx="2">
                  <c:v>0.1232583065380493</c:v>
                </c:pt>
              </c:numCache>
            </c:numRef>
          </c:val>
          <c:extLst>
            <c:ext xmlns:c16="http://schemas.microsoft.com/office/drawing/2014/chart" uri="{C3380CC4-5D6E-409C-BE32-E72D297353CC}">
              <c16:uniqueId val="{00000004-30C1-46C1-AFC3-2F4BC35A513D}"/>
            </c:ext>
          </c:extLst>
        </c:ser>
        <c:dLbls>
          <c:dLblPos val="ctr"/>
          <c:showLegendKey val="0"/>
          <c:showVal val="1"/>
          <c:showCatName val="0"/>
          <c:showSerName val="0"/>
          <c:showPercent val="0"/>
          <c:showBubbleSize val="0"/>
        </c:dLbls>
        <c:gapWidth val="150"/>
        <c:overlap val="100"/>
        <c:axId val="1928257023"/>
        <c:axId val="1928254623"/>
      </c:barChart>
      <c:catAx>
        <c:axId val="1928257023"/>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2C307E"/>
                </a:solidFill>
                <a:latin typeface="+mn-lt"/>
                <a:ea typeface="+mn-ea"/>
                <a:cs typeface="+mn-cs"/>
              </a:defRPr>
            </a:pPr>
            <a:endParaRPr lang="en-NL"/>
          </a:p>
        </c:txPr>
        <c:crossAx val="1928254623"/>
        <c:crosses val="autoZero"/>
        <c:auto val="1"/>
        <c:lblAlgn val="ctr"/>
        <c:lblOffset val="100"/>
        <c:noMultiLvlLbl val="0"/>
      </c:catAx>
      <c:valAx>
        <c:axId val="1928254623"/>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2C307E"/>
                </a:solidFill>
                <a:latin typeface="+mn-lt"/>
                <a:ea typeface="+mn-ea"/>
                <a:cs typeface="+mn-cs"/>
              </a:defRPr>
            </a:pPr>
            <a:endParaRPr lang="en-NL"/>
          </a:p>
        </c:txPr>
        <c:crossAx val="1928257023"/>
        <c:crosses val="autoZero"/>
        <c:crossBetween val="between"/>
        <c:majorUnit val="0.25"/>
      </c:valAx>
      <c:spPr>
        <a:noFill/>
        <a:ln>
          <a:noFill/>
        </a:ln>
        <a:effectLst/>
      </c:spPr>
    </c:plotArea>
    <c:legend>
      <c:legendPos val="b"/>
      <c:layout>
        <c:manualLayout>
          <c:xMode val="edge"/>
          <c:yMode val="edge"/>
          <c:x val="6.1428462921234515E-2"/>
          <c:y val="0.8415433899511664"/>
          <c:w val="0.85570650935514092"/>
          <c:h val="0.15845661004883357"/>
        </c:manualLayout>
      </c:layout>
      <c:overlay val="0"/>
      <c:spPr>
        <a:noFill/>
        <a:ln>
          <a:noFill/>
        </a:ln>
        <a:effectLst/>
      </c:spPr>
      <c:txPr>
        <a:bodyPr rot="0" spcFirstLastPara="1" vertOverflow="ellipsis" vert="horz" wrap="square" anchor="ctr" anchorCtr="1"/>
        <a:lstStyle/>
        <a:p>
          <a:pPr>
            <a:defRPr sz="900" b="0" i="0" u="none" strike="noStrike" kern="1200" baseline="0">
              <a:solidFill>
                <a:srgbClr val="2C307E"/>
              </a:solidFill>
              <a:latin typeface="+mn-lt"/>
              <a:ea typeface="+mn-ea"/>
              <a:cs typeface="+mn-cs"/>
            </a:defRPr>
          </a:pPr>
          <a:endParaRPr lang="en-NL"/>
        </a:p>
      </c:txPr>
    </c:legend>
    <c:plotVisOnly val="1"/>
    <c:dispBlanksAs val="gap"/>
    <c:showDLblsOverMax val="0"/>
  </c:chart>
  <c:spPr>
    <a:noFill/>
    <a:ln w="9525" cap="flat" cmpd="sng" algn="ctr">
      <a:noFill/>
      <a:round/>
    </a:ln>
    <a:effectLst/>
  </c:spPr>
  <c:txPr>
    <a:bodyPr/>
    <a:lstStyle/>
    <a:p>
      <a:pPr>
        <a:defRPr>
          <a:solidFill>
            <a:srgbClr val="2C307E"/>
          </a:solidFill>
        </a:defRPr>
      </a:pPr>
      <a:endParaRPr lang="en-NL"/>
    </a:p>
  </c:txPr>
  <c:externalData r:id="rId3">
    <c:autoUpdate val="0"/>
  </c:externalData>
</c:chartSpace>
</file>

<file path=word/charts/chart9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200" b="0" i="0" u="none" strike="noStrike" kern="1200" spc="0" baseline="0">
                <a:solidFill>
                  <a:srgbClr val="2C307E"/>
                </a:solidFill>
                <a:latin typeface="+mn-lt"/>
                <a:ea typeface="+mn-ea"/>
                <a:cs typeface="+mn-cs"/>
              </a:defRPr>
            </a:pPr>
            <a:r>
              <a:rPr lang="nl-NL" sz="1100"/>
              <a:t>Hoe</a:t>
            </a:r>
            <a:r>
              <a:rPr lang="nl-NL" sz="1100" baseline="0"/>
              <a:t> waardeer je deze slim laden opties aan de openbare laadpaal?</a:t>
            </a:r>
            <a:endParaRPr lang="nl-NL" sz="1100"/>
          </a:p>
        </c:rich>
      </c:tx>
      <c:layout>
        <c:manualLayout>
          <c:xMode val="edge"/>
          <c:yMode val="edge"/>
          <c:x val="0.13334012463782763"/>
          <c:y val="2.4469231226207123E-2"/>
        </c:manualLayout>
      </c:layout>
      <c:overlay val="0"/>
      <c:spPr>
        <a:noFill/>
        <a:ln>
          <a:noFill/>
        </a:ln>
        <a:effectLst/>
      </c:spPr>
      <c:txPr>
        <a:bodyPr rot="0" spcFirstLastPara="1" vertOverflow="ellipsis" vert="horz" wrap="square" anchor="ctr" anchorCtr="1"/>
        <a:lstStyle/>
        <a:p>
          <a:pPr algn="ctr">
            <a:defRPr sz="1200" b="0" i="0" u="none" strike="noStrike" kern="1200" spc="0" baseline="0">
              <a:solidFill>
                <a:srgbClr val="2C307E"/>
              </a:solidFill>
              <a:latin typeface="+mn-lt"/>
              <a:ea typeface="+mn-ea"/>
              <a:cs typeface="+mn-cs"/>
            </a:defRPr>
          </a:pPr>
          <a:endParaRPr lang="nl-NL"/>
        </a:p>
      </c:txPr>
    </c:title>
    <c:autoTitleDeleted val="0"/>
    <c:plotArea>
      <c:layout>
        <c:manualLayout>
          <c:layoutTarget val="inner"/>
          <c:xMode val="edge"/>
          <c:yMode val="edge"/>
          <c:x val="0.11443139850881472"/>
          <c:y val="0.24870054373176828"/>
          <c:w val="0.83296216291547609"/>
          <c:h val="0.30415979169712537"/>
        </c:manualLayout>
      </c:layout>
      <c:barChart>
        <c:barDir val="col"/>
        <c:grouping val="clustered"/>
        <c:varyColors val="0"/>
        <c:ser>
          <c:idx val="0"/>
          <c:order val="0"/>
          <c:tx>
            <c:strRef>
              <c:f>Figuren!$A$633</c:f>
              <c:strCache>
                <c:ptCount val="1"/>
                <c:pt idx="0">
                  <c:v>Gelijkblijvend laadtarief, maar variabele laadsnelheid </c:v>
                </c:pt>
              </c:strCache>
            </c:strRef>
          </c:tx>
          <c:spPr>
            <a:solidFill>
              <a:srgbClr val="2C307E"/>
            </a:solidFill>
            <a:ln>
              <a:noFill/>
            </a:ln>
            <a:effectLst/>
          </c:spPr>
          <c:invertIfNegative val="0"/>
          <c:dLbls>
            <c:spPr>
              <a:noFill/>
              <a:ln>
                <a:noFill/>
              </a:ln>
              <a:effectLst/>
            </c:spPr>
            <c:txPr>
              <a:bodyPr rot="0" spcFirstLastPara="1" vertOverflow="ellipsis" vert="horz" wrap="square" anchor="ctr" anchorCtr="1"/>
              <a:lstStyle/>
              <a:p>
                <a:pPr>
                  <a:defRPr sz="800" b="1" i="0" u="none" strike="noStrike" kern="1200" baseline="0">
                    <a:solidFill>
                      <a:srgbClr val="2C307E"/>
                    </a:solidFill>
                    <a:latin typeface="+mn-lt"/>
                    <a:ea typeface="+mn-ea"/>
                    <a:cs typeface="+mn-cs"/>
                  </a:defRPr>
                </a:pPr>
                <a:endParaRPr lang="en-N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Figuren!$B$632:$F$632</c:f>
              <c:strCache>
                <c:ptCount val="5"/>
                <c:pt idx="0">
                  <c:v>Zeer negatief</c:v>
                </c:pt>
                <c:pt idx="1">
                  <c:v>Negatief</c:v>
                </c:pt>
                <c:pt idx="2">
                  <c:v>Neutraal</c:v>
                </c:pt>
                <c:pt idx="3">
                  <c:v>Positief</c:v>
                </c:pt>
                <c:pt idx="4">
                  <c:v>Zeer positief</c:v>
                </c:pt>
              </c:strCache>
            </c:strRef>
          </c:cat>
          <c:val>
            <c:numRef>
              <c:f>Figuren!$B$633:$F$633</c:f>
              <c:numCache>
                <c:formatCode>0%</c:formatCode>
                <c:ptCount val="5"/>
                <c:pt idx="0">
                  <c:v>0.11505376344086021</c:v>
                </c:pt>
                <c:pt idx="1">
                  <c:v>0.23440860215053763</c:v>
                </c:pt>
                <c:pt idx="2">
                  <c:v>0.34731182795698923</c:v>
                </c:pt>
                <c:pt idx="3">
                  <c:v>0.23010752688172043</c:v>
                </c:pt>
                <c:pt idx="4">
                  <c:v>7.3118279569892475E-2</c:v>
                </c:pt>
              </c:numCache>
            </c:numRef>
          </c:val>
          <c:extLst>
            <c:ext xmlns:c16="http://schemas.microsoft.com/office/drawing/2014/chart" uri="{C3380CC4-5D6E-409C-BE32-E72D297353CC}">
              <c16:uniqueId val="{00000000-328B-41F7-A648-FBB66589AE3F}"/>
            </c:ext>
          </c:extLst>
        </c:ser>
        <c:ser>
          <c:idx val="1"/>
          <c:order val="1"/>
          <c:tx>
            <c:strRef>
              <c:f>Figuren!$A$634</c:f>
              <c:strCache>
                <c:ptCount val="1"/>
                <c:pt idx="0">
                  <c:v>Laag laadtarief tijdens daluren/hoog tarief in spits, maar gelijkblijvende Laadsnelheid</c:v>
                </c:pt>
              </c:strCache>
            </c:strRef>
          </c:tx>
          <c:spPr>
            <a:solidFill>
              <a:srgbClr val="08B466"/>
            </a:solidFill>
            <a:ln>
              <a:noFill/>
            </a:ln>
            <a:effectLst/>
          </c:spPr>
          <c:invertIfNegative val="0"/>
          <c:dLbls>
            <c:dLbl>
              <c:idx val="2"/>
              <c:layout>
                <c:manualLayout>
                  <c:x val="1.7493986442160506E-2"/>
                  <c:y val="5.7686760888375592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0BF-43D8-894C-C2EF02F9563A}"/>
                </c:ext>
              </c:extLst>
            </c:dLbl>
            <c:spPr>
              <a:noFill/>
              <a:ln>
                <a:noFill/>
              </a:ln>
              <a:effectLst/>
            </c:spPr>
            <c:txPr>
              <a:bodyPr rot="0" spcFirstLastPara="1" vertOverflow="ellipsis" vert="horz" wrap="square" anchor="ctr" anchorCtr="1"/>
              <a:lstStyle/>
              <a:p>
                <a:pPr>
                  <a:defRPr sz="800" b="1" i="0" u="none" strike="noStrike" kern="1200" baseline="0">
                    <a:solidFill>
                      <a:srgbClr val="2C307E"/>
                    </a:solidFill>
                    <a:latin typeface="+mn-lt"/>
                    <a:ea typeface="+mn-ea"/>
                    <a:cs typeface="+mn-cs"/>
                  </a:defRPr>
                </a:pPr>
                <a:endParaRPr lang="en-N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Figuren!$B$632:$F$632</c:f>
              <c:strCache>
                <c:ptCount val="5"/>
                <c:pt idx="0">
                  <c:v>Zeer negatief</c:v>
                </c:pt>
                <c:pt idx="1">
                  <c:v>Negatief</c:v>
                </c:pt>
                <c:pt idx="2">
                  <c:v>Neutraal</c:v>
                </c:pt>
                <c:pt idx="3">
                  <c:v>Positief</c:v>
                </c:pt>
                <c:pt idx="4">
                  <c:v>Zeer positief</c:v>
                </c:pt>
              </c:strCache>
            </c:strRef>
          </c:cat>
          <c:val>
            <c:numRef>
              <c:f>Figuren!$B$634:$F$634</c:f>
              <c:numCache>
                <c:formatCode>0%</c:formatCode>
                <c:ptCount val="5"/>
                <c:pt idx="0">
                  <c:v>5.9076262083780882E-2</c:v>
                </c:pt>
                <c:pt idx="1">
                  <c:v>7.6262083780880771E-2</c:v>
                </c:pt>
                <c:pt idx="2">
                  <c:v>0.24382384532760473</c:v>
                </c:pt>
                <c:pt idx="3">
                  <c:v>0.3716433941997852</c:v>
                </c:pt>
                <c:pt idx="4">
                  <c:v>0.24919441460794844</c:v>
                </c:pt>
              </c:numCache>
            </c:numRef>
          </c:val>
          <c:extLst>
            <c:ext xmlns:c16="http://schemas.microsoft.com/office/drawing/2014/chart" uri="{C3380CC4-5D6E-409C-BE32-E72D297353CC}">
              <c16:uniqueId val="{00000001-328B-41F7-A648-FBB66589AE3F}"/>
            </c:ext>
          </c:extLst>
        </c:ser>
        <c:dLbls>
          <c:dLblPos val="outEnd"/>
          <c:showLegendKey val="0"/>
          <c:showVal val="1"/>
          <c:showCatName val="0"/>
          <c:showSerName val="0"/>
          <c:showPercent val="0"/>
          <c:showBubbleSize val="0"/>
        </c:dLbls>
        <c:gapWidth val="150"/>
        <c:axId val="1870295919"/>
        <c:axId val="1870310799"/>
      </c:barChart>
      <c:catAx>
        <c:axId val="187029591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2C307E"/>
                </a:solidFill>
                <a:latin typeface="+mn-lt"/>
                <a:ea typeface="+mn-ea"/>
                <a:cs typeface="+mn-cs"/>
              </a:defRPr>
            </a:pPr>
            <a:endParaRPr lang="en-NL"/>
          </a:p>
        </c:txPr>
        <c:crossAx val="1870310799"/>
        <c:crosses val="autoZero"/>
        <c:auto val="1"/>
        <c:lblAlgn val="ctr"/>
        <c:lblOffset val="100"/>
        <c:noMultiLvlLbl val="0"/>
      </c:catAx>
      <c:valAx>
        <c:axId val="1870310799"/>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2C307E"/>
                </a:solidFill>
                <a:latin typeface="+mn-lt"/>
                <a:ea typeface="+mn-ea"/>
                <a:cs typeface="+mn-cs"/>
              </a:defRPr>
            </a:pPr>
            <a:endParaRPr lang="en-NL"/>
          </a:p>
        </c:txPr>
        <c:crossAx val="1870295919"/>
        <c:crosses val="autoZero"/>
        <c:crossBetween val="between"/>
      </c:valAx>
      <c:spPr>
        <a:noFill/>
        <a:ln>
          <a:noFill/>
        </a:ln>
        <a:effectLst/>
      </c:spPr>
    </c:plotArea>
    <c:legend>
      <c:legendPos val="b"/>
      <c:layout>
        <c:manualLayout>
          <c:xMode val="edge"/>
          <c:yMode val="edge"/>
          <c:x val="8.5766520935241772E-2"/>
          <c:y val="0.74680235925225236"/>
          <c:w val="0.82846695812951643"/>
          <c:h val="0.23599335920910092"/>
        </c:manualLayout>
      </c:layout>
      <c:overlay val="0"/>
      <c:spPr>
        <a:noFill/>
        <a:ln>
          <a:noFill/>
        </a:ln>
        <a:effectLst/>
      </c:spPr>
      <c:txPr>
        <a:bodyPr rot="0" spcFirstLastPara="1" vertOverflow="ellipsis" vert="horz" wrap="square" anchor="ctr" anchorCtr="1"/>
        <a:lstStyle/>
        <a:p>
          <a:pPr>
            <a:defRPr sz="900" b="0" i="0" u="none" strike="noStrike" kern="1200" baseline="0">
              <a:solidFill>
                <a:srgbClr val="2C307E"/>
              </a:solidFill>
              <a:latin typeface="+mn-lt"/>
              <a:ea typeface="+mn-ea"/>
              <a:cs typeface="+mn-cs"/>
            </a:defRPr>
          </a:pPr>
          <a:endParaRPr lang="en-NL"/>
        </a:p>
      </c:txPr>
    </c:legend>
    <c:plotVisOnly val="1"/>
    <c:dispBlanksAs val="gap"/>
    <c:showDLblsOverMax val="0"/>
  </c:chart>
  <c:spPr>
    <a:noFill/>
    <a:ln w="9525" cap="flat" cmpd="sng" algn="ctr">
      <a:solidFill>
        <a:schemeClr val="tx1">
          <a:lumMod val="15000"/>
          <a:lumOff val="85000"/>
        </a:schemeClr>
      </a:solidFill>
      <a:round/>
    </a:ln>
    <a:effectLst/>
  </c:spPr>
  <c:txPr>
    <a:bodyPr/>
    <a:lstStyle/>
    <a:p>
      <a:pPr>
        <a:defRPr>
          <a:solidFill>
            <a:srgbClr val="2C307E"/>
          </a:solidFill>
        </a:defRPr>
      </a:pPr>
      <a:endParaRPr lang="en-NL"/>
    </a:p>
  </c:txPr>
  <c:externalData r:id="rId3">
    <c:autoUpdate val="0"/>
  </c:externalData>
</c:chartSpace>
</file>

<file path=word/charts/chart9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rgbClr val="2C307E"/>
                </a:solidFill>
                <a:latin typeface="+mn-lt"/>
                <a:ea typeface="+mn-ea"/>
                <a:cs typeface="+mn-cs"/>
              </a:defRPr>
            </a:pPr>
            <a:r>
              <a:rPr lang="nl-NL" sz="1100"/>
              <a:t>Hoe belangrijk zijn de volgende argumenten om </a:t>
            </a:r>
            <a:r>
              <a:rPr lang="nl-NL" sz="1100" b="1"/>
              <a:t>niet</a:t>
            </a:r>
            <a:r>
              <a:rPr lang="nl-NL" sz="1100"/>
              <a:t> slim te laden aan de openbare laadpaal voor jou?</a:t>
            </a:r>
          </a:p>
        </c:rich>
      </c:tx>
      <c:overlay val="0"/>
      <c:spPr>
        <a:noFill/>
        <a:ln>
          <a:noFill/>
        </a:ln>
        <a:effectLst/>
      </c:spPr>
      <c:txPr>
        <a:bodyPr rot="0" spcFirstLastPara="1" vertOverflow="ellipsis" vert="horz" wrap="square" anchor="ctr" anchorCtr="1"/>
        <a:lstStyle/>
        <a:p>
          <a:pPr>
            <a:defRPr sz="1100" b="0" i="0" u="none" strike="noStrike" kern="1200" spc="0" baseline="0">
              <a:solidFill>
                <a:srgbClr val="2C307E"/>
              </a:solidFill>
              <a:latin typeface="+mn-lt"/>
              <a:ea typeface="+mn-ea"/>
              <a:cs typeface="+mn-cs"/>
            </a:defRPr>
          </a:pPr>
          <a:endParaRPr lang="en-NL"/>
        </a:p>
      </c:txPr>
    </c:title>
    <c:autoTitleDeleted val="0"/>
    <c:plotArea>
      <c:layout>
        <c:manualLayout>
          <c:layoutTarget val="inner"/>
          <c:xMode val="edge"/>
          <c:yMode val="edge"/>
          <c:x val="0.48651250014121261"/>
          <c:y val="0.2073319575210579"/>
          <c:w val="0.43669419371359069"/>
          <c:h val="0.54496514707315125"/>
        </c:manualLayout>
      </c:layout>
      <c:barChart>
        <c:barDir val="bar"/>
        <c:grouping val="stacked"/>
        <c:varyColors val="0"/>
        <c:ser>
          <c:idx val="0"/>
          <c:order val="0"/>
          <c:tx>
            <c:strRef>
              <c:f>Figuren!$B$699</c:f>
              <c:strCache>
                <c:ptCount val="1"/>
                <c:pt idx="0">
                  <c:v>Helemaal mee oneens</c:v>
                </c:pt>
              </c:strCache>
            </c:strRef>
          </c:tx>
          <c:spPr>
            <a:solidFill>
              <a:srgbClr val="2C307E"/>
            </a:solidFill>
            <a:ln>
              <a:noFill/>
            </a:ln>
            <a:effectLst/>
          </c:spPr>
          <c:invertIfNegative val="0"/>
          <c:dLbls>
            <c:dLbl>
              <c:idx val="0"/>
              <c:layout>
                <c:manualLayout>
                  <c:x val="1.3333333333333334E-2"/>
                  <c:y val="-1.3099765307287452E-16"/>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41CF-43EC-BB4A-20DEBC3F40D5}"/>
                </c:ext>
              </c:extLst>
            </c:dLbl>
            <c:dLbl>
              <c:idx val="1"/>
              <c:layout>
                <c:manualLayout>
                  <c:x val="8.8888888888888889E-3"/>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1CF-43EC-BB4A-20DEBC3F40D5}"/>
                </c:ext>
              </c:extLst>
            </c:dLbl>
            <c:dLbl>
              <c:idx val="3"/>
              <c:layout>
                <c:manualLayout>
                  <c:x val="8.8888888888888889E-3"/>
                  <c:y val="-3.2749413268218631E-1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1CF-43EC-BB4A-20DEBC3F40D5}"/>
                </c:ext>
              </c:extLst>
            </c:dLbl>
            <c:spPr>
              <a:noFill/>
              <a:ln>
                <a:noFill/>
              </a:ln>
              <a:effectLst/>
            </c:spPr>
            <c:txPr>
              <a:bodyPr rot="0" spcFirstLastPara="1" vertOverflow="ellipsis" vert="horz" wrap="square" anchor="ctr" anchorCtr="1"/>
              <a:lstStyle/>
              <a:p>
                <a:pPr>
                  <a:defRPr sz="900" b="1" i="0" u="none" strike="noStrike" kern="1200" baseline="0">
                    <a:solidFill>
                      <a:schemeClr val="bg1"/>
                    </a:solidFill>
                    <a:latin typeface="+mn-lt"/>
                    <a:ea typeface="+mn-ea"/>
                    <a:cs typeface="+mn-cs"/>
                  </a:defRPr>
                </a:pPr>
                <a:endParaRPr lang="en-N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Figuren!$A$700:$A$703</c:f>
              <c:strCache>
                <c:ptCount val="4"/>
                <c:pt idx="0">
                  <c:v>De angst om onvoldoende volgeladen te zijn wanneer ik weg wil </c:v>
                </c:pt>
                <c:pt idx="1">
                  <c:v>Een langere laadtijd </c:v>
                </c:pt>
                <c:pt idx="2">
                  <c:v>Ik vind het te veel gedoe </c:v>
                </c:pt>
                <c:pt idx="3">
                  <c:v>Ik wil zelf de controle houden </c:v>
                </c:pt>
              </c:strCache>
            </c:strRef>
          </c:cat>
          <c:val>
            <c:numRef>
              <c:f>Figuren!$B$700:$B$703</c:f>
              <c:numCache>
                <c:formatCode>0%</c:formatCode>
                <c:ptCount val="4"/>
                <c:pt idx="0">
                  <c:v>5.2858683926645091E-2</c:v>
                </c:pt>
                <c:pt idx="1">
                  <c:v>6.4794816414686832E-2</c:v>
                </c:pt>
                <c:pt idx="2">
                  <c:v>0.1650485436893204</c:v>
                </c:pt>
                <c:pt idx="3">
                  <c:v>7.1197411003236247E-2</c:v>
                </c:pt>
              </c:numCache>
            </c:numRef>
          </c:val>
          <c:extLst>
            <c:ext xmlns:c16="http://schemas.microsoft.com/office/drawing/2014/chart" uri="{C3380CC4-5D6E-409C-BE32-E72D297353CC}">
              <c16:uniqueId val="{00000000-CA99-4050-8618-6A2CAAFF8975}"/>
            </c:ext>
          </c:extLst>
        </c:ser>
        <c:ser>
          <c:idx val="1"/>
          <c:order val="1"/>
          <c:tx>
            <c:strRef>
              <c:f>Figuren!$C$699</c:f>
              <c:strCache>
                <c:ptCount val="1"/>
                <c:pt idx="0">
                  <c:v>Mee oneens</c:v>
                </c:pt>
              </c:strCache>
            </c:strRef>
          </c:tx>
          <c:spPr>
            <a:solidFill>
              <a:srgbClr val="08B466"/>
            </a:solidFill>
            <a:ln>
              <a:noFill/>
            </a:ln>
            <a:effectLst/>
          </c:spPr>
          <c:invertIfNegative val="0"/>
          <c:dLbls>
            <c:dLbl>
              <c:idx val="0"/>
              <c:layout>
                <c:manualLayout>
                  <c:x val="2.6666666666666668E-2"/>
                  <c:y val="-1.3099765307287452E-16"/>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1CF-43EC-BB4A-20DEBC3F40D5}"/>
                </c:ext>
              </c:extLst>
            </c:dLbl>
            <c:dLbl>
              <c:idx val="1"/>
              <c:layout>
                <c:manualLayout>
                  <c:x val="2.2222222222222223E-2"/>
                  <c:y val="-1.3099765307287452E-16"/>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1CF-43EC-BB4A-20DEBC3F40D5}"/>
                </c:ext>
              </c:extLst>
            </c:dLbl>
            <c:dLbl>
              <c:idx val="3"/>
              <c:layout>
                <c:manualLayout>
                  <c:x val="1.7777777777777698E-2"/>
                  <c:y val="-3.2749413268218631E-17"/>
                </c:manualLayout>
              </c:layout>
              <c:spPr>
                <a:noFill/>
                <a:ln>
                  <a:noFill/>
                </a:ln>
                <a:effectLst/>
              </c:spPr>
              <c:txPr>
                <a:bodyPr rot="0" spcFirstLastPara="1" vertOverflow="ellipsis" vert="horz" wrap="square" anchor="ctr" anchorCtr="1"/>
                <a:lstStyle/>
                <a:p>
                  <a:pPr>
                    <a:defRPr sz="700" b="1" i="0" u="none" strike="noStrike" kern="1200" baseline="0">
                      <a:solidFill>
                        <a:schemeClr val="bg1"/>
                      </a:solidFill>
                      <a:latin typeface="+mn-lt"/>
                      <a:ea typeface="+mn-ea"/>
                      <a:cs typeface="+mn-cs"/>
                    </a:defRPr>
                  </a:pPr>
                  <a:endParaRPr lang="en-NL"/>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1CF-43EC-BB4A-20DEBC3F40D5}"/>
                </c:ext>
              </c:extLst>
            </c:dLbl>
            <c:spPr>
              <a:noFill/>
              <a:ln>
                <a:noFill/>
              </a:ln>
              <a:effectLst/>
            </c:spPr>
            <c:txPr>
              <a:bodyPr rot="0" spcFirstLastPara="1" vertOverflow="ellipsis" vert="horz" wrap="square" anchor="ctr" anchorCtr="1"/>
              <a:lstStyle/>
              <a:p>
                <a:pPr>
                  <a:defRPr sz="800" b="1" i="0" u="none" strike="noStrike" kern="1200" baseline="0">
                    <a:solidFill>
                      <a:schemeClr val="bg1"/>
                    </a:solidFill>
                    <a:latin typeface="+mn-lt"/>
                    <a:ea typeface="+mn-ea"/>
                    <a:cs typeface="+mn-cs"/>
                  </a:defRPr>
                </a:pPr>
                <a:endParaRPr lang="en-N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Figuren!$A$700:$A$703</c:f>
              <c:strCache>
                <c:ptCount val="4"/>
                <c:pt idx="0">
                  <c:v>De angst om onvoldoende volgeladen te zijn wanneer ik weg wil </c:v>
                </c:pt>
                <c:pt idx="1">
                  <c:v>Een langere laadtijd </c:v>
                </c:pt>
                <c:pt idx="2">
                  <c:v>Ik vind het te veel gedoe </c:v>
                </c:pt>
                <c:pt idx="3">
                  <c:v>Ik wil zelf de controle houden </c:v>
                </c:pt>
              </c:strCache>
            </c:strRef>
          </c:cat>
          <c:val>
            <c:numRef>
              <c:f>Figuren!$C$700:$C$703</c:f>
              <c:numCache>
                <c:formatCode>0%</c:formatCode>
                <c:ptCount val="4"/>
                <c:pt idx="0">
                  <c:v>9.4929881337648334E-2</c:v>
                </c:pt>
                <c:pt idx="1">
                  <c:v>0.20410367170626351</c:v>
                </c:pt>
                <c:pt idx="2">
                  <c:v>0.25458468176914778</c:v>
                </c:pt>
                <c:pt idx="3">
                  <c:v>0.14023732470334413</c:v>
                </c:pt>
              </c:numCache>
            </c:numRef>
          </c:val>
          <c:extLst>
            <c:ext xmlns:c16="http://schemas.microsoft.com/office/drawing/2014/chart" uri="{C3380CC4-5D6E-409C-BE32-E72D297353CC}">
              <c16:uniqueId val="{00000001-CA99-4050-8618-6A2CAAFF8975}"/>
            </c:ext>
          </c:extLst>
        </c:ser>
        <c:ser>
          <c:idx val="2"/>
          <c:order val="2"/>
          <c:tx>
            <c:strRef>
              <c:f>Figuren!$D$699</c:f>
              <c:strCache>
                <c:ptCount val="1"/>
                <c:pt idx="0">
                  <c:v>Neutraal</c:v>
                </c:pt>
              </c:strCache>
            </c:strRef>
          </c:tx>
          <c:spPr>
            <a:solidFill>
              <a:srgbClr val="C9C743"/>
            </a:solidFill>
            <a:ln>
              <a:noFill/>
            </a:ln>
            <a:effectLst/>
          </c:spPr>
          <c:invertIfNegative val="0"/>
          <c:dLbls>
            <c:dLbl>
              <c:idx val="0"/>
              <c:layout>
                <c:manualLayout>
                  <c:x val="2.6666666666666668E-2"/>
                  <c:y val="-1.3099765307287452E-16"/>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1CF-43EC-BB4A-20DEBC3F40D5}"/>
                </c:ext>
              </c:extLst>
            </c:dLbl>
            <c:spPr>
              <a:noFill/>
              <a:ln>
                <a:noFill/>
              </a:ln>
              <a:effectLst/>
            </c:spPr>
            <c:txPr>
              <a:bodyPr rot="0" spcFirstLastPara="1" vertOverflow="ellipsis" vert="horz" wrap="square" anchor="ctr" anchorCtr="1"/>
              <a:lstStyle/>
              <a:p>
                <a:pPr>
                  <a:defRPr sz="800" b="1" i="0" u="none" strike="noStrike" kern="1200" baseline="0">
                    <a:solidFill>
                      <a:schemeClr val="bg1"/>
                    </a:solidFill>
                    <a:latin typeface="+mn-lt"/>
                    <a:ea typeface="+mn-ea"/>
                    <a:cs typeface="+mn-cs"/>
                  </a:defRPr>
                </a:pPr>
                <a:endParaRPr lang="en-N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Figuren!$A$700:$A$703</c:f>
              <c:strCache>
                <c:ptCount val="4"/>
                <c:pt idx="0">
                  <c:v>De angst om onvoldoende volgeladen te zijn wanneer ik weg wil </c:v>
                </c:pt>
                <c:pt idx="1">
                  <c:v>Een langere laadtijd </c:v>
                </c:pt>
                <c:pt idx="2">
                  <c:v>Ik vind het te veel gedoe </c:v>
                </c:pt>
                <c:pt idx="3">
                  <c:v>Ik wil zelf de controle houden </c:v>
                </c:pt>
              </c:strCache>
            </c:strRef>
          </c:cat>
          <c:val>
            <c:numRef>
              <c:f>Figuren!$D$700:$D$703</c:f>
              <c:numCache>
                <c:formatCode>0%</c:formatCode>
                <c:ptCount val="4"/>
                <c:pt idx="0">
                  <c:v>0.17907227615965479</c:v>
                </c:pt>
                <c:pt idx="1">
                  <c:v>0.29049676025917925</c:v>
                </c:pt>
                <c:pt idx="2">
                  <c:v>0.32578209277238401</c:v>
                </c:pt>
                <c:pt idx="3">
                  <c:v>0.27508090614886732</c:v>
                </c:pt>
              </c:numCache>
            </c:numRef>
          </c:val>
          <c:extLst>
            <c:ext xmlns:c16="http://schemas.microsoft.com/office/drawing/2014/chart" uri="{C3380CC4-5D6E-409C-BE32-E72D297353CC}">
              <c16:uniqueId val="{00000002-CA99-4050-8618-6A2CAAFF8975}"/>
            </c:ext>
          </c:extLst>
        </c:ser>
        <c:ser>
          <c:idx val="3"/>
          <c:order val="3"/>
          <c:tx>
            <c:strRef>
              <c:f>Figuren!$E$699</c:f>
              <c:strCache>
                <c:ptCount val="1"/>
                <c:pt idx="0">
                  <c:v>Mee eens</c:v>
                </c:pt>
              </c:strCache>
            </c:strRef>
          </c:tx>
          <c:spPr>
            <a:solidFill>
              <a:srgbClr val="BAD6ED"/>
            </a:solidFill>
            <a:ln>
              <a:noFill/>
            </a:ln>
            <a:effectLst/>
          </c:spPr>
          <c:invertIfNegative val="0"/>
          <c:dLbls>
            <c:spPr>
              <a:noFill/>
              <a:ln>
                <a:noFill/>
              </a:ln>
              <a:effectLst/>
            </c:spPr>
            <c:txPr>
              <a:bodyPr rot="0" spcFirstLastPara="1" vertOverflow="ellipsis" vert="horz" wrap="square" anchor="ctr" anchorCtr="1"/>
              <a:lstStyle/>
              <a:p>
                <a:pPr>
                  <a:defRPr sz="800" b="1" i="0" u="none" strike="noStrike" kern="1200" baseline="0">
                    <a:solidFill>
                      <a:srgbClr val="2C307E"/>
                    </a:solidFill>
                    <a:latin typeface="+mn-lt"/>
                    <a:ea typeface="+mn-ea"/>
                    <a:cs typeface="+mn-cs"/>
                  </a:defRPr>
                </a:pPr>
                <a:endParaRPr lang="en-N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Figuren!$A$700:$A$703</c:f>
              <c:strCache>
                <c:ptCount val="4"/>
                <c:pt idx="0">
                  <c:v>De angst om onvoldoende volgeladen te zijn wanneer ik weg wil </c:v>
                </c:pt>
                <c:pt idx="1">
                  <c:v>Een langere laadtijd </c:v>
                </c:pt>
                <c:pt idx="2">
                  <c:v>Ik vind het te veel gedoe </c:v>
                </c:pt>
                <c:pt idx="3">
                  <c:v>Ik wil zelf de controle houden </c:v>
                </c:pt>
              </c:strCache>
            </c:strRef>
          </c:cat>
          <c:val>
            <c:numRef>
              <c:f>Figuren!$E$700:$E$703</c:f>
              <c:numCache>
                <c:formatCode>0%</c:formatCode>
                <c:ptCount val="4"/>
                <c:pt idx="0">
                  <c:v>0.42718446601941745</c:v>
                </c:pt>
                <c:pt idx="1">
                  <c:v>0.3250539956803456</c:v>
                </c:pt>
                <c:pt idx="2">
                  <c:v>0.18554476806903991</c:v>
                </c:pt>
                <c:pt idx="3">
                  <c:v>0.37216828478964403</c:v>
                </c:pt>
              </c:numCache>
            </c:numRef>
          </c:val>
          <c:extLst>
            <c:ext xmlns:c16="http://schemas.microsoft.com/office/drawing/2014/chart" uri="{C3380CC4-5D6E-409C-BE32-E72D297353CC}">
              <c16:uniqueId val="{00000003-CA99-4050-8618-6A2CAAFF8975}"/>
            </c:ext>
          </c:extLst>
        </c:ser>
        <c:ser>
          <c:idx val="4"/>
          <c:order val="4"/>
          <c:tx>
            <c:strRef>
              <c:f>Figuren!$F$699</c:f>
              <c:strCache>
                <c:ptCount val="1"/>
                <c:pt idx="0">
                  <c:v>Helemaal mee eens</c:v>
                </c:pt>
              </c:strCache>
            </c:strRef>
          </c:tx>
          <c:spPr>
            <a:solidFill>
              <a:srgbClr val="4EAFAA"/>
            </a:solidFill>
            <a:ln>
              <a:noFill/>
            </a:ln>
            <a:effectLst/>
          </c:spPr>
          <c:invertIfNegative val="0"/>
          <c:dLbls>
            <c:spPr>
              <a:noFill/>
              <a:ln>
                <a:noFill/>
              </a:ln>
              <a:effectLst/>
            </c:spPr>
            <c:txPr>
              <a:bodyPr rot="0" spcFirstLastPara="1" vertOverflow="ellipsis" vert="horz" wrap="square" anchor="ctr" anchorCtr="1"/>
              <a:lstStyle/>
              <a:p>
                <a:pPr>
                  <a:defRPr sz="800" b="1" i="0" u="none" strike="noStrike" kern="1200" baseline="0">
                    <a:solidFill>
                      <a:schemeClr val="bg1"/>
                    </a:solidFill>
                    <a:latin typeface="+mn-lt"/>
                    <a:ea typeface="+mn-ea"/>
                    <a:cs typeface="+mn-cs"/>
                  </a:defRPr>
                </a:pPr>
                <a:endParaRPr lang="en-N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Figuren!$A$700:$A$703</c:f>
              <c:strCache>
                <c:ptCount val="4"/>
                <c:pt idx="0">
                  <c:v>De angst om onvoldoende volgeladen te zijn wanneer ik weg wil </c:v>
                </c:pt>
                <c:pt idx="1">
                  <c:v>Een langere laadtijd </c:v>
                </c:pt>
                <c:pt idx="2">
                  <c:v>Ik vind het te veel gedoe </c:v>
                </c:pt>
                <c:pt idx="3">
                  <c:v>Ik wil zelf de controle houden </c:v>
                </c:pt>
              </c:strCache>
            </c:strRef>
          </c:cat>
          <c:val>
            <c:numRef>
              <c:f>Figuren!$F$700:$F$703</c:f>
              <c:numCache>
                <c:formatCode>0%</c:formatCode>
                <c:ptCount val="4"/>
                <c:pt idx="0">
                  <c:v>0.2459546925566343</c:v>
                </c:pt>
                <c:pt idx="1">
                  <c:v>0.11555075593952484</c:v>
                </c:pt>
                <c:pt idx="2">
                  <c:v>6.9039913700107869E-2</c:v>
                </c:pt>
                <c:pt idx="3">
                  <c:v>0.14131607335490831</c:v>
                </c:pt>
              </c:numCache>
            </c:numRef>
          </c:val>
          <c:extLst>
            <c:ext xmlns:c16="http://schemas.microsoft.com/office/drawing/2014/chart" uri="{C3380CC4-5D6E-409C-BE32-E72D297353CC}">
              <c16:uniqueId val="{00000004-CA99-4050-8618-6A2CAAFF8975}"/>
            </c:ext>
          </c:extLst>
        </c:ser>
        <c:dLbls>
          <c:dLblPos val="ctr"/>
          <c:showLegendKey val="0"/>
          <c:showVal val="1"/>
          <c:showCatName val="0"/>
          <c:showSerName val="0"/>
          <c:showPercent val="0"/>
          <c:showBubbleSize val="0"/>
        </c:dLbls>
        <c:gapWidth val="150"/>
        <c:overlap val="100"/>
        <c:axId val="1714370063"/>
        <c:axId val="1943742959"/>
      </c:barChart>
      <c:catAx>
        <c:axId val="1714370063"/>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2C307E"/>
                </a:solidFill>
                <a:latin typeface="+mn-lt"/>
                <a:ea typeface="+mn-ea"/>
                <a:cs typeface="+mn-cs"/>
              </a:defRPr>
            </a:pPr>
            <a:endParaRPr lang="en-NL"/>
          </a:p>
        </c:txPr>
        <c:crossAx val="1943742959"/>
        <c:crosses val="autoZero"/>
        <c:auto val="1"/>
        <c:lblAlgn val="ctr"/>
        <c:lblOffset val="100"/>
        <c:noMultiLvlLbl val="0"/>
      </c:catAx>
      <c:valAx>
        <c:axId val="1943742959"/>
        <c:scaling>
          <c:orientation val="minMax"/>
          <c:max val="1"/>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2C307E"/>
                </a:solidFill>
                <a:latin typeface="+mn-lt"/>
                <a:ea typeface="+mn-ea"/>
                <a:cs typeface="+mn-cs"/>
              </a:defRPr>
            </a:pPr>
            <a:endParaRPr lang="en-NL"/>
          </a:p>
        </c:txPr>
        <c:crossAx val="1714370063"/>
        <c:crosses val="autoZero"/>
        <c:crossBetween val="between"/>
      </c:valAx>
      <c:spPr>
        <a:noFill/>
        <a:ln>
          <a:noFill/>
        </a:ln>
        <a:effectLst/>
      </c:spPr>
    </c:plotArea>
    <c:legend>
      <c:legendPos val="b"/>
      <c:layout>
        <c:manualLayout>
          <c:xMode val="edge"/>
          <c:yMode val="edge"/>
          <c:x val="6.7569903762029745E-2"/>
          <c:y val="0.8244896236844993"/>
          <c:w val="0.85597130358705165"/>
          <c:h val="0.17551037631550076"/>
        </c:manualLayout>
      </c:layout>
      <c:overlay val="0"/>
      <c:spPr>
        <a:noFill/>
        <a:ln>
          <a:noFill/>
        </a:ln>
        <a:effectLst/>
      </c:spPr>
      <c:txPr>
        <a:bodyPr rot="0" spcFirstLastPara="1" vertOverflow="ellipsis" vert="horz" wrap="square" anchor="ctr" anchorCtr="1"/>
        <a:lstStyle/>
        <a:p>
          <a:pPr>
            <a:defRPr sz="900" b="0" i="0" u="none" strike="noStrike" kern="1200" baseline="0">
              <a:solidFill>
                <a:srgbClr val="2C307E"/>
              </a:solidFill>
              <a:latin typeface="+mn-lt"/>
              <a:ea typeface="+mn-ea"/>
              <a:cs typeface="+mn-cs"/>
            </a:defRPr>
          </a:pPr>
          <a:endParaRPr lang="en-NL"/>
        </a:p>
      </c:txPr>
    </c:legend>
    <c:plotVisOnly val="1"/>
    <c:dispBlanksAs val="gap"/>
    <c:showDLblsOverMax val="0"/>
  </c:chart>
  <c:spPr>
    <a:noFill/>
    <a:ln w="9525" cap="flat" cmpd="sng" algn="ctr">
      <a:noFill/>
      <a:round/>
    </a:ln>
    <a:effectLst/>
  </c:spPr>
  <c:txPr>
    <a:bodyPr/>
    <a:lstStyle/>
    <a:p>
      <a:pPr>
        <a:defRPr>
          <a:solidFill>
            <a:srgbClr val="2C307E"/>
          </a:solidFill>
        </a:defRPr>
      </a:pPr>
      <a:endParaRPr lang="en-NL"/>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78dd0a4a-21b3-4bee-8b44-ebc2dd1b3b90" xsi:nil="true"/>
    <lcf76f155ced4ddcb4097134ff3c332f xmlns="92d30de8-fa11-47ab-97a8-2f3ec1fe3c39">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D9F3A142F036D4DB31784C81D1E07D8" ma:contentTypeVersion="13" ma:contentTypeDescription="Een nieuw document maken." ma:contentTypeScope="" ma:versionID="380095982307226a421cd1122ebc130f">
  <xsd:schema xmlns:xsd="http://www.w3.org/2001/XMLSchema" xmlns:xs="http://www.w3.org/2001/XMLSchema" xmlns:p="http://schemas.microsoft.com/office/2006/metadata/properties" xmlns:ns2="92d30de8-fa11-47ab-97a8-2f3ec1fe3c39" xmlns:ns3="78dd0a4a-21b3-4bee-8b44-ebc2dd1b3b90" targetNamespace="http://schemas.microsoft.com/office/2006/metadata/properties" ma:root="true" ma:fieldsID="69b5d4125fadca17903ae7abc636f700" ns2:_="" ns3:_="">
    <xsd:import namespace="92d30de8-fa11-47ab-97a8-2f3ec1fe3c39"/>
    <xsd:import namespace="78dd0a4a-21b3-4bee-8b44-ebc2dd1b3b90"/>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MediaServiceSearchPropertie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2d30de8-fa11-47ab-97a8-2f3ec1fe3c3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lcf76f155ced4ddcb4097134ff3c332f" ma:index="16" nillable="true" ma:taxonomy="true" ma:internalName="lcf76f155ced4ddcb4097134ff3c332f" ma:taxonomyFieldName="MediaServiceImageTags" ma:displayName="Afbeeldingtags" ma:readOnly="false" ma:fieldId="{5cf76f15-5ced-4ddc-b409-7134ff3c332f}" ma:taxonomyMulti="true" ma:sspId="94cc5808-bd25-4296-832e-272a52711f2d"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8dd0a4a-21b3-4bee-8b44-ebc2dd1b3b90" elementFormDefault="qualified">
    <xsd:import namespace="http://schemas.microsoft.com/office/2006/documentManagement/types"/>
    <xsd:import namespace="http://schemas.microsoft.com/office/infopath/2007/PartnerControls"/>
    <xsd:element name="SharedWithUsers" ma:index="10"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Gedeeld met details" ma:internalName="SharedWithDetails" ma:readOnly="true">
      <xsd:simpleType>
        <xsd:restriction base="dms:Note">
          <xsd:maxLength value="255"/>
        </xsd:restriction>
      </xsd:simpleType>
    </xsd:element>
    <xsd:element name="TaxCatchAll" ma:index="17" nillable="true" ma:displayName="Taxonomy Catch All Column" ma:hidden="true" ma:list="{aae942b1-f382-4f29-adc2-f8afca975daf}" ma:internalName="TaxCatchAll" ma:showField="CatchAllData" ma:web="78dd0a4a-21b3-4bee-8b44-ebc2dd1b3b9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03B114-8D31-4C77-AAC8-32699660397D}">
  <ds:schemaRefs>
    <ds:schemaRef ds:uri="http://schemas.microsoft.com/office/2006/documentManagement/types"/>
    <ds:schemaRef ds:uri="http://schemas.openxmlformats.org/package/2006/metadata/core-properties"/>
    <ds:schemaRef ds:uri="http://purl.org/dc/elements/1.1/"/>
    <ds:schemaRef ds:uri="92d30de8-fa11-47ab-97a8-2f3ec1fe3c39"/>
    <ds:schemaRef ds:uri="http://schemas.microsoft.com/office/2006/metadata/properties"/>
    <ds:schemaRef ds:uri="http://purl.org/dc/terms/"/>
    <ds:schemaRef ds:uri="http://schemas.microsoft.com/office/infopath/2007/PartnerControls"/>
    <ds:schemaRef ds:uri="78dd0a4a-21b3-4bee-8b44-ebc2dd1b3b90"/>
    <ds:schemaRef ds:uri="http://www.w3.org/XML/1998/namespace"/>
    <ds:schemaRef ds:uri="http://purl.org/dc/dcmitype/"/>
  </ds:schemaRefs>
</ds:datastoreItem>
</file>

<file path=customXml/itemProps2.xml><?xml version="1.0" encoding="utf-8"?>
<ds:datastoreItem xmlns:ds="http://schemas.openxmlformats.org/officeDocument/2006/customXml" ds:itemID="{6BB51AE6-32C7-4793-8C7A-9F15C26CCA5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2d30de8-fa11-47ab-97a8-2f3ec1fe3c39"/>
    <ds:schemaRef ds:uri="78dd0a4a-21b3-4bee-8b44-ebc2dd1b3b9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095128B-DF88-4831-AA31-3B59C87B7F08}">
  <ds:schemaRefs>
    <ds:schemaRef ds:uri="http://schemas.microsoft.com/sharepoint/v3/contenttype/forms"/>
  </ds:schemaRefs>
</ds:datastoreItem>
</file>

<file path=customXml/itemProps4.xml><?xml version="1.0" encoding="utf-8"?>
<ds:datastoreItem xmlns:ds="http://schemas.openxmlformats.org/officeDocument/2006/customXml" ds:itemID="{BBEED6E0-ACCD-4EB0-80B0-3FA5ED0EA024}">
  <ds:schemaRefs>
    <ds:schemaRef ds:uri="http://schemas.openxmlformats.org/officeDocument/2006/bibliography"/>
  </ds:schemaRefs>
</ds:datastoreItem>
</file>

<file path=docMetadata/LabelInfo.xml><?xml version="1.0" encoding="utf-8"?>
<clbl:labelList xmlns:clbl="http://schemas.microsoft.com/office/2020/mipLabelMetadata">
  <clbl:label id="{681dcdd7-3e43-49fb-ac1e-2321f7e63421}" enabled="1" method="Standard" siteId="{1321633e-f6b9-44e2-a44f-59b9d264ecb7}" contentBits="2" removed="0"/>
</clbl:labelList>
</file>

<file path=docProps/app.xml><?xml version="1.0" encoding="utf-8"?>
<Properties xmlns="http://schemas.openxmlformats.org/officeDocument/2006/extended-properties" xmlns:vt="http://schemas.openxmlformats.org/officeDocument/2006/docPropsVTypes">
  <Template>Normal</Template>
  <TotalTime>16</TotalTime>
  <Pages>71</Pages>
  <Words>16311</Words>
  <Characters>89715</Characters>
  <Application>Microsoft Office Word</Application>
  <DocSecurity>0</DocSecurity>
  <Lines>747</Lines>
  <Paragraphs>211</Paragraphs>
  <ScaleCrop>false</ScaleCrop>
  <HeadingPairs>
    <vt:vector size="2" baseType="variant">
      <vt:variant>
        <vt:lpstr>Titel</vt:lpstr>
      </vt:variant>
      <vt:variant>
        <vt:i4>1</vt:i4>
      </vt:variant>
    </vt:vector>
  </HeadingPairs>
  <TitlesOfParts>
    <vt:vector size="1" baseType="lpstr">
      <vt:lpstr/>
    </vt:vector>
  </TitlesOfParts>
  <Company>Ministerie van Economische Zaken en Klimaat</Company>
  <LinksUpToDate>false</LinksUpToDate>
  <CharactersWithSpaces>105815</CharactersWithSpaces>
  <SharedDoc>false</SharedDoc>
  <HLinks>
    <vt:vector size="282" baseType="variant">
      <vt:variant>
        <vt:i4>7274578</vt:i4>
      </vt:variant>
      <vt:variant>
        <vt:i4>183</vt:i4>
      </vt:variant>
      <vt:variant>
        <vt:i4>0</vt:i4>
      </vt:variant>
      <vt:variant>
        <vt:i4>5</vt:i4>
      </vt:variant>
      <vt:variant>
        <vt:lpwstr>mailto:ambassadeurs@evrijders.nl</vt:lpwstr>
      </vt:variant>
      <vt:variant>
        <vt:lpwstr/>
      </vt:variant>
      <vt:variant>
        <vt:i4>6684750</vt:i4>
      </vt:variant>
      <vt:variant>
        <vt:i4>180</vt:i4>
      </vt:variant>
      <vt:variant>
        <vt:i4>0</vt:i4>
      </vt:variant>
      <vt:variant>
        <vt:i4>5</vt:i4>
      </vt:variant>
      <vt:variant>
        <vt:lpwstr>mailto:info@evrijders.nl</vt:lpwstr>
      </vt:variant>
      <vt:variant>
        <vt:lpwstr/>
      </vt:variant>
      <vt:variant>
        <vt:i4>1900545</vt:i4>
      </vt:variant>
      <vt:variant>
        <vt:i4>177</vt:i4>
      </vt:variant>
      <vt:variant>
        <vt:i4>0</vt:i4>
      </vt:variant>
      <vt:variant>
        <vt:i4>5</vt:i4>
      </vt:variant>
      <vt:variant>
        <vt:lpwstr>https://www.agendalaadinfrastructuur.nl/</vt:lpwstr>
      </vt:variant>
      <vt:variant>
        <vt:lpwstr/>
      </vt:variant>
      <vt:variant>
        <vt:i4>8323175</vt:i4>
      </vt:variant>
      <vt:variant>
        <vt:i4>174</vt:i4>
      </vt:variant>
      <vt:variant>
        <vt:i4>0</vt:i4>
      </vt:variant>
      <vt:variant>
        <vt:i4>5</vt:i4>
      </vt:variant>
      <vt:variant>
        <vt:lpwstr>http://www.rug.nl/</vt:lpwstr>
      </vt:variant>
      <vt:variant>
        <vt:lpwstr/>
      </vt:variant>
      <vt:variant>
        <vt:i4>65563</vt:i4>
      </vt:variant>
      <vt:variant>
        <vt:i4>171</vt:i4>
      </vt:variant>
      <vt:variant>
        <vt:i4>0</vt:i4>
      </vt:variant>
      <vt:variant>
        <vt:i4>5</vt:i4>
      </vt:variant>
      <vt:variant>
        <vt:lpwstr>http://www.evrijders.nl/</vt:lpwstr>
      </vt:variant>
      <vt:variant>
        <vt:lpwstr/>
      </vt:variant>
      <vt:variant>
        <vt:i4>7995495</vt:i4>
      </vt:variant>
      <vt:variant>
        <vt:i4>168</vt:i4>
      </vt:variant>
      <vt:variant>
        <vt:i4>0</vt:i4>
      </vt:variant>
      <vt:variant>
        <vt:i4>5</vt:i4>
      </vt:variant>
      <vt:variant>
        <vt:lpwstr>http://www.rvo.nl/elektrischrijden</vt:lpwstr>
      </vt:variant>
      <vt:variant>
        <vt:lpwstr/>
      </vt:variant>
      <vt:variant>
        <vt:i4>655391</vt:i4>
      </vt:variant>
      <vt:variant>
        <vt:i4>165</vt:i4>
      </vt:variant>
      <vt:variant>
        <vt:i4>0</vt:i4>
      </vt:variant>
      <vt:variant>
        <vt:i4>5</vt:i4>
      </vt:variant>
      <vt:variant>
        <vt:lpwstr>http://www.elaad.nl/</vt:lpwstr>
      </vt:variant>
      <vt:variant>
        <vt:lpwstr/>
      </vt:variant>
      <vt:variant>
        <vt:i4>5046338</vt:i4>
      </vt:variant>
      <vt:variant>
        <vt:i4>162</vt:i4>
      </vt:variant>
      <vt:variant>
        <vt:i4>0</vt:i4>
      </vt:variant>
      <vt:variant>
        <vt:i4>5</vt:i4>
      </vt:variant>
      <vt:variant>
        <vt:lpwstr>https://duurzamemobiliteit.databank.nl/documents/Nationaal-Laadonderzoek</vt:lpwstr>
      </vt:variant>
      <vt:variant>
        <vt:lpwstr/>
      </vt:variant>
      <vt:variant>
        <vt:i4>1769547</vt:i4>
      </vt:variant>
      <vt:variant>
        <vt:i4>159</vt:i4>
      </vt:variant>
      <vt:variant>
        <vt:i4>0</vt:i4>
      </vt:variant>
      <vt:variant>
        <vt:i4>5</vt:i4>
      </vt:variant>
      <vt:variant>
        <vt:lpwstr>https://duurzamemobiliteit.databank.nl/documents/EV-en-Berijdersonderzoek</vt:lpwstr>
      </vt:variant>
      <vt:variant>
        <vt:lpwstr/>
      </vt:variant>
      <vt:variant>
        <vt:i4>1769534</vt:i4>
      </vt:variant>
      <vt:variant>
        <vt:i4>152</vt:i4>
      </vt:variant>
      <vt:variant>
        <vt:i4>0</vt:i4>
      </vt:variant>
      <vt:variant>
        <vt:i4>5</vt:i4>
      </vt:variant>
      <vt:variant>
        <vt:lpwstr/>
      </vt:variant>
      <vt:variant>
        <vt:lpwstr>_Toc209702593</vt:lpwstr>
      </vt:variant>
      <vt:variant>
        <vt:i4>1769534</vt:i4>
      </vt:variant>
      <vt:variant>
        <vt:i4>146</vt:i4>
      </vt:variant>
      <vt:variant>
        <vt:i4>0</vt:i4>
      </vt:variant>
      <vt:variant>
        <vt:i4>5</vt:i4>
      </vt:variant>
      <vt:variant>
        <vt:lpwstr/>
      </vt:variant>
      <vt:variant>
        <vt:lpwstr>_Toc209702590</vt:lpwstr>
      </vt:variant>
      <vt:variant>
        <vt:i4>1703998</vt:i4>
      </vt:variant>
      <vt:variant>
        <vt:i4>140</vt:i4>
      </vt:variant>
      <vt:variant>
        <vt:i4>0</vt:i4>
      </vt:variant>
      <vt:variant>
        <vt:i4>5</vt:i4>
      </vt:variant>
      <vt:variant>
        <vt:lpwstr/>
      </vt:variant>
      <vt:variant>
        <vt:lpwstr>_Toc209702589</vt:lpwstr>
      </vt:variant>
      <vt:variant>
        <vt:i4>1703998</vt:i4>
      </vt:variant>
      <vt:variant>
        <vt:i4>134</vt:i4>
      </vt:variant>
      <vt:variant>
        <vt:i4>0</vt:i4>
      </vt:variant>
      <vt:variant>
        <vt:i4>5</vt:i4>
      </vt:variant>
      <vt:variant>
        <vt:lpwstr/>
      </vt:variant>
      <vt:variant>
        <vt:lpwstr>_Toc209702588</vt:lpwstr>
      </vt:variant>
      <vt:variant>
        <vt:i4>1703998</vt:i4>
      </vt:variant>
      <vt:variant>
        <vt:i4>128</vt:i4>
      </vt:variant>
      <vt:variant>
        <vt:i4>0</vt:i4>
      </vt:variant>
      <vt:variant>
        <vt:i4>5</vt:i4>
      </vt:variant>
      <vt:variant>
        <vt:lpwstr/>
      </vt:variant>
      <vt:variant>
        <vt:lpwstr>_Toc209702586</vt:lpwstr>
      </vt:variant>
      <vt:variant>
        <vt:i4>1703998</vt:i4>
      </vt:variant>
      <vt:variant>
        <vt:i4>122</vt:i4>
      </vt:variant>
      <vt:variant>
        <vt:i4>0</vt:i4>
      </vt:variant>
      <vt:variant>
        <vt:i4>5</vt:i4>
      </vt:variant>
      <vt:variant>
        <vt:lpwstr/>
      </vt:variant>
      <vt:variant>
        <vt:lpwstr>_Toc209702585</vt:lpwstr>
      </vt:variant>
      <vt:variant>
        <vt:i4>1703998</vt:i4>
      </vt:variant>
      <vt:variant>
        <vt:i4>116</vt:i4>
      </vt:variant>
      <vt:variant>
        <vt:i4>0</vt:i4>
      </vt:variant>
      <vt:variant>
        <vt:i4>5</vt:i4>
      </vt:variant>
      <vt:variant>
        <vt:lpwstr/>
      </vt:variant>
      <vt:variant>
        <vt:lpwstr>_Toc209702583</vt:lpwstr>
      </vt:variant>
      <vt:variant>
        <vt:i4>1703998</vt:i4>
      </vt:variant>
      <vt:variant>
        <vt:i4>110</vt:i4>
      </vt:variant>
      <vt:variant>
        <vt:i4>0</vt:i4>
      </vt:variant>
      <vt:variant>
        <vt:i4>5</vt:i4>
      </vt:variant>
      <vt:variant>
        <vt:lpwstr/>
      </vt:variant>
      <vt:variant>
        <vt:lpwstr>_Toc209702582</vt:lpwstr>
      </vt:variant>
      <vt:variant>
        <vt:i4>1703998</vt:i4>
      </vt:variant>
      <vt:variant>
        <vt:i4>104</vt:i4>
      </vt:variant>
      <vt:variant>
        <vt:i4>0</vt:i4>
      </vt:variant>
      <vt:variant>
        <vt:i4>5</vt:i4>
      </vt:variant>
      <vt:variant>
        <vt:lpwstr/>
      </vt:variant>
      <vt:variant>
        <vt:lpwstr>_Toc209702580</vt:lpwstr>
      </vt:variant>
      <vt:variant>
        <vt:i4>1376318</vt:i4>
      </vt:variant>
      <vt:variant>
        <vt:i4>98</vt:i4>
      </vt:variant>
      <vt:variant>
        <vt:i4>0</vt:i4>
      </vt:variant>
      <vt:variant>
        <vt:i4>5</vt:i4>
      </vt:variant>
      <vt:variant>
        <vt:lpwstr/>
      </vt:variant>
      <vt:variant>
        <vt:lpwstr>_Toc209702578</vt:lpwstr>
      </vt:variant>
      <vt:variant>
        <vt:i4>1376318</vt:i4>
      </vt:variant>
      <vt:variant>
        <vt:i4>92</vt:i4>
      </vt:variant>
      <vt:variant>
        <vt:i4>0</vt:i4>
      </vt:variant>
      <vt:variant>
        <vt:i4>5</vt:i4>
      </vt:variant>
      <vt:variant>
        <vt:lpwstr/>
      </vt:variant>
      <vt:variant>
        <vt:lpwstr>_Toc209702577</vt:lpwstr>
      </vt:variant>
      <vt:variant>
        <vt:i4>1376318</vt:i4>
      </vt:variant>
      <vt:variant>
        <vt:i4>86</vt:i4>
      </vt:variant>
      <vt:variant>
        <vt:i4>0</vt:i4>
      </vt:variant>
      <vt:variant>
        <vt:i4>5</vt:i4>
      </vt:variant>
      <vt:variant>
        <vt:lpwstr/>
      </vt:variant>
      <vt:variant>
        <vt:lpwstr>_Toc209702576</vt:lpwstr>
      </vt:variant>
      <vt:variant>
        <vt:i4>1376318</vt:i4>
      </vt:variant>
      <vt:variant>
        <vt:i4>80</vt:i4>
      </vt:variant>
      <vt:variant>
        <vt:i4>0</vt:i4>
      </vt:variant>
      <vt:variant>
        <vt:i4>5</vt:i4>
      </vt:variant>
      <vt:variant>
        <vt:lpwstr/>
      </vt:variant>
      <vt:variant>
        <vt:lpwstr>_Toc209702575</vt:lpwstr>
      </vt:variant>
      <vt:variant>
        <vt:i4>1376318</vt:i4>
      </vt:variant>
      <vt:variant>
        <vt:i4>74</vt:i4>
      </vt:variant>
      <vt:variant>
        <vt:i4>0</vt:i4>
      </vt:variant>
      <vt:variant>
        <vt:i4>5</vt:i4>
      </vt:variant>
      <vt:variant>
        <vt:lpwstr/>
      </vt:variant>
      <vt:variant>
        <vt:lpwstr>_Toc209702574</vt:lpwstr>
      </vt:variant>
      <vt:variant>
        <vt:i4>1376318</vt:i4>
      </vt:variant>
      <vt:variant>
        <vt:i4>68</vt:i4>
      </vt:variant>
      <vt:variant>
        <vt:i4>0</vt:i4>
      </vt:variant>
      <vt:variant>
        <vt:i4>5</vt:i4>
      </vt:variant>
      <vt:variant>
        <vt:lpwstr/>
      </vt:variant>
      <vt:variant>
        <vt:lpwstr>_Toc209702573</vt:lpwstr>
      </vt:variant>
      <vt:variant>
        <vt:i4>1376318</vt:i4>
      </vt:variant>
      <vt:variant>
        <vt:i4>62</vt:i4>
      </vt:variant>
      <vt:variant>
        <vt:i4>0</vt:i4>
      </vt:variant>
      <vt:variant>
        <vt:i4>5</vt:i4>
      </vt:variant>
      <vt:variant>
        <vt:lpwstr/>
      </vt:variant>
      <vt:variant>
        <vt:lpwstr>_Toc209702572</vt:lpwstr>
      </vt:variant>
      <vt:variant>
        <vt:i4>1310782</vt:i4>
      </vt:variant>
      <vt:variant>
        <vt:i4>56</vt:i4>
      </vt:variant>
      <vt:variant>
        <vt:i4>0</vt:i4>
      </vt:variant>
      <vt:variant>
        <vt:i4>5</vt:i4>
      </vt:variant>
      <vt:variant>
        <vt:lpwstr/>
      </vt:variant>
      <vt:variant>
        <vt:lpwstr>_Toc209702569</vt:lpwstr>
      </vt:variant>
      <vt:variant>
        <vt:i4>1310782</vt:i4>
      </vt:variant>
      <vt:variant>
        <vt:i4>50</vt:i4>
      </vt:variant>
      <vt:variant>
        <vt:i4>0</vt:i4>
      </vt:variant>
      <vt:variant>
        <vt:i4>5</vt:i4>
      </vt:variant>
      <vt:variant>
        <vt:lpwstr/>
      </vt:variant>
      <vt:variant>
        <vt:lpwstr>_Toc209702568</vt:lpwstr>
      </vt:variant>
      <vt:variant>
        <vt:i4>1310782</vt:i4>
      </vt:variant>
      <vt:variant>
        <vt:i4>44</vt:i4>
      </vt:variant>
      <vt:variant>
        <vt:i4>0</vt:i4>
      </vt:variant>
      <vt:variant>
        <vt:i4>5</vt:i4>
      </vt:variant>
      <vt:variant>
        <vt:lpwstr/>
      </vt:variant>
      <vt:variant>
        <vt:lpwstr>_Toc209702567</vt:lpwstr>
      </vt:variant>
      <vt:variant>
        <vt:i4>1310782</vt:i4>
      </vt:variant>
      <vt:variant>
        <vt:i4>38</vt:i4>
      </vt:variant>
      <vt:variant>
        <vt:i4>0</vt:i4>
      </vt:variant>
      <vt:variant>
        <vt:i4>5</vt:i4>
      </vt:variant>
      <vt:variant>
        <vt:lpwstr/>
      </vt:variant>
      <vt:variant>
        <vt:lpwstr>_Toc209702566</vt:lpwstr>
      </vt:variant>
      <vt:variant>
        <vt:i4>1310782</vt:i4>
      </vt:variant>
      <vt:variant>
        <vt:i4>32</vt:i4>
      </vt:variant>
      <vt:variant>
        <vt:i4>0</vt:i4>
      </vt:variant>
      <vt:variant>
        <vt:i4>5</vt:i4>
      </vt:variant>
      <vt:variant>
        <vt:lpwstr/>
      </vt:variant>
      <vt:variant>
        <vt:lpwstr>_Toc209702565</vt:lpwstr>
      </vt:variant>
      <vt:variant>
        <vt:i4>1310782</vt:i4>
      </vt:variant>
      <vt:variant>
        <vt:i4>26</vt:i4>
      </vt:variant>
      <vt:variant>
        <vt:i4>0</vt:i4>
      </vt:variant>
      <vt:variant>
        <vt:i4>5</vt:i4>
      </vt:variant>
      <vt:variant>
        <vt:lpwstr/>
      </vt:variant>
      <vt:variant>
        <vt:lpwstr>_Toc209702563</vt:lpwstr>
      </vt:variant>
      <vt:variant>
        <vt:i4>1310782</vt:i4>
      </vt:variant>
      <vt:variant>
        <vt:i4>20</vt:i4>
      </vt:variant>
      <vt:variant>
        <vt:i4>0</vt:i4>
      </vt:variant>
      <vt:variant>
        <vt:i4>5</vt:i4>
      </vt:variant>
      <vt:variant>
        <vt:lpwstr/>
      </vt:variant>
      <vt:variant>
        <vt:lpwstr>_Toc209702562</vt:lpwstr>
      </vt:variant>
      <vt:variant>
        <vt:i4>1310782</vt:i4>
      </vt:variant>
      <vt:variant>
        <vt:i4>14</vt:i4>
      </vt:variant>
      <vt:variant>
        <vt:i4>0</vt:i4>
      </vt:variant>
      <vt:variant>
        <vt:i4>5</vt:i4>
      </vt:variant>
      <vt:variant>
        <vt:lpwstr/>
      </vt:variant>
      <vt:variant>
        <vt:lpwstr>_Toc209702561</vt:lpwstr>
      </vt:variant>
      <vt:variant>
        <vt:i4>1310782</vt:i4>
      </vt:variant>
      <vt:variant>
        <vt:i4>8</vt:i4>
      </vt:variant>
      <vt:variant>
        <vt:i4>0</vt:i4>
      </vt:variant>
      <vt:variant>
        <vt:i4>5</vt:i4>
      </vt:variant>
      <vt:variant>
        <vt:lpwstr/>
      </vt:variant>
      <vt:variant>
        <vt:lpwstr>_Toc209702560</vt:lpwstr>
      </vt:variant>
      <vt:variant>
        <vt:i4>1507390</vt:i4>
      </vt:variant>
      <vt:variant>
        <vt:i4>2</vt:i4>
      </vt:variant>
      <vt:variant>
        <vt:i4>0</vt:i4>
      </vt:variant>
      <vt:variant>
        <vt:i4>5</vt:i4>
      </vt:variant>
      <vt:variant>
        <vt:lpwstr/>
      </vt:variant>
      <vt:variant>
        <vt:lpwstr>_Toc209702559</vt:lpwstr>
      </vt:variant>
      <vt:variant>
        <vt:i4>1179740</vt:i4>
      </vt:variant>
      <vt:variant>
        <vt:i4>33</vt:i4>
      </vt:variant>
      <vt:variant>
        <vt:i4>0</vt:i4>
      </vt:variant>
      <vt:variant>
        <vt:i4>5</vt:i4>
      </vt:variant>
      <vt:variant>
        <vt:lpwstr>https://agendalaadinfrastructuur.nl/ondersteuning+gemeenten/documenten+en+links/documenten+in+bibliotheek/handlerdownloadfiles.ashx?idnv=2297386</vt:lpwstr>
      </vt:variant>
      <vt:variant>
        <vt:lpwstr/>
      </vt:variant>
      <vt:variant>
        <vt:i4>6815849</vt:i4>
      </vt:variant>
      <vt:variant>
        <vt:i4>30</vt:i4>
      </vt:variant>
      <vt:variant>
        <vt:i4>0</vt:i4>
      </vt:variant>
      <vt:variant>
        <vt:i4>5</vt:i4>
      </vt:variant>
      <vt:variant>
        <vt:lpwstr>https://public.tableau.com/views/MonitorConsumentenmarktEnergie/Aantalcontractenpercontracttype?%3Alanguage=en-US&amp;publish-yes=&amp;%3Asid=&amp;%3Adisplay_count=viz_share_link&amp;publish=yes&amp;%3AshowVizHome=no</vt:lpwstr>
      </vt:variant>
      <vt:variant>
        <vt:lpwstr>1</vt:lpwstr>
      </vt:variant>
      <vt:variant>
        <vt:i4>6815849</vt:i4>
      </vt:variant>
      <vt:variant>
        <vt:i4>27</vt:i4>
      </vt:variant>
      <vt:variant>
        <vt:i4>0</vt:i4>
      </vt:variant>
      <vt:variant>
        <vt:i4>5</vt:i4>
      </vt:variant>
      <vt:variant>
        <vt:lpwstr>https://public.tableau.com/views/MonitorConsumentenmarktEnergie/Aantalcontractenpercontracttype?%3Alanguage=en-US&amp;publish-yes=&amp;%3Asid=&amp;%3Adisplay_count=viz_share_link&amp;publish=yes&amp;%3AshowVizHome=no</vt:lpwstr>
      </vt:variant>
      <vt:variant>
        <vt:lpwstr>1</vt:lpwstr>
      </vt:variant>
      <vt:variant>
        <vt:i4>6815849</vt:i4>
      </vt:variant>
      <vt:variant>
        <vt:i4>24</vt:i4>
      </vt:variant>
      <vt:variant>
        <vt:i4>0</vt:i4>
      </vt:variant>
      <vt:variant>
        <vt:i4>5</vt:i4>
      </vt:variant>
      <vt:variant>
        <vt:lpwstr>https://public.tableau.com/views/MonitorConsumentenmarktEnergie/Aantalcontractenpercontracttype?%3Alanguage=en-US&amp;publish-yes=&amp;%3Asid=&amp;%3Adisplay_count=viz_share_link&amp;publish=yes&amp;%3AshowVizHome=no</vt:lpwstr>
      </vt:variant>
      <vt:variant>
        <vt:lpwstr>1</vt:lpwstr>
      </vt:variant>
      <vt:variant>
        <vt:i4>6815849</vt:i4>
      </vt:variant>
      <vt:variant>
        <vt:i4>21</vt:i4>
      </vt:variant>
      <vt:variant>
        <vt:i4>0</vt:i4>
      </vt:variant>
      <vt:variant>
        <vt:i4>5</vt:i4>
      </vt:variant>
      <vt:variant>
        <vt:lpwstr>https://public.tableau.com/views/MonitorConsumentenmarktEnergie/Aantalcontractenpercontracttype?%3Alanguage=en-US&amp;publish-yes=&amp;%3Asid=&amp;%3Adisplay_count=viz_share_link&amp;publish=yes&amp;%3AshowVizHome=no</vt:lpwstr>
      </vt:variant>
      <vt:variant>
        <vt:lpwstr>1</vt:lpwstr>
      </vt:variant>
      <vt:variant>
        <vt:i4>5898246</vt:i4>
      </vt:variant>
      <vt:variant>
        <vt:i4>18</vt:i4>
      </vt:variant>
      <vt:variant>
        <vt:i4>0</vt:i4>
      </vt:variant>
      <vt:variant>
        <vt:i4>5</vt:i4>
      </vt:variant>
      <vt:variant>
        <vt:lpwstr>https://www.consilium.europa.eu/nl/infographics/fit-for-55-afir-alternative-fuels-infrastructure-regulation/</vt:lpwstr>
      </vt:variant>
      <vt:variant>
        <vt:lpwstr/>
      </vt:variant>
      <vt:variant>
        <vt:i4>2883692</vt:i4>
      </vt:variant>
      <vt:variant>
        <vt:i4>15</vt:i4>
      </vt:variant>
      <vt:variant>
        <vt:i4>0</vt:i4>
      </vt:variant>
      <vt:variant>
        <vt:i4>5</vt:i4>
      </vt:variant>
      <vt:variant>
        <vt:lpwstr>https://repository.tno.nl/SingleDoc?find=UID%2011a3b754-1ab1-4054-8c68-1679539fadac</vt:lpwstr>
      </vt:variant>
      <vt:variant>
        <vt:lpwstr/>
      </vt:variant>
      <vt:variant>
        <vt:i4>1638414</vt:i4>
      </vt:variant>
      <vt:variant>
        <vt:i4>12</vt:i4>
      </vt:variant>
      <vt:variant>
        <vt:i4>0</vt:i4>
      </vt:variant>
      <vt:variant>
        <vt:i4>5</vt:i4>
      </vt:variant>
      <vt:variant>
        <vt:lpwstr>https://vexpan.nl/artikelen/expertteam-hoeveel-parkeerplaatsen-zijn-er-in-nederland/</vt:lpwstr>
      </vt:variant>
      <vt:variant>
        <vt:lpwstr>:~:text=Op%20basis%20van%20de%20gebruikte,Eigen%20Terrein%2C%20bedrijven%206.2%20miljoen</vt:lpwstr>
      </vt:variant>
      <vt:variant>
        <vt:i4>1245196</vt:i4>
      </vt:variant>
      <vt:variant>
        <vt:i4>9</vt:i4>
      </vt:variant>
      <vt:variant>
        <vt:i4>0</vt:i4>
      </vt:variant>
      <vt:variant>
        <vt:i4>5</vt:i4>
      </vt:variant>
      <vt:variant>
        <vt:lpwstr>https://www.netbeheernederland.nl/artikelen/nieuws/groei-aantal-huishoudens-met-zonnepanelen-flink-afgenomen</vt:lpwstr>
      </vt:variant>
      <vt:variant>
        <vt:lpwstr/>
      </vt:variant>
      <vt:variant>
        <vt:i4>65612</vt:i4>
      </vt:variant>
      <vt:variant>
        <vt:i4>6</vt:i4>
      </vt:variant>
      <vt:variant>
        <vt:i4>0</vt:i4>
      </vt:variant>
      <vt:variant>
        <vt:i4>5</vt:i4>
      </vt:variant>
      <vt:variant>
        <vt:lpwstr>https://duurzamemobiliteit.databank.nl/documents/Trendrapport-Personenauto-s</vt:lpwstr>
      </vt:variant>
      <vt:variant>
        <vt:lpwstr/>
      </vt:variant>
      <vt:variant>
        <vt:i4>1703950</vt:i4>
      </vt:variant>
      <vt:variant>
        <vt:i4>3</vt:i4>
      </vt:variant>
      <vt:variant>
        <vt:i4>0</vt:i4>
      </vt:variant>
      <vt:variant>
        <vt:i4>5</vt:i4>
      </vt:variant>
      <vt:variant>
        <vt:lpwstr>https://www.cbs.nl/nl-nl/maatwerk/2024/49/gemiddeld-kilometrage-personenauto-s-per-365-dagen</vt:lpwstr>
      </vt:variant>
      <vt:variant>
        <vt:lpwstr/>
      </vt:variant>
      <vt:variant>
        <vt:i4>524294</vt:i4>
      </vt:variant>
      <vt:variant>
        <vt:i4>0</vt:i4>
      </vt:variant>
      <vt:variant>
        <vt:i4>0</vt:i4>
      </vt:variant>
      <vt:variant>
        <vt:i4>5</vt:i4>
      </vt:variant>
      <vt:variant>
        <vt:lpwstr>https://www.cbs.nl/nl-nl/longread/statistische-trends/2023/wie-rijdt-er-elektrisch-?onepage=true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Duurkoop, T. (Thijs)</dc:creator>
  <cp:keywords/>
  <dc:description/>
  <cp:lastModifiedBy>Duurkoop, T. (Thijs)</cp:lastModifiedBy>
  <cp:revision>5</cp:revision>
  <cp:lastPrinted>2024-09-09T15:24:00Z</cp:lastPrinted>
  <dcterms:created xsi:type="dcterms:W3CDTF">2025-09-25T13:17:00Z</dcterms:created>
  <dcterms:modified xsi:type="dcterms:W3CDTF">2025-09-25T14:27:00Z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2,3,7</vt:lpwstr>
  </property>
  <property fmtid="{D5CDD505-2E9C-101B-9397-08002B2CF9AE}" pid="3" name="ClassificationContentMarkingFooterFontProps">
    <vt:lpwstr>#000000,10,Calibri</vt:lpwstr>
  </property>
  <property fmtid="{D5CDD505-2E9C-101B-9397-08002B2CF9AE}" pid="4" name="ClassificationContentMarkingFooterText">
    <vt:lpwstr>Intern gebruik</vt:lpwstr>
  </property>
  <property fmtid="{D5CDD505-2E9C-101B-9397-08002B2CF9AE}" pid="5" name="ContentTypeId">
    <vt:lpwstr>0x010100DD9F3A142F036D4DB31784C81D1E07D8</vt:lpwstr>
  </property>
  <property fmtid="{D5CDD505-2E9C-101B-9397-08002B2CF9AE}" pid="6" name="MediaServiceImageTags">
    <vt:lpwstr/>
  </property>
</Properties>
</file>