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5523" w:type="pct"/>
        <w:tblLayout w:type="fixed"/>
        <w:tblCellMar>
          <w:left w:w="0" w:type="dxa"/>
          <w:right w:w="86" w:type="dxa"/>
        </w:tblCellMar>
        <w:tblLook w:val="0000" w:firstRow="0" w:lastRow="0" w:firstColumn="0" w:lastColumn="0" w:noHBand="0" w:noVBand="0"/>
      </w:tblPr>
      <w:tblGrid>
        <w:gridCol w:w="952"/>
        <w:gridCol w:w="5143"/>
        <w:gridCol w:w="3926"/>
      </w:tblGrid>
      <w:tr w:rsidR="00A876D4" w:rsidRPr="00E91AC4" w14:paraId="6669223E" w14:textId="77777777" w:rsidTr="008A098B">
        <w:trPr>
          <w:gridAfter w:val="1"/>
          <w:wAfter w:w="3926" w:type="dxa"/>
          <w:cantSplit/>
        </w:trPr>
        <w:tc>
          <w:tcPr>
            <w:tcW w:w="6095" w:type="dxa"/>
            <w:gridSpan w:val="2"/>
          </w:tcPr>
          <w:p w14:paraId="619D30E1" w14:textId="77777777" w:rsidR="00A876D4" w:rsidRPr="00E91AC4" w:rsidRDefault="00A876D4" w:rsidP="008A098B">
            <w:pPr>
              <w:pStyle w:val="zDocDate"/>
              <w:spacing w:beforeLines="480" w:before="1152" w:line="276" w:lineRule="auto"/>
              <w:rPr>
                <w:rFonts w:asciiTheme="minorHAnsi" w:hAnsiTheme="minorHAnsi" w:cstheme="minorHAnsi"/>
                <w:szCs w:val="22"/>
              </w:rPr>
            </w:pPr>
            <w:r w:rsidRPr="00E91AC4">
              <w:rPr>
                <w:rFonts w:asciiTheme="minorHAnsi" w:hAnsiTheme="minorHAnsi" w:cstheme="minorHAnsi"/>
                <w:szCs w:val="22"/>
              </w:rPr>
              <w:fldChar w:fldCharType="begin"/>
            </w:r>
            <w:r w:rsidRPr="00E91AC4">
              <w:rPr>
                <w:rFonts w:asciiTheme="minorHAnsi" w:hAnsiTheme="minorHAnsi" w:cstheme="minorHAnsi"/>
                <w:szCs w:val="22"/>
              </w:rPr>
              <w:instrText xml:space="preserve"> if </w:instrText>
            </w:r>
            <w:r w:rsidRPr="00E91AC4">
              <w:rPr>
                <w:rFonts w:asciiTheme="minorHAnsi" w:hAnsiTheme="minorHAnsi" w:cstheme="minorHAnsi"/>
                <w:szCs w:val="22"/>
              </w:rPr>
              <w:fldChar w:fldCharType="begin"/>
            </w:r>
            <w:r w:rsidRPr="00E91AC4">
              <w:rPr>
                <w:rFonts w:asciiTheme="minorHAnsi" w:hAnsiTheme="minorHAnsi" w:cstheme="minorHAnsi"/>
                <w:szCs w:val="22"/>
              </w:rPr>
              <w:instrText xml:space="preserve"> DOCPROPERTY "KISOffCity" </w:instrText>
            </w:r>
            <w:r w:rsidRPr="00E91AC4">
              <w:rPr>
                <w:rFonts w:asciiTheme="minorHAnsi" w:hAnsiTheme="minorHAnsi" w:cstheme="minorHAnsi"/>
                <w:szCs w:val="22"/>
              </w:rPr>
              <w:fldChar w:fldCharType="separate"/>
            </w:r>
            <w:r w:rsidRPr="00E91AC4">
              <w:rPr>
                <w:rFonts w:asciiTheme="minorHAnsi" w:hAnsiTheme="minorHAnsi" w:cstheme="minorHAnsi"/>
                <w:szCs w:val="22"/>
              </w:rPr>
              <w:instrText>Amstelveen</w:instrText>
            </w:r>
            <w:r w:rsidRPr="00E91AC4">
              <w:rPr>
                <w:rFonts w:asciiTheme="minorHAnsi" w:hAnsiTheme="minorHAnsi" w:cstheme="minorHAnsi"/>
                <w:szCs w:val="22"/>
              </w:rPr>
              <w:fldChar w:fldCharType="end"/>
            </w:r>
            <w:r w:rsidRPr="00E91AC4">
              <w:rPr>
                <w:rFonts w:asciiTheme="minorHAnsi" w:hAnsiTheme="minorHAnsi" w:cstheme="minorHAnsi"/>
                <w:szCs w:val="22"/>
              </w:rPr>
              <w:instrText xml:space="preserve"> &lt;&gt; "" "</w:instrText>
            </w:r>
            <w:r w:rsidRPr="00E91AC4">
              <w:rPr>
                <w:rFonts w:asciiTheme="minorHAnsi" w:hAnsiTheme="minorHAnsi" w:cstheme="minorHAnsi"/>
                <w:szCs w:val="22"/>
              </w:rPr>
              <w:fldChar w:fldCharType="begin"/>
            </w:r>
            <w:r w:rsidRPr="00E91AC4">
              <w:rPr>
                <w:rFonts w:asciiTheme="minorHAnsi" w:hAnsiTheme="minorHAnsi" w:cstheme="minorHAnsi"/>
                <w:szCs w:val="22"/>
              </w:rPr>
              <w:instrText xml:space="preserve"> DOCPROPERTY "KISOffCity" </w:instrText>
            </w:r>
            <w:r w:rsidRPr="00E91AC4">
              <w:rPr>
                <w:rFonts w:asciiTheme="minorHAnsi" w:hAnsiTheme="minorHAnsi" w:cstheme="minorHAnsi"/>
                <w:szCs w:val="22"/>
              </w:rPr>
              <w:fldChar w:fldCharType="separate"/>
            </w:r>
            <w:r w:rsidRPr="00E91AC4">
              <w:rPr>
                <w:rFonts w:asciiTheme="minorHAnsi" w:hAnsiTheme="minorHAnsi" w:cstheme="minorHAnsi"/>
                <w:szCs w:val="22"/>
              </w:rPr>
              <w:instrText>Amstelveen</w:instrText>
            </w:r>
            <w:r w:rsidRPr="00E91AC4">
              <w:rPr>
                <w:rFonts w:asciiTheme="minorHAnsi" w:hAnsiTheme="minorHAnsi" w:cstheme="minorHAnsi"/>
                <w:szCs w:val="22"/>
              </w:rPr>
              <w:fldChar w:fldCharType="end"/>
            </w:r>
            <w:r w:rsidRPr="00E91AC4">
              <w:rPr>
                <w:rFonts w:asciiTheme="minorHAnsi" w:hAnsiTheme="minorHAnsi" w:cstheme="minorHAnsi"/>
                <w:szCs w:val="22"/>
              </w:rPr>
              <w:instrText xml:space="preserve">, " </w:instrText>
            </w:r>
            <w:r w:rsidRPr="00E91AC4">
              <w:rPr>
                <w:rFonts w:asciiTheme="minorHAnsi" w:hAnsiTheme="minorHAnsi" w:cstheme="minorHAnsi"/>
                <w:szCs w:val="22"/>
              </w:rPr>
              <w:fldChar w:fldCharType="separate"/>
            </w:r>
            <w:r w:rsidRPr="00E91AC4">
              <w:rPr>
                <w:rFonts w:asciiTheme="minorHAnsi" w:hAnsiTheme="minorHAnsi" w:cstheme="minorHAnsi"/>
                <w:noProof/>
                <w:szCs w:val="22"/>
              </w:rPr>
              <w:t xml:space="preserve">Amstelveen, </w:t>
            </w:r>
            <w:r>
              <w:rPr>
                <w:rFonts w:asciiTheme="minorHAnsi" w:hAnsiTheme="minorHAnsi" w:cstheme="minorHAnsi"/>
                <w:noProof/>
                <w:szCs w:val="22"/>
              </w:rPr>
              <w:t>7 februari 2025</w:t>
            </w:r>
            <w:r w:rsidRPr="00E91AC4">
              <w:rPr>
                <w:rFonts w:asciiTheme="minorHAnsi" w:hAnsiTheme="minorHAnsi" w:cstheme="minorHAnsi"/>
                <w:noProof/>
                <w:szCs w:val="22"/>
              </w:rPr>
              <w:t xml:space="preserve"> </w:t>
            </w:r>
            <w:r w:rsidRPr="00E91AC4">
              <w:rPr>
                <w:rFonts w:asciiTheme="minorHAnsi" w:hAnsiTheme="minorHAnsi" w:cstheme="minorHAnsi"/>
                <w:szCs w:val="22"/>
              </w:rPr>
              <w:fldChar w:fldCharType="end"/>
            </w:r>
          </w:p>
        </w:tc>
      </w:tr>
      <w:tr w:rsidR="00A876D4" w:rsidRPr="00E10F6D" w14:paraId="3E7D0E3B" w14:textId="77777777" w:rsidTr="008A098B">
        <w:trPr>
          <w:cantSplit/>
        </w:trPr>
        <w:tc>
          <w:tcPr>
            <w:tcW w:w="952" w:type="dxa"/>
          </w:tcPr>
          <w:p w14:paraId="6A53A40D" w14:textId="77777777" w:rsidR="00A876D4" w:rsidRPr="00E91AC4" w:rsidRDefault="00A876D4" w:rsidP="008A098B">
            <w:pPr>
              <w:pStyle w:val="zSubject"/>
              <w:spacing w:before="0" w:after="0" w:line="276" w:lineRule="auto"/>
              <w:rPr>
                <w:rFonts w:asciiTheme="minorHAnsi" w:hAnsiTheme="minorHAnsi" w:cstheme="minorHAnsi"/>
                <w:sz w:val="22"/>
                <w:szCs w:val="22"/>
              </w:rPr>
            </w:pPr>
          </w:p>
          <w:p w14:paraId="25C96668" w14:textId="77777777" w:rsidR="00A876D4" w:rsidRPr="00E91AC4" w:rsidRDefault="00A876D4" w:rsidP="008A098B">
            <w:pPr>
              <w:pStyle w:val="zSubject"/>
              <w:spacing w:before="0" w:after="0" w:line="276" w:lineRule="auto"/>
              <w:rPr>
                <w:rFonts w:asciiTheme="minorHAnsi" w:hAnsiTheme="minorHAnsi" w:cstheme="minorHAnsi"/>
                <w:sz w:val="22"/>
                <w:szCs w:val="22"/>
              </w:rPr>
            </w:pPr>
            <w:r w:rsidRPr="00E91AC4">
              <w:rPr>
                <w:rFonts w:asciiTheme="minorHAnsi" w:hAnsiTheme="minorHAnsi" w:cstheme="minorHAnsi"/>
                <w:sz w:val="22"/>
                <w:szCs w:val="22"/>
              </w:rPr>
              <w:t>Betreft:</w:t>
            </w:r>
          </w:p>
        </w:tc>
        <w:tc>
          <w:tcPr>
            <w:tcW w:w="9069" w:type="dxa"/>
            <w:gridSpan w:val="2"/>
          </w:tcPr>
          <w:p w14:paraId="3A6A7BE6" w14:textId="77777777" w:rsidR="00A876D4" w:rsidRPr="00E91AC4" w:rsidRDefault="00A876D4" w:rsidP="008A098B">
            <w:pPr>
              <w:pStyle w:val="zSubject"/>
              <w:spacing w:before="0" w:after="0" w:line="276" w:lineRule="auto"/>
              <w:rPr>
                <w:rFonts w:asciiTheme="minorHAnsi" w:hAnsiTheme="minorHAnsi" w:cstheme="minorHAnsi"/>
                <w:b w:val="0"/>
                <w:sz w:val="22"/>
                <w:szCs w:val="22"/>
              </w:rPr>
            </w:pPr>
          </w:p>
          <w:p w14:paraId="221FF169" w14:textId="77777777" w:rsidR="00A876D4" w:rsidRPr="00E10F6D" w:rsidRDefault="00A876D4" w:rsidP="008A098B">
            <w:pPr>
              <w:pStyle w:val="zSubject"/>
              <w:spacing w:before="0" w:after="0" w:line="276" w:lineRule="auto"/>
              <w:rPr>
                <w:rFonts w:asciiTheme="minorHAnsi" w:hAnsiTheme="minorHAnsi" w:cstheme="minorHAnsi"/>
                <w:b w:val="0"/>
                <w:sz w:val="22"/>
                <w:szCs w:val="22"/>
              </w:rPr>
            </w:pPr>
            <w:r>
              <w:rPr>
                <w:rFonts w:asciiTheme="minorHAnsi" w:hAnsiTheme="minorHAnsi" w:cstheme="minorHAnsi"/>
                <w:b w:val="0"/>
                <w:sz w:val="22"/>
                <w:szCs w:val="22"/>
              </w:rPr>
              <w:t>KPMG Klimaatbrief 2025</w:t>
            </w:r>
          </w:p>
        </w:tc>
      </w:tr>
      <w:tr w:rsidR="00A876D4" w:rsidRPr="00E91AC4" w14:paraId="7CBC7D04" w14:textId="77777777" w:rsidTr="008A098B">
        <w:trPr>
          <w:cantSplit/>
          <w:trHeight w:hRule="exact" w:val="466"/>
        </w:trPr>
        <w:tc>
          <w:tcPr>
            <w:tcW w:w="10021" w:type="dxa"/>
            <w:gridSpan w:val="3"/>
          </w:tcPr>
          <w:p w14:paraId="5E97B30A" w14:textId="77777777" w:rsidR="00A876D4" w:rsidRPr="00E91AC4" w:rsidRDefault="00A876D4" w:rsidP="008A098B">
            <w:pPr>
              <w:spacing w:line="276" w:lineRule="auto"/>
              <w:rPr>
                <w:rFonts w:cstheme="minorHAnsi"/>
                <w:noProof/>
              </w:rPr>
            </w:pPr>
          </w:p>
        </w:tc>
      </w:tr>
      <w:tr w:rsidR="00A876D4" w:rsidRPr="00E91AC4" w14:paraId="4F08394B" w14:textId="77777777" w:rsidTr="008A098B">
        <w:trPr>
          <w:cantSplit/>
          <w:trHeight w:hRule="exact" w:val="466"/>
        </w:trPr>
        <w:tc>
          <w:tcPr>
            <w:tcW w:w="10021" w:type="dxa"/>
            <w:gridSpan w:val="3"/>
          </w:tcPr>
          <w:p w14:paraId="6615025B" w14:textId="77777777" w:rsidR="00A876D4" w:rsidRPr="00E91AC4" w:rsidRDefault="00A876D4" w:rsidP="008A098B">
            <w:pPr>
              <w:spacing w:line="276" w:lineRule="auto"/>
              <w:rPr>
                <w:rFonts w:cstheme="minorHAnsi"/>
                <w:noProof/>
              </w:rPr>
            </w:pPr>
            <w:r w:rsidRPr="00E91AC4">
              <w:rPr>
                <w:rFonts w:cstheme="minorHAnsi"/>
                <w:noProof/>
              </w:rPr>
              <w:t xml:space="preserve">Geachte </w:t>
            </w:r>
            <w:r>
              <w:rPr>
                <w:rFonts w:cstheme="minorHAnsi"/>
              </w:rPr>
              <w:t>lezer</w:t>
            </w:r>
            <w:r>
              <w:rPr>
                <w:rFonts w:cstheme="minorHAnsi"/>
                <w:noProof/>
              </w:rPr>
              <w:t>,</w:t>
            </w:r>
          </w:p>
        </w:tc>
      </w:tr>
    </w:tbl>
    <w:p w14:paraId="098AE317" w14:textId="77777777" w:rsidR="00A876D4" w:rsidRDefault="00A876D4" w:rsidP="00A876D4">
      <w:pPr>
        <w:spacing w:line="276" w:lineRule="auto"/>
        <w:rPr>
          <w:rFonts w:cs="Arial"/>
        </w:rPr>
      </w:pPr>
      <w:r>
        <w:rPr>
          <w:rFonts w:cs="Arial"/>
        </w:rPr>
        <w:t>De</w:t>
      </w:r>
      <w:r w:rsidRPr="00F52185">
        <w:rPr>
          <w:rFonts w:cs="Arial"/>
        </w:rPr>
        <w:t xml:space="preserve"> </w:t>
      </w:r>
      <w:r>
        <w:rPr>
          <w:rFonts w:cs="Arial"/>
        </w:rPr>
        <w:t xml:space="preserve">maatschappelijke </w:t>
      </w:r>
      <w:r w:rsidRPr="00F52185">
        <w:rPr>
          <w:rFonts w:cs="Arial"/>
        </w:rPr>
        <w:t xml:space="preserve">roep om verantwoordelijkheid te nemen voor een rechtvaardige transitie naar een duurzamere wereld </w:t>
      </w:r>
      <w:r>
        <w:rPr>
          <w:rFonts w:cs="Arial"/>
        </w:rPr>
        <w:t>is groot</w:t>
      </w:r>
      <w:r w:rsidRPr="00F52185">
        <w:rPr>
          <w:rFonts w:cs="Arial"/>
        </w:rPr>
        <w:t xml:space="preserve">. </w:t>
      </w:r>
      <w:r>
        <w:rPr>
          <w:rFonts w:cs="Arial"/>
        </w:rPr>
        <w:t>Klanten,</w:t>
      </w:r>
      <w:r w:rsidRPr="00F52185">
        <w:rPr>
          <w:rFonts w:cs="Arial"/>
        </w:rPr>
        <w:t xml:space="preserve"> investeerders, werknemers, consumenten en </w:t>
      </w:r>
      <w:r>
        <w:rPr>
          <w:rFonts w:cs="Arial"/>
        </w:rPr>
        <w:t>maatschappelijke</w:t>
      </w:r>
      <w:r w:rsidRPr="00F52185">
        <w:rPr>
          <w:rFonts w:cs="Arial"/>
        </w:rPr>
        <w:t xml:space="preserve"> organisaties eisen</w:t>
      </w:r>
      <w:r>
        <w:rPr>
          <w:rFonts w:cs="Arial"/>
        </w:rPr>
        <w:t xml:space="preserve"> inzicht in de verduurzaming van</w:t>
      </w:r>
      <w:r w:rsidRPr="00F52185">
        <w:rPr>
          <w:rFonts w:cs="Arial"/>
        </w:rPr>
        <w:t xml:space="preserve"> bedrijven</w:t>
      </w:r>
      <w:r>
        <w:rPr>
          <w:rFonts w:cs="Arial"/>
        </w:rPr>
        <w:t xml:space="preserve">. Met deze Klimaatbrief 2025 doet KPMG een oproep aan organisaties en haar (maatschappelijke) stakeholders om – ondanks de druk en focus op regelgeving zoals de Europese </w:t>
      </w:r>
      <w:r w:rsidRPr="006146F2">
        <w:rPr>
          <w:rFonts w:cs="Arial"/>
        </w:rPr>
        <w:t>Corporate Sustainability Reporting Directive (CSRD)</w:t>
      </w:r>
      <w:r>
        <w:rPr>
          <w:rFonts w:cs="Arial"/>
        </w:rPr>
        <w:t xml:space="preserve"> – de uiteindelijke doelstelling van de ESG-agenda (gericht op mens, milieu en bestuur) hoog in het vaandel te houden. </w:t>
      </w:r>
    </w:p>
    <w:p w14:paraId="3036B1F6" w14:textId="77777777" w:rsidR="00A876D4" w:rsidRPr="00F4080C" w:rsidRDefault="00A876D4" w:rsidP="00A876D4">
      <w:pPr>
        <w:spacing w:line="276" w:lineRule="auto"/>
        <w:rPr>
          <w:rFonts w:cs="Arial"/>
          <w:b/>
          <w:bCs/>
        </w:rPr>
      </w:pPr>
      <w:r>
        <w:rPr>
          <w:rFonts w:cs="Arial"/>
          <w:b/>
          <w:bCs/>
        </w:rPr>
        <w:t>Grote bedrijven goed op weg</w:t>
      </w:r>
    </w:p>
    <w:p w14:paraId="3D560495" w14:textId="77777777" w:rsidR="00A876D4" w:rsidRDefault="00A876D4" w:rsidP="00A876D4">
      <w:pPr>
        <w:spacing w:line="276" w:lineRule="auto"/>
        <w:rPr>
          <w:rFonts w:cs="Arial"/>
        </w:rPr>
      </w:pPr>
      <w:r>
        <w:rPr>
          <w:rFonts w:cs="Arial"/>
        </w:rPr>
        <w:t xml:space="preserve">De verplichte </w:t>
      </w:r>
      <w:r w:rsidRPr="006146F2">
        <w:rPr>
          <w:rFonts w:cs="Arial"/>
        </w:rPr>
        <w:t>ESG</w:t>
      </w:r>
      <w:r>
        <w:rPr>
          <w:rFonts w:cs="Arial"/>
        </w:rPr>
        <w:t>-rapportage</w:t>
      </w:r>
      <w:r w:rsidRPr="00A76E28">
        <w:rPr>
          <w:rFonts w:cs="Arial"/>
        </w:rPr>
        <w:t xml:space="preserve"> wor</w:t>
      </w:r>
      <w:r>
        <w:rPr>
          <w:rFonts w:cs="Arial"/>
        </w:rPr>
        <w:t>dt</w:t>
      </w:r>
      <w:r w:rsidRPr="00A76E28">
        <w:rPr>
          <w:rFonts w:cs="Arial"/>
        </w:rPr>
        <w:t xml:space="preserve"> stapsgewijs ingevoerd. </w:t>
      </w:r>
      <w:r>
        <w:rPr>
          <w:rFonts w:cs="Arial"/>
        </w:rPr>
        <w:t xml:space="preserve">Het wetsvoorstel is in Nederland nu ook naar de Staten-Generaal gestuurd. De eerste groep grote beursgenoteerde bedrijven, banken en verzekeraars, moet op basis van deze wet dan op gestandaardiseerde wijze inzicht geven op verschillende ESG-onderdelen. </w:t>
      </w:r>
      <w:r>
        <w:t xml:space="preserve">Veel van deze bedrijven hadden al een vorm van duurzaamheidsrapportage als voorbereiding op de CSRD-implementatie. KPMG-onderzoek laat zien dat </w:t>
      </w:r>
      <w:hyperlink r:id="rId7" w:history="1">
        <w:r w:rsidRPr="00F372D6">
          <w:rPr>
            <w:rStyle w:val="Hyperlink"/>
            <w:rFonts w:cs="Arial"/>
          </w:rPr>
          <w:t>94% van de 100 grootste Nederlandse bedrijven</w:t>
        </w:r>
      </w:hyperlink>
      <w:r w:rsidRPr="00F372D6">
        <w:rPr>
          <w:rFonts w:cs="Arial"/>
        </w:rPr>
        <w:t xml:space="preserve"> </w:t>
      </w:r>
      <w:r>
        <w:rPr>
          <w:rFonts w:cs="Arial"/>
        </w:rPr>
        <w:t xml:space="preserve">al in 2023 een duurzaamheidsverslag schreven. </w:t>
      </w:r>
    </w:p>
    <w:p w14:paraId="27FA9648" w14:textId="77777777" w:rsidR="00A876D4" w:rsidRDefault="00A876D4" w:rsidP="00A876D4">
      <w:pPr>
        <w:spacing w:line="276" w:lineRule="auto"/>
        <w:rPr>
          <w:rFonts w:cs="Arial"/>
        </w:rPr>
      </w:pPr>
      <w:r>
        <w:rPr>
          <w:rFonts w:cs="Arial"/>
        </w:rPr>
        <w:t xml:space="preserve">Het is goed dat veel bedrijven zelf tempo maken, niet in de laatste plaats omdat de CSRD ook kansen biedt. </w:t>
      </w:r>
      <w:r>
        <w:t xml:space="preserve">Wij zien dat de grote bedrijven in de eerste groep nu bezig zijn met de afronding van hun CSRD-rapportages. </w:t>
      </w:r>
      <w:r>
        <w:rPr>
          <w:rFonts w:cs="Arial"/>
        </w:rPr>
        <w:t xml:space="preserve">Toch vergt het voor deze bedrijven een grote inspanning om aan de CSRD-vereisten te voldoen. Bij het maken van </w:t>
      </w:r>
      <w:hyperlink r:id="rId8" w:history="1">
        <w:r w:rsidRPr="005E4018">
          <w:rPr>
            <w:rStyle w:val="Hyperlink"/>
            <w:rFonts w:cs="Arial"/>
          </w:rPr>
          <w:t>de CSRD-rapportage voor KPMG Nederland</w:t>
        </w:r>
      </w:hyperlink>
      <w:r>
        <w:rPr>
          <w:rFonts w:cs="Arial"/>
        </w:rPr>
        <w:t xml:space="preserve"> zijn ons twee dingen opgevallen. Ten eerste kost moeite om de focus op het doel te houden. Ten tweede constateerden we dat vroeg moet worden begonnen, en dat experts én de financiële afdeling tijdig in het proces moet worden betrokken.</w:t>
      </w:r>
    </w:p>
    <w:p w14:paraId="53640CF1" w14:textId="77777777" w:rsidR="00A876D4" w:rsidRPr="00751A31" w:rsidRDefault="00A876D4" w:rsidP="00A876D4">
      <w:pPr>
        <w:spacing w:line="276" w:lineRule="auto"/>
        <w:rPr>
          <w:rFonts w:cs="Arial"/>
          <w:b/>
          <w:bCs/>
        </w:rPr>
      </w:pPr>
      <w:r>
        <w:rPr>
          <w:rFonts w:cs="Arial"/>
          <w:b/>
          <w:bCs/>
        </w:rPr>
        <w:t>Zorgen om ‘wave 2’ bedrijven</w:t>
      </w:r>
    </w:p>
    <w:p w14:paraId="405149A6" w14:textId="77777777" w:rsidR="00A876D4" w:rsidRDefault="00A876D4" w:rsidP="00A876D4">
      <w:pPr>
        <w:spacing w:line="276" w:lineRule="auto"/>
        <w:rPr>
          <w:rFonts w:cs="Arial"/>
        </w:rPr>
      </w:pPr>
      <w:r w:rsidRPr="00ED4907">
        <w:rPr>
          <w:rFonts w:cs="Arial"/>
        </w:rPr>
        <w:t xml:space="preserve">Door de grote hoeveelheid rapportageregels en de aanzienlijke hoeveelheid data die moet worden verzameld, </w:t>
      </w:r>
      <w:r>
        <w:rPr>
          <w:rFonts w:cs="Arial"/>
        </w:rPr>
        <w:t xml:space="preserve">bestaat het gevaar dat </w:t>
      </w:r>
      <w:r w:rsidRPr="00ED4907">
        <w:rPr>
          <w:rFonts w:cs="Arial"/>
        </w:rPr>
        <w:t xml:space="preserve">de CSRD-rapportage uitmondt in een compliance-exercitie. </w:t>
      </w:r>
      <w:r>
        <w:rPr>
          <w:rFonts w:cs="Arial"/>
        </w:rPr>
        <w:t xml:space="preserve">Daarnaast is er onzekerheid over de EU-wetgeving. </w:t>
      </w:r>
      <w:r w:rsidRPr="00ED4907">
        <w:rPr>
          <w:rFonts w:cs="Arial"/>
        </w:rPr>
        <w:t>Vooral bij</w:t>
      </w:r>
      <w:r>
        <w:rPr>
          <w:rFonts w:cs="Arial"/>
        </w:rPr>
        <w:t xml:space="preserve"> grote niet-beursgenoteerde bedrijven die over 2025 hun CSRD-rapportage zouden moeten uitbrengen (‘wave 2’)</w:t>
      </w:r>
      <w:r w:rsidRPr="00ED4907">
        <w:rPr>
          <w:rFonts w:cs="Arial"/>
        </w:rPr>
        <w:t xml:space="preserve">, maken wij ons zorgen of de beoogde doelstelling door de complexiteit én de onzekerheid kan worden </w:t>
      </w:r>
      <w:r>
        <w:rPr>
          <w:rFonts w:cs="Arial"/>
        </w:rPr>
        <w:t>ge</w:t>
      </w:r>
      <w:r w:rsidRPr="00ED4907">
        <w:rPr>
          <w:rFonts w:cs="Arial"/>
        </w:rPr>
        <w:t>haald.</w:t>
      </w:r>
      <w:r>
        <w:rPr>
          <w:rFonts w:cs="Arial"/>
        </w:rPr>
        <w:t xml:space="preserve"> </w:t>
      </w:r>
      <w:r w:rsidRPr="00ED4907">
        <w:rPr>
          <w:rFonts w:cs="Arial"/>
        </w:rPr>
        <w:t xml:space="preserve">Deze bedrijven </w:t>
      </w:r>
      <w:r w:rsidRPr="00ED4907">
        <w:rPr>
          <w:rFonts w:cs="Arial"/>
        </w:rPr>
        <w:lastRenderedPageBreak/>
        <w:t xml:space="preserve">zijn uiteraard aan zet, </w:t>
      </w:r>
      <w:bookmarkStart w:id="0" w:name="_Hlk186461689"/>
      <w:r w:rsidRPr="00ED4907">
        <w:rPr>
          <w:rFonts w:cs="Arial"/>
        </w:rPr>
        <w:t xml:space="preserve">maar het verdient de aanbeveling te temporiseren </w:t>
      </w:r>
      <w:bookmarkEnd w:id="0"/>
      <w:r w:rsidRPr="00ED4907">
        <w:rPr>
          <w:rFonts w:cs="Arial"/>
        </w:rPr>
        <w:t>met rapportageregels</w:t>
      </w:r>
      <w:r>
        <w:rPr>
          <w:rFonts w:cs="Arial"/>
        </w:rPr>
        <w:t xml:space="preserve">. Dat geeft organisaties de ruimte om de CSRD-rapportage meer te laten zijn dan een compliance-exercitie. </w:t>
      </w:r>
    </w:p>
    <w:p w14:paraId="098345D1" w14:textId="77777777" w:rsidR="00A876D4" w:rsidRPr="00943618" w:rsidRDefault="00A876D4" w:rsidP="00A876D4">
      <w:pPr>
        <w:spacing w:line="276" w:lineRule="auto"/>
        <w:rPr>
          <w:rFonts w:cs="Arial"/>
          <w:b/>
          <w:bCs/>
        </w:rPr>
      </w:pPr>
      <w:r w:rsidRPr="00943618">
        <w:rPr>
          <w:rFonts w:cs="Arial"/>
          <w:b/>
          <w:bCs/>
        </w:rPr>
        <w:t>Ruimte om te oefenen, met focus op lange termijn</w:t>
      </w:r>
    </w:p>
    <w:p w14:paraId="0C1A149B" w14:textId="77777777" w:rsidR="00A876D4" w:rsidRDefault="00A876D4" w:rsidP="00A876D4">
      <w:pPr>
        <w:spacing w:line="276" w:lineRule="auto"/>
        <w:rPr>
          <w:rFonts w:cs="Arial"/>
        </w:rPr>
      </w:pPr>
      <w:r>
        <w:rPr>
          <w:rFonts w:cs="Arial"/>
        </w:rPr>
        <w:t xml:space="preserve">Voor het vertrouwen is het bovendien belangrijk dat de Nederlandse wetgeving aansluit op de Europese plannen. </w:t>
      </w:r>
      <w:r w:rsidRPr="00ED4907">
        <w:rPr>
          <w:rFonts w:cs="Arial"/>
        </w:rPr>
        <w:t xml:space="preserve">De Europese </w:t>
      </w:r>
      <w:r>
        <w:rPr>
          <w:rFonts w:cs="Arial"/>
        </w:rPr>
        <w:t>Commissie</w:t>
      </w:r>
      <w:r w:rsidRPr="00ED4907">
        <w:rPr>
          <w:rFonts w:cs="Arial"/>
        </w:rPr>
        <w:t xml:space="preserve"> zal naar verwachting </w:t>
      </w:r>
      <w:r>
        <w:rPr>
          <w:rFonts w:cs="Arial"/>
        </w:rPr>
        <w:t xml:space="preserve">eind februari </w:t>
      </w:r>
      <w:r w:rsidRPr="00ED4907">
        <w:rPr>
          <w:rFonts w:cs="Arial"/>
        </w:rPr>
        <w:t xml:space="preserve">een Omnibus Vereenvoudigingspakket publiceren, gericht op het </w:t>
      </w:r>
      <w:r>
        <w:rPr>
          <w:rFonts w:cs="Arial"/>
        </w:rPr>
        <w:t>samenvoegen</w:t>
      </w:r>
      <w:r w:rsidRPr="00ED4907">
        <w:rPr>
          <w:rFonts w:cs="Arial"/>
        </w:rPr>
        <w:t xml:space="preserve"> van de bestaande EU-vereisten voor duurzaamheidsrapportage</w:t>
      </w:r>
      <w:r>
        <w:rPr>
          <w:rFonts w:cs="Arial"/>
        </w:rPr>
        <w:t xml:space="preserve">s </w:t>
      </w:r>
      <w:r w:rsidRPr="00ED4907">
        <w:rPr>
          <w:rFonts w:cs="Arial"/>
        </w:rPr>
        <w:t>door bedrijven. Deze vereisten zijn opgenomen in</w:t>
      </w:r>
      <w:r>
        <w:rPr>
          <w:rFonts w:cs="Arial"/>
        </w:rPr>
        <w:t xml:space="preserve"> </w:t>
      </w:r>
      <w:r w:rsidRPr="00ED4907">
        <w:rPr>
          <w:rFonts w:cs="Arial"/>
        </w:rPr>
        <w:t>de richtlijn duurzaamheidsrapportage door bedrijven (CSRD)</w:t>
      </w:r>
      <w:r>
        <w:rPr>
          <w:rFonts w:cs="Arial"/>
        </w:rPr>
        <w:t xml:space="preserve">, </w:t>
      </w:r>
      <w:r w:rsidRPr="00ED4907">
        <w:rPr>
          <w:rFonts w:cs="Arial"/>
        </w:rPr>
        <w:t>de EU-taxonomieverordening en de richtlijn duurzaamheidszorgvuldigheid door bedrijven (CSDDD).</w:t>
      </w:r>
      <w:r>
        <w:rPr>
          <w:rFonts w:cs="Arial"/>
        </w:rPr>
        <w:t xml:space="preserve"> Dit is verstandig</w:t>
      </w:r>
      <w:r w:rsidRPr="004D5D79">
        <w:rPr>
          <w:rFonts w:cs="Arial"/>
        </w:rPr>
        <w:t xml:space="preserve"> </w:t>
      </w:r>
      <w:r>
        <w:rPr>
          <w:rFonts w:cs="Arial"/>
        </w:rPr>
        <w:t xml:space="preserve">om de administratieve last voor bedrijven te verminderen en dubbele rapportage te vermijden. KPMG onderschrijft </w:t>
      </w:r>
      <w:r w:rsidRPr="00775E13">
        <w:rPr>
          <w:rFonts w:cs="Arial"/>
        </w:rPr>
        <w:t>de noodzaak om de administratieve last voor bedrijven te verminderen, terwijl de hoge normen die onder de bestaande ESG-kaders worden verwacht, gehandhaafd blijven.</w:t>
      </w:r>
      <w:r>
        <w:rPr>
          <w:rFonts w:cs="Arial"/>
        </w:rPr>
        <w:t xml:space="preserve"> </w:t>
      </w:r>
    </w:p>
    <w:p w14:paraId="5F954231" w14:textId="77777777" w:rsidR="00A876D4" w:rsidRDefault="00A876D4" w:rsidP="00A876D4">
      <w:pPr>
        <w:spacing w:line="276" w:lineRule="auto"/>
        <w:rPr>
          <w:rFonts w:cs="Arial"/>
        </w:rPr>
      </w:pPr>
      <w:r>
        <w:rPr>
          <w:rFonts w:cs="Arial"/>
        </w:rPr>
        <w:t xml:space="preserve">Het temporiseren biedt bedrijven uit ‘wave 2’ ruimte om ESG doelstellingen dieper te integreren in de bedrijfsvoering, na te denken over een langetermijnstrategie en aan te sluiten op Europese regelgeving. Belangrijk is wel dat deze bedrijven doorgaan met de voorbereiding voor CSRD-rapportage. Hierbij moet worden gekeken naar het type bedrijf en specifieke belangen voor het behalen van ESG-doelstellingen. Deze bedrijven kunnen via hun accountants, die momenteel bezig zijn met de assurancewerkzaamheden van grote ondernemingen, leren van de opgedane ervaringen in deze groep. </w:t>
      </w:r>
    </w:p>
    <w:p w14:paraId="7C19415E" w14:textId="77777777" w:rsidR="00A876D4" w:rsidRPr="00C7032C" w:rsidRDefault="00A876D4" w:rsidP="00A876D4">
      <w:pPr>
        <w:spacing w:line="276" w:lineRule="auto"/>
        <w:rPr>
          <w:rFonts w:cs="Arial"/>
          <w:b/>
          <w:bCs/>
        </w:rPr>
      </w:pPr>
      <w:r w:rsidRPr="00C7032C">
        <w:rPr>
          <w:rFonts w:cs="Arial"/>
          <w:b/>
          <w:bCs/>
        </w:rPr>
        <w:t>Rol van de accountant</w:t>
      </w:r>
    </w:p>
    <w:p w14:paraId="6FED9EBE" w14:textId="77777777" w:rsidR="00A876D4" w:rsidRDefault="00A876D4" w:rsidP="00A876D4">
      <w:pPr>
        <w:spacing w:line="276" w:lineRule="auto"/>
        <w:rPr>
          <w:rFonts w:cs="Arial"/>
        </w:rPr>
      </w:pPr>
      <w:r>
        <w:rPr>
          <w:rFonts w:cs="Arial"/>
        </w:rPr>
        <w:t xml:space="preserve">Ook onze accountants gaan door met hun werkzaamheden op het gebied van duurzaamheid. In onze controleverklaringen over de jaarrekeningen van 2024 nemen we opnieuw een klimaatparagraaf op. Daarnaast hebben we expliciet aandacht voor de aansluiting van de duurzaamheids- en de financiële verslaggeving. In ons assurancerapport bij de duurzaamheidsverslaggeving wijzen we bewust op dat wat het management schrijft over de onzekerheden die gepaard gaan met de eerste toepassing van de CSRD-standaarden waarmee wordt geduid in welke tijdsgeest deze assurancerapportages zijn opgesteld. Uiteraard voeren we ook al gesprekken met de bedrijven uit ‘wave 2’ over de tijdigheid en de uitwerking van de dubbele materialiteitsanalyse. </w:t>
      </w:r>
    </w:p>
    <w:p w14:paraId="09EFD8EF" w14:textId="77777777" w:rsidR="00A876D4" w:rsidRPr="00FD50C1" w:rsidRDefault="00A876D4" w:rsidP="00A876D4">
      <w:pPr>
        <w:spacing w:line="276" w:lineRule="auto"/>
        <w:rPr>
          <w:rFonts w:cs="Arial"/>
          <w:b/>
          <w:bCs/>
        </w:rPr>
      </w:pPr>
      <w:r>
        <w:rPr>
          <w:rFonts w:cs="Arial"/>
          <w:b/>
          <w:bCs/>
        </w:rPr>
        <w:t>Concrete adviezen voor bedrijven</w:t>
      </w:r>
    </w:p>
    <w:p w14:paraId="516210AE" w14:textId="77777777" w:rsidR="00A876D4" w:rsidRDefault="00A876D4" w:rsidP="00A876D4">
      <w:pPr>
        <w:spacing w:line="276" w:lineRule="auto"/>
        <w:rPr>
          <w:rFonts w:cs="Arial"/>
        </w:rPr>
      </w:pPr>
      <w:r>
        <w:rPr>
          <w:rFonts w:cs="Arial"/>
        </w:rPr>
        <w:t xml:space="preserve">Wij hebben drie adviezen voor bedrijven: </w:t>
      </w:r>
    </w:p>
    <w:p w14:paraId="3A26C478" w14:textId="77777777" w:rsidR="00A876D4" w:rsidRPr="005B4127" w:rsidRDefault="00A876D4" w:rsidP="00A876D4">
      <w:pPr>
        <w:pStyle w:val="ListParagraph"/>
        <w:numPr>
          <w:ilvl w:val="0"/>
          <w:numId w:val="1"/>
        </w:numPr>
        <w:spacing w:line="276" w:lineRule="auto"/>
        <w:rPr>
          <w:rFonts w:cs="Arial"/>
        </w:rPr>
      </w:pPr>
      <w:r>
        <w:rPr>
          <w:rFonts w:cs="Arial"/>
        </w:rPr>
        <w:t>S</w:t>
      </w:r>
      <w:r w:rsidRPr="005B4127">
        <w:rPr>
          <w:rFonts w:cs="Arial"/>
        </w:rPr>
        <w:t xml:space="preserve">tart tijdig met de dubbele materialiteitsanalyse en doe deze in iteraties; </w:t>
      </w:r>
    </w:p>
    <w:p w14:paraId="7C4C0096" w14:textId="77777777" w:rsidR="00A876D4" w:rsidRPr="005B4127" w:rsidRDefault="00A876D4" w:rsidP="00A876D4">
      <w:pPr>
        <w:pStyle w:val="ListParagraph"/>
        <w:numPr>
          <w:ilvl w:val="0"/>
          <w:numId w:val="1"/>
        </w:numPr>
        <w:spacing w:line="276" w:lineRule="auto"/>
        <w:rPr>
          <w:rFonts w:cs="Arial"/>
        </w:rPr>
      </w:pPr>
      <w:r>
        <w:rPr>
          <w:rFonts w:cs="Arial"/>
        </w:rPr>
        <w:t>Doe</w:t>
      </w:r>
      <w:r w:rsidRPr="005B4127">
        <w:rPr>
          <w:rFonts w:cs="Arial"/>
        </w:rPr>
        <w:t xml:space="preserve"> tijdig een dry-run </w:t>
      </w:r>
      <w:r>
        <w:rPr>
          <w:rFonts w:cs="Arial"/>
        </w:rPr>
        <w:t xml:space="preserve">om inzicht te </w:t>
      </w:r>
      <w:r w:rsidRPr="005B4127">
        <w:rPr>
          <w:rFonts w:cs="Arial"/>
        </w:rPr>
        <w:t xml:space="preserve">krijgen in </w:t>
      </w:r>
      <w:r>
        <w:rPr>
          <w:rFonts w:cs="Arial"/>
        </w:rPr>
        <w:t xml:space="preserve">de </w:t>
      </w:r>
      <w:r w:rsidRPr="005B4127">
        <w:rPr>
          <w:rFonts w:cs="Arial"/>
        </w:rPr>
        <w:t xml:space="preserve">beschikbaarheid en betrouwbaarheid van data; </w:t>
      </w:r>
    </w:p>
    <w:p w14:paraId="0ABF8843" w14:textId="77777777" w:rsidR="00A876D4" w:rsidRPr="005B4127" w:rsidRDefault="00A876D4" w:rsidP="00A876D4">
      <w:pPr>
        <w:pStyle w:val="ListParagraph"/>
        <w:numPr>
          <w:ilvl w:val="0"/>
          <w:numId w:val="1"/>
        </w:numPr>
        <w:spacing w:line="276" w:lineRule="auto"/>
        <w:rPr>
          <w:rFonts w:cs="Arial"/>
        </w:rPr>
      </w:pPr>
      <w:r>
        <w:rPr>
          <w:rFonts w:cs="Arial"/>
        </w:rPr>
        <w:t>O</w:t>
      </w:r>
      <w:r w:rsidRPr="005B4127">
        <w:rPr>
          <w:rFonts w:cs="Arial"/>
        </w:rPr>
        <w:t xml:space="preserve">nderbouw de uitgangpunten en leg het gevolgde proces vast. </w:t>
      </w:r>
    </w:p>
    <w:p w14:paraId="70DB18ED" w14:textId="77777777" w:rsidR="00A876D4" w:rsidRDefault="00A876D4" w:rsidP="00A876D4">
      <w:pPr>
        <w:spacing w:line="276" w:lineRule="auto"/>
        <w:rPr>
          <w:rFonts w:cs="Arial"/>
        </w:rPr>
      </w:pPr>
      <w:r>
        <w:rPr>
          <w:rFonts w:cs="Arial"/>
        </w:rPr>
        <w:lastRenderedPageBreak/>
        <w:t xml:space="preserve">We </w:t>
      </w:r>
      <w:r w:rsidRPr="00ED4907">
        <w:rPr>
          <w:rFonts w:cs="Arial"/>
        </w:rPr>
        <w:t xml:space="preserve">moeten </w:t>
      </w:r>
      <w:r>
        <w:rPr>
          <w:rFonts w:cs="Arial"/>
        </w:rPr>
        <w:t xml:space="preserve">niet </w:t>
      </w:r>
      <w:r w:rsidRPr="00ED4907">
        <w:rPr>
          <w:rFonts w:cs="Arial"/>
        </w:rPr>
        <w:t xml:space="preserve">vergeten dat regelgeving een middel is, niet het doel. </w:t>
      </w:r>
      <w:r>
        <w:rPr>
          <w:rFonts w:cs="Arial"/>
        </w:rPr>
        <w:t xml:space="preserve">Uiteindelijk gaat de CSRD niet alleen om rapportage, maar om inzicht in de onderliggende handelingen van bedrijven. Dit betekent dat de focus vanuit de (EU) wetgever minder op regelgeving zou moeten liggen. Hiervoor in de plaats zou meer aandacht moeten gaan naar het aanmoedigen van innovatie op het gebied van duurzaamheid. Denk bijvoorbeeld aan innovatiefondsen die het duurzaam handelen stimuleren. </w:t>
      </w:r>
    </w:p>
    <w:p w14:paraId="20582AD8" w14:textId="77777777" w:rsidR="00A876D4" w:rsidRPr="00B07467" w:rsidRDefault="00A876D4" w:rsidP="00A876D4">
      <w:pPr>
        <w:spacing w:line="276" w:lineRule="auto"/>
        <w:rPr>
          <w:rFonts w:cs="Arial"/>
        </w:rPr>
      </w:pPr>
      <w:r>
        <w:rPr>
          <w:rFonts w:cs="Arial"/>
        </w:rPr>
        <w:t>Een rechtvaardigde transitie en versnelling naar een duurzame wereld wordt gerealiseerd door het opnemen van ESG in de bedrijfsprocessen, het liefst gericht op rendabele en duurzame businesscases. Dit is belangrijk voor het verdienmodel van de toekomst en zal leiden tot versterking van de intrinsieke motivatie om hierover te rapporteren. Daarmee vermijden we dat het voldoen aan duurzaamheidswetgeving een compliance-exercitie wordt.</w:t>
      </w:r>
    </w:p>
    <w:tbl>
      <w:tblPr>
        <w:tblW w:w="5933" w:type="pct"/>
        <w:tblCellMar>
          <w:left w:w="0" w:type="dxa"/>
          <w:right w:w="115" w:type="dxa"/>
        </w:tblCellMar>
        <w:tblLook w:val="0000" w:firstRow="0" w:lastRow="0" w:firstColumn="0" w:lastColumn="0" w:noHBand="0" w:noVBand="0"/>
      </w:tblPr>
      <w:tblGrid>
        <w:gridCol w:w="6229"/>
        <w:gridCol w:w="4536"/>
      </w:tblGrid>
      <w:tr w:rsidR="00A876D4" w:rsidRPr="00F52185" w14:paraId="129165CB" w14:textId="77777777" w:rsidTr="008A098B">
        <w:trPr>
          <w:cantSplit/>
        </w:trPr>
        <w:tc>
          <w:tcPr>
            <w:tcW w:w="2893" w:type="pct"/>
          </w:tcPr>
          <w:p w14:paraId="717065ED" w14:textId="77777777" w:rsidR="00A876D4" w:rsidRPr="001545D7" w:rsidRDefault="00A876D4" w:rsidP="008A098B">
            <w:pPr>
              <w:pStyle w:val="zSignature"/>
              <w:spacing w:before="0" w:after="0" w:line="276" w:lineRule="auto"/>
              <w:rPr>
                <w:rFonts w:asciiTheme="minorHAnsi" w:hAnsiTheme="minorHAnsi" w:cstheme="minorHAnsi"/>
                <w:szCs w:val="22"/>
              </w:rPr>
            </w:pPr>
            <w:r w:rsidRPr="001545D7">
              <w:rPr>
                <w:rFonts w:asciiTheme="minorHAnsi" w:hAnsiTheme="minorHAnsi" w:cstheme="minorHAnsi"/>
                <w:szCs w:val="22"/>
              </w:rPr>
              <w:fldChar w:fldCharType="begin"/>
            </w:r>
            <w:r w:rsidRPr="001545D7">
              <w:rPr>
                <w:rFonts w:asciiTheme="minorHAnsi" w:hAnsiTheme="minorHAnsi" w:cstheme="minorHAnsi"/>
                <w:szCs w:val="22"/>
              </w:rPr>
              <w:instrText xml:space="preserve"> DOCPROPERTY "KISClosing" \* charformat </w:instrText>
            </w:r>
            <w:r w:rsidRPr="001545D7">
              <w:rPr>
                <w:rFonts w:asciiTheme="minorHAnsi" w:hAnsiTheme="minorHAnsi" w:cstheme="minorHAnsi"/>
                <w:szCs w:val="22"/>
              </w:rPr>
              <w:fldChar w:fldCharType="separate"/>
            </w:r>
            <w:r w:rsidRPr="001545D7">
              <w:rPr>
                <w:rFonts w:asciiTheme="minorHAnsi" w:hAnsiTheme="minorHAnsi" w:cstheme="minorHAnsi"/>
                <w:szCs w:val="22"/>
              </w:rPr>
              <w:t>Met vriendelijke groet,</w:t>
            </w:r>
            <w:r w:rsidRPr="001545D7">
              <w:rPr>
                <w:rFonts w:asciiTheme="minorHAnsi" w:hAnsiTheme="minorHAnsi" w:cstheme="minorHAnsi"/>
                <w:szCs w:val="22"/>
              </w:rPr>
              <w:fldChar w:fldCharType="end"/>
            </w:r>
          </w:p>
        </w:tc>
        <w:tc>
          <w:tcPr>
            <w:tcW w:w="2107" w:type="pct"/>
          </w:tcPr>
          <w:p w14:paraId="00031D8D" w14:textId="77777777" w:rsidR="00A876D4" w:rsidRPr="00F52185" w:rsidRDefault="00A876D4" w:rsidP="008A098B">
            <w:pPr>
              <w:pStyle w:val="zSignature"/>
              <w:spacing w:before="0" w:after="0" w:line="276" w:lineRule="auto"/>
              <w:rPr>
                <w:rFonts w:cs="Arial"/>
                <w:i/>
                <w:iCs/>
                <w:szCs w:val="22"/>
              </w:rPr>
            </w:pPr>
            <w:r w:rsidRPr="00F52185">
              <w:rPr>
                <w:rFonts w:cs="Arial"/>
                <w:i/>
                <w:iCs/>
                <w:szCs w:val="22"/>
              </w:rPr>
              <w:fldChar w:fldCharType="begin"/>
            </w:r>
            <w:r w:rsidRPr="00F52185">
              <w:rPr>
                <w:rFonts w:cs="Arial"/>
                <w:i/>
                <w:iCs/>
                <w:szCs w:val="22"/>
              </w:rPr>
              <w:instrText xml:space="preserve"> DOCPROPERTY "KISClosing2" \* charformat </w:instrText>
            </w:r>
            <w:r w:rsidRPr="00F52185">
              <w:rPr>
                <w:rFonts w:cs="Arial"/>
                <w:i/>
                <w:iCs/>
                <w:szCs w:val="22"/>
              </w:rPr>
              <w:fldChar w:fldCharType="end"/>
            </w:r>
          </w:p>
        </w:tc>
      </w:tr>
      <w:tr w:rsidR="00A876D4" w:rsidRPr="00F52185" w14:paraId="543063F8" w14:textId="77777777" w:rsidTr="008A098B">
        <w:trPr>
          <w:cantSplit/>
        </w:trPr>
        <w:tc>
          <w:tcPr>
            <w:tcW w:w="2893" w:type="pct"/>
          </w:tcPr>
          <w:p w14:paraId="6EFADFBB" w14:textId="77777777" w:rsidR="00A876D4" w:rsidRPr="001545D7" w:rsidRDefault="00A876D4" w:rsidP="008A098B">
            <w:pPr>
              <w:pStyle w:val="zSignature"/>
              <w:spacing w:before="0" w:after="0" w:line="276" w:lineRule="auto"/>
              <w:rPr>
                <w:rFonts w:asciiTheme="minorHAnsi" w:hAnsiTheme="minorHAnsi" w:cstheme="minorHAnsi"/>
                <w:szCs w:val="22"/>
              </w:rPr>
            </w:pPr>
          </w:p>
          <w:p w14:paraId="2965FF6F" w14:textId="77777777" w:rsidR="00A876D4" w:rsidRPr="001545D7" w:rsidRDefault="00A876D4" w:rsidP="008A098B">
            <w:pPr>
              <w:pStyle w:val="zSignature"/>
              <w:spacing w:before="0" w:after="0" w:line="276" w:lineRule="auto"/>
              <w:rPr>
                <w:rFonts w:asciiTheme="minorHAnsi" w:hAnsiTheme="minorHAnsi" w:cstheme="minorHAnsi"/>
                <w:szCs w:val="22"/>
              </w:rPr>
            </w:pPr>
          </w:p>
          <w:p w14:paraId="4905162C" w14:textId="77777777" w:rsidR="00A876D4" w:rsidRPr="001545D7" w:rsidRDefault="00A876D4" w:rsidP="008A098B">
            <w:pPr>
              <w:pStyle w:val="zSignature"/>
              <w:spacing w:before="0" w:after="0" w:line="276" w:lineRule="auto"/>
              <w:rPr>
                <w:rFonts w:asciiTheme="minorHAnsi" w:hAnsiTheme="minorHAnsi" w:cstheme="minorHAnsi"/>
                <w:szCs w:val="22"/>
              </w:rPr>
            </w:pPr>
          </w:p>
        </w:tc>
        <w:tc>
          <w:tcPr>
            <w:tcW w:w="2107" w:type="pct"/>
          </w:tcPr>
          <w:p w14:paraId="63306F72" w14:textId="77777777" w:rsidR="00A876D4" w:rsidRPr="00F52185" w:rsidRDefault="00A876D4" w:rsidP="008A098B">
            <w:pPr>
              <w:pStyle w:val="zSignature"/>
              <w:spacing w:before="0" w:after="0" w:line="276" w:lineRule="auto"/>
              <w:rPr>
                <w:rFonts w:cs="Arial"/>
                <w:i/>
                <w:iCs/>
                <w:szCs w:val="22"/>
              </w:rPr>
            </w:pPr>
          </w:p>
        </w:tc>
      </w:tr>
      <w:tr w:rsidR="00A876D4" w:rsidRPr="00433041" w14:paraId="0BA0A315" w14:textId="77777777" w:rsidTr="008A098B">
        <w:trPr>
          <w:cantSplit/>
        </w:trPr>
        <w:tc>
          <w:tcPr>
            <w:tcW w:w="2893" w:type="pct"/>
          </w:tcPr>
          <w:p w14:paraId="5F780F16" w14:textId="77777777" w:rsidR="00A876D4" w:rsidRPr="00433041" w:rsidRDefault="00A876D4" w:rsidP="008A098B">
            <w:pPr>
              <w:spacing w:line="276" w:lineRule="auto"/>
              <w:rPr>
                <w:rFonts w:cs="Arial"/>
              </w:rPr>
            </w:pPr>
            <w:r w:rsidRPr="00433041">
              <w:rPr>
                <w:rFonts w:cs="Arial"/>
              </w:rPr>
              <w:fldChar w:fldCharType="begin"/>
            </w:r>
            <w:r w:rsidRPr="00433041">
              <w:rPr>
                <w:rFonts w:cs="Arial"/>
              </w:rPr>
              <w:instrText xml:space="preserve"> DocProperty KISFromName \* charformat </w:instrText>
            </w:r>
            <w:r w:rsidRPr="00433041">
              <w:rPr>
                <w:rFonts w:cs="Arial"/>
              </w:rPr>
              <w:fldChar w:fldCharType="separate"/>
            </w:r>
            <w:r w:rsidRPr="00433041">
              <w:rPr>
                <w:rFonts w:cs="Arial"/>
              </w:rPr>
              <w:t>Mariska van de Luur</w:t>
            </w:r>
            <w:r w:rsidRPr="00433041">
              <w:rPr>
                <w:rFonts w:cs="Arial"/>
              </w:rPr>
              <w:fldChar w:fldCharType="end"/>
            </w:r>
          </w:p>
          <w:p w14:paraId="1BE7B1B6" w14:textId="77777777" w:rsidR="00A876D4" w:rsidRPr="00433041" w:rsidRDefault="00A876D4" w:rsidP="008A098B">
            <w:pPr>
              <w:spacing w:line="276" w:lineRule="auto"/>
              <w:rPr>
                <w:rFonts w:cs="Arial"/>
                <w:i/>
                <w:iCs/>
              </w:rPr>
            </w:pPr>
            <w:r w:rsidRPr="00433041">
              <w:rPr>
                <w:rFonts w:cs="Arial"/>
              </w:rPr>
              <w:fldChar w:fldCharType="begin"/>
            </w:r>
            <w:r w:rsidRPr="00433041">
              <w:rPr>
                <w:rFonts w:cs="Arial"/>
              </w:rPr>
              <w:instrText xml:space="preserve"> DocProperty KISFromPosn \* charformat</w:instrText>
            </w:r>
            <w:r w:rsidRPr="00433041">
              <w:rPr>
                <w:rFonts w:cs="Arial"/>
              </w:rPr>
              <w:fldChar w:fldCharType="separate"/>
            </w:r>
            <w:r w:rsidRPr="00433041">
              <w:rPr>
                <w:rFonts w:cs="Arial"/>
              </w:rPr>
              <w:t>Head of Assurance | Lid Raad van Bestuur KPMG N.V.</w:t>
            </w:r>
            <w:r w:rsidRPr="00433041">
              <w:rPr>
                <w:rFonts w:cs="Arial"/>
              </w:rPr>
              <w:fldChar w:fldCharType="end"/>
            </w:r>
          </w:p>
        </w:tc>
        <w:tc>
          <w:tcPr>
            <w:tcW w:w="2107" w:type="pct"/>
          </w:tcPr>
          <w:p w14:paraId="22994A1E" w14:textId="77777777" w:rsidR="00A876D4" w:rsidRPr="00433041" w:rsidRDefault="00A876D4" w:rsidP="008A098B">
            <w:pPr>
              <w:spacing w:line="276" w:lineRule="auto"/>
              <w:rPr>
                <w:rFonts w:cs="Arial"/>
                <w:i/>
                <w:iCs/>
              </w:rPr>
            </w:pPr>
            <w:r w:rsidRPr="00433041">
              <w:rPr>
                <w:rFonts w:cs="Arial"/>
                <w:i/>
                <w:iCs/>
              </w:rPr>
              <w:fldChar w:fldCharType="begin"/>
            </w:r>
            <w:r w:rsidRPr="00433041">
              <w:rPr>
                <w:rFonts w:cs="Arial"/>
                <w:i/>
                <w:iCs/>
              </w:rPr>
              <w:instrText xml:space="preserve"> DocProperty KISFromName2 \* charformat </w:instrText>
            </w:r>
            <w:r w:rsidRPr="00433041">
              <w:rPr>
                <w:rFonts w:cs="Arial"/>
                <w:i/>
                <w:iCs/>
              </w:rPr>
              <w:fldChar w:fldCharType="end"/>
            </w:r>
          </w:p>
          <w:p w14:paraId="6DBD20CF" w14:textId="77777777" w:rsidR="00A876D4" w:rsidRPr="00433041" w:rsidRDefault="00A876D4" w:rsidP="008A098B">
            <w:pPr>
              <w:spacing w:line="276" w:lineRule="auto"/>
              <w:rPr>
                <w:rFonts w:cs="Arial"/>
                <w:i/>
                <w:iCs/>
              </w:rPr>
            </w:pPr>
            <w:r w:rsidRPr="00433041">
              <w:rPr>
                <w:rFonts w:cs="Arial"/>
                <w:i/>
                <w:iCs/>
              </w:rPr>
              <w:fldChar w:fldCharType="begin"/>
            </w:r>
            <w:r w:rsidRPr="00433041">
              <w:rPr>
                <w:rFonts w:cs="Arial"/>
                <w:i/>
                <w:iCs/>
              </w:rPr>
              <w:instrText xml:space="preserve"> DocProperty KISFromPosn2 \* charformat</w:instrText>
            </w:r>
            <w:r w:rsidRPr="00433041">
              <w:rPr>
                <w:rFonts w:cs="Arial"/>
                <w:i/>
                <w:iCs/>
              </w:rPr>
              <w:fldChar w:fldCharType="end"/>
            </w:r>
          </w:p>
        </w:tc>
      </w:tr>
    </w:tbl>
    <w:p w14:paraId="2C9D161A" w14:textId="77777777" w:rsidR="00A876D4" w:rsidRDefault="00A876D4" w:rsidP="00A876D4"/>
    <w:p w14:paraId="784F56F8" w14:textId="77777777" w:rsidR="0041777D" w:rsidRDefault="0041777D"/>
    <w:sectPr w:rsidR="0041777D">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075D" w14:textId="77777777" w:rsidR="00A876D4" w:rsidRDefault="00A876D4" w:rsidP="00A876D4">
      <w:pPr>
        <w:spacing w:after="0" w:line="240" w:lineRule="auto"/>
      </w:pPr>
      <w:r>
        <w:separator/>
      </w:r>
    </w:p>
  </w:endnote>
  <w:endnote w:type="continuationSeparator" w:id="0">
    <w:p w14:paraId="54563BD5" w14:textId="77777777" w:rsidR="00A876D4" w:rsidRDefault="00A876D4" w:rsidP="00A8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for KPMG">
    <w:altName w:val="Calibri"/>
    <w:charset w:val="00"/>
    <w:family w:val="swiss"/>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6249709"/>
      <w:docPartObj>
        <w:docPartGallery w:val="Page Numbers (Bottom of Page)"/>
        <w:docPartUnique/>
      </w:docPartObj>
    </w:sdtPr>
    <w:sdtContent>
      <w:p w14:paraId="16604A92" w14:textId="77777777" w:rsidR="00A876D4" w:rsidRPr="003D0C7F" w:rsidRDefault="00A876D4" w:rsidP="00A876D4">
        <w:pPr>
          <w:pStyle w:val="Footer"/>
          <w:jc w:val="right"/>
          <w:rPr>
            <w:rFonts w:ascii="Arial" w:hAnsi="Arial" w:cs="Arial"/>
            <w:sz w:val="11"/>
            <w:szCs w:val="11"/>
          </w:rPr>
        </w:pPr>
        <w:r w:rsidRPr="003D0C7F">
          <w:rPr>
            <w:rFonts w:ascii="Arial" w:hAnsi="Arial" w:cs="Arial"/>
            <w:sz w:val="11"/>
            <w:szCs w:val="11"/>
          </w:rPr>
          <w:t xml:space="preserve">Document classification: KPMG Public </w:t>
        </w:r>
      </w:p>
      <w:p w14:paraId="07197A31" w14:textId="77777777" w:rsidR="00A876D4" w:rsidRPr="003D0C7F" w:rsidRDefault="00A876D4" w:rsidP="00A876D4">
        <w:pPr>
          <w:pStyle w:val="Footer"/>
          <w:jc w:val="right"/>
          <w:rPr>
            <w:rFonts w:ascii="Arial" w:hAnsi="Arial" w:cs="Arial"/>
            <w:sz w:val="11"/>
            <w:szCs w:val="11"/>
          </w:rPr>
        </w:pPr>
        <w:r w:rsidRPr="003D0C7F">
          <w:rPr>
            <w:rFonts w:ascii="Arial" w:hAnsi="Arial" w:cs="Arial"/>
            <w:sz w:val="11"/>
            <w:szCs w:val="11"/>
          </w:rPr>
          <w:t>KPMG Accountants N.V., ingeschreven bij het handelsregister in Nederland onder nummer 33263683, is lid van het KPMG-netwerk van zelfstandige ondernemingen die verbonden zijn aan KPMG International Cooperative (‘KPMG International’), een Zwitserse en.</w:t>
        </w:r>
      </w:p>
      <w:p w14:paraId="77715149" w14:textId="77777777" w:rsidR="00A876D4" w:rsidRDefault="00A876D4" w:rsidP="00A876D4">
        <w:pPr>
          <w:pStyle w:val="Footer"/>
          <w:jc w:val="right"/>
        </w:pPr>
        <w:r>
          <w:fldChar w:fldCharType="begin"/>
        </w:r>
        <w:r>
          <w:instrText>PAGE   \* MERGEFORMAT</w:instrText>
        </w:r>
        <w:r>
          <w:fldChar w:fldCharType="separate"/>
        </w:r>
        <w:r>
          <w:t>1</w:t>
        </w:r>
        <w:r>
          <w:fldChar w:fldCharType="end"/>
        </w:r>
      </w:p>
    </w:sdtContent>
  </w:sdt>
  <w:p w14:paraId="51485328" w14:textId="77777777" w:rsidR="00A876D4" w:rsidRPr="00E14D2C" w:rsidRDefault="00A876D4" w:rsidP="00A876D4">
    <w:pPr>
      <w:pStyle w:val="Footer"/>
      <w:rPr>
        <w:rFonts w:ascii="Arial" w:hAnsi="Arial" w:cs="Arial"/>
        <w:sz w:val="11"/>
        <w:szCs w:val="11"/>
      </w:rPr>
    </w:pPr>
  </w:p>
  <w:p w14:paraId="3AAA2BD8" w14:textId="77777777" w:rsidR="00A876D4" w:rsidRDefault="00A87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D6CE1" w14:textId="77777777" w:rsidR="00A876D4" w:rsidRDefault="00A876D4" w:rsidP="00A876D4">
      <w:pPr>
        <w:spacing w:after="0" w:line="240" w:lineRule="auto"/>
      </w:pPr>
      <w:r>
        <w:separator/>
      </w:r>
    </w:p>
  </w:footnote>
  <w:footnote w:type="continuationSeparator" w:id="0">
    <w:p w14:paraId="4A1390DF" w14:textId="77777777" w:rsidR="00A876D4" w:rsidRDefault="00A876D4" w:rsidP="00A8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1" w:type="dxa"/>
      <w:tblInd w:w="2977" w:type="dxa"/>
      <w:tblLayout w:type="fixed"/>
      <w:tblCellMar>
        <w:left w:w="0" w:type="dxa"/>
        <w:right w:w="113" w:type="dxa"/>
      </w:tblCellMar>
      <w:tblLook w:val="0000" w:firstRow="0" w:lastRow="0" w:firstColumn="0" w:lastColumn="0" w:noHBand="0" w:noVBand="0"/>
    </w:tblPr>
    <w:tblGrid>
      <w:gridCol w:w="3424"/>
      <w:gridCol w:w="3097"/>
    </w:tblGrid>
    <w:tr w:rsidR="00A876D4" w:rsidRPr="000E75E9" w14:paraId="551BEDB6" w14:textId="77777777" w:rsidTr="008A098B">
      <w:tc>
        <w:tcPr>
          <w:tcW w:w="3424" w:type="dxa"/>
        </w:tcPr>
        <w:p w14:paraId="38F3DFC0" w14:textId="77777777" w:rsidR="00A876D4" w:rsidRPr="007C689F" w:rsidRDefault="00A876D4" w:rsidP="00A876D4">
          <w:pPr>
            <w:spacing w:line="190" w:lineRule="exact"/>
            <w:rPr>
              <w:rFonts w:asciiTheme="majorHAnsi" w:hAnsiTheme="majorHAnsi" w:cstheme="majorHAnsi"/>
              <w:sz w:val="15"/>
              <w:lang w:val="en-US"/>
            </w:rPr>
          </w:pPr>
          <w:r w:rsidRPr="007F6BBC">
            <w:rPr>
              <w:rFonts w:asciiTheme="majorHAnsi" w:hAnsiTheme="majorHAnsi" w:cstheme="majorHAnsi"/>
              <w:sz w:val="15"/>
            </w:rPr>
            <w:fldChar w:fldCharType="begin"/>
          </w:r>
          <w:r w:rsidRPr="007F6BBC">
            <w:rPr>
              <w:rFonts w:asciiTheme="majorHAnsi" w:hAnsiTheme="majorHAnsi" w:cstheme="majorHAnsi"/>
              <w:sz w:val="15"/>
              <w:lang w:val="en-US"/>
            </w:rPr>
            <w:instrText xml:space="preserve"> if </w:instrText>
          </w:r>
          <w:r w:rsidRPr="007F6BBC">
            <w:rPr>
              <w:rFonts w:asciiTheme="majorHAnsi" w:hAnsiTheme="majorHAnsi" w:cstheme="majorHAnsi"/>
              <w:sz w:val="15"/>
            </w:rPr>
            <w:fldChar w:fldCharType="begin"/>
          </w:r>
          <w:r w:rsidRPr="007F6BBC">
            <w:rPr>
              <w:rFonts w:asciiTheme="majorHAnsi" w:hAnsiTheme="majorHAnsi" w:cstheme="majorHAnsi"/>
              <w:sz w:val="15"/>
              <w:lang w:val="en-US"/>
            </w:rPr>
            <w:instrText xml:space="preserve"> DocProperty KISFirm</w:instrText>
          </w:r>
          <w:r>
            <w:rPr>
              <w:rFonts w:asciiTheme="majorHAnsi" w:hAnsiTheme="majorHAnsi" w:cstheme="majorHAnsi"/>
              <w:sz w:val="15"/>
              <w:lang w:val="en-US"/>
            </w:rPr>
            <w:instrText>Disp</w:instrText>
          </w:r>
          <w:r w:rsidRPr="007F6BBC">
            <w:rPr>
              <w:rFonts w:asciiTheme="majorHAnsi" w:hAnsiTheme="majorHAnsi" w:cstheme="majorHAnsi"/>
              <w:sz w:val="15"/>
              <w:lang w:val="en-US"/>
            </w:rPr>
            <w:instrText xml:space="preserve">Name </w:instrText>
          </w:r>
          <w:r w:rsidRPr="007F6BBC">
            <w:rPr>
              <w:rFonts w:asciiTheme="majorHAnsi" w:hAnsiTheme="majorHAnsi" w:cstheme="majorHAnsi"/>
              <w:sz w:val="15"/>
            </w:rPr>
            <w:fldChar w:fldCharType="separate"/>
          </w:r>
          <w:r>
            <w:rPr>
              <w:rFonts w:asciiTheme="majorHAnsi" w:hAnsiTheme="majorHAnsi" w:cstheme="majorHAnsi"/>
              <w:sz w:val="15"/>
              <w:lang w:val="en-US"/>
            </w:rPr>
            <w:instrText>KPMG Accountants N.V.</w:instrText>
          </w:r>
          <w:r w:rsidRPr="007F6BBC">
            <w:rPr>
              <w:rFonts w:asciiTheme="majorHAnsi" w:hAnsiTheme="majorHAnsi" w:cstheme="majorHAnsi"/>
              <w:sz w:val="15"/>
            </w:rPr>
            <w:fldChar w:fldCharType="end"/>
          </w:r>
          <w:r w:rsidRPr="007F6BBC">
            <w:rPr>
              <w:rFonts w:asciiTheme="majorHAnsi" w:hAnsiTheme="majorHAnsi" w:cstheme="majorHAnsi"/>
              <w:sz w:val="15"/>
              <w:lang w:val="en-US"/>
            </w:rPr>
            <w:instrText xml:space="preserve"> &lt;&gt; “” “</w:instrText>
          </w:r>
          <w:r w:rsidRPr="007F6BBC">
            <w:rPr>
              <w:rFonts w:asciiTheme="majorHAnsi" w:hAnsiTheme="majorHAnsi" w:cstheme="majorHAnsi"/>
              <w:sz w:val="15"/>
            </w:rPr>
            <w:fldChar w:fldCharType="begin"/>
          </w:r>
          <w:r w:rsidRPr="007F6BBC">
            <w:rPr>
              <w:rFonts w:asciiTheme="majorHAnsi" w:hAnsiTheme="majorHAnsi" w:cstheme="majorHAnsi"/>
              <w:sz w:val="15"/>
              <w:lang w:val="en-US"/>
            </w:rPr>
            <w:instrText xml:space="preserve"> </w:instrText>
          </w:r>
          <w:r w:rsidRPr="007F6BBC">
            <w:rPr>
              <w:rFonts w:asciiTheme="majorHAnsi" w:hAnsiTheme="majorHAnsi" w:cstheme="majorHAnsi"/>
              <w:b/>
              <w:sz w:val="15"/>
              <w:lang w:val="en-US"/>
            </w:rPr>
            <w:instrText>D</w:instrText>
          </w:r>
          <w:r w:rsidRPr="007F6BBC">
            <w:rPr>
              <w:rFonts w:asciiTheme="majorHAnsi" w:hAnsiTheme="majorHAnsi" w:cstheme="majorHAnsi"/>
              <w:sz w:val="15"/>
              <w:lang w:val="en-US"/>
            </w:rPr>
            <w:instrText>ocProperty KISFirm</w:instrText>
          </w:r>
          <w:r>
            <w:rPr>
              <w:rFonts w:asciiTheme="majorHAnsi" w:hAnsiTheme="majorHAnsi" w:cstheme="majorHAnsi"/>
              <w:sz w:val="15"/>
              <w:lang w:val="en-US"/>
            </w:rPr>
            <w:instrText>Disp</w:instrText>
          </w:r>
          <w:r w:rsidRPr="007F6BBC">
            <w:rPr>
              <w:rFonts w:asciiTheme="majorHAnsi" w:hAnsiTheme="majorHAnsi" w:cstheme="majorHAnsi"/>
              <w:sz w:val="15"/>
              <w:lang w:val="en-US"/>
            </w:rPr>
            <w:instrText xml:space="preserve">Name \*charformat </w:instrText>
          </w:r>
          <w:r w:rsidRPr="007F6BBC">
            <w:rPr>
              <w:rFonts w:asciiTheme="majorHAnsi" w:hAnsiTheme="majorHAnsi" w:cstheme="majorHAnsi"/>
              <w:sz w:val="15"/>
            </w:rPr>
            <w:fldChar w:fldCharType="separate"/>
          </w:r>
          <w:r>
            <w:rPr>
              <w:rFonts w:asciiTheme="majorHAnsi" w:hAnsiTheme="majorHAnsi" w:cstheme="majorHAnsi"/>
              <w:b/>
              <w:sz w:val="15"/>
              <w:lang w:val="en-US"/>
            </w:rPr>
            <w:instrText>KPMG Accountants N.V.</w:instrText>
          </w:r>
          <w:r w:rsidRPr="007F6BBC">
            <w:rPr>
              <w:rFonts w:asciiTheme="majorHAnsi" w:hAnsiTheme="majorHAnsi" w:cstheme="majorHAnsi"/>
              <w:sz w:val="15"/>
            </w:rPr>
            <w:fldChar w:fldCharType="end"/>
          </w:r>
          <w:r w:rsidRPr="007F6BBC">
            <w:rPr>
              <w:rFonts w:asciiTheme="majorHAnsi" w:hAnsiTheme="majorHAnsi" w:cstheme="majorHAnsi"/>
              <w:sz w:val="15"/>
              <w:lang w:val="en-US"/>
            </w:rPr>
            <w:br/>
            <w:instrText xml:space="preserve">“ </w:instrText>
          </w:r>
          <w:r w:rsidRPr="007F6BBC">
            <w:rPr>
              <w:rFonts w:asciiTheme="majorHAnsi" w:hAnsiTheme="majorHAnsi" w:cstheme="majorHAnsi"/>
              <w:sz w:val="15"/>
            </w:rPr>
            <w:fldChar w:fldCharType="separate"/>
          </w:r>
          <w:r>
            <w:rPr>
              <w:rFonts w:asciiTheme="majorHAnsi" w:hAnsiTheme="majorHAnsi" w:cstheme="majorHAnsi"/>
              <w:b/>
              <w:noProof/>
              <w:sz w:val="15"/>
              <w:lang w:val="en-US"/>
            </w:rPr>
            <w:t>KPMG Accountants N.V.</w:t>
          </w:r>
          <w:r w:rsidRPr="007F6BBC">
            <w:rPr>
              <w:rFonts w:asciiTheme="majorHAnsi" w:hAnsiTheme="majorHAnsi" w:cstheme="majorHAnsi"/>
              <w:noProof/>
              <w:sz w:val="15"/>
              <w:lang w:val="en-US"/>
            </w:rPr>
            <w:br/>
          </w:r>
          <w:r w:rsidRPr="007F6BBC">
            <w:rPr>
              <w:rFonts w:asciiTheme="majorHAnsi" w:hAnsiTheme="majorHAnsi" w:cstheme="majorHAnsi"/>
              <w:sz w:val="15"/>
            </w:rPr>
            <w:fldChar w:fldCharType="end"/>
          </w:r>
          <w:r w:rsidRPr="007C689F">
            <w:rPr>
              <w:rFonts w:asciiTheme="majorHAnsi" w:hAnsiTheme="majorHAnsi" w:cstheme="majorHAnsi"/>
              <w:sz w:val="15"/>
            </w:rPr>
            <w:fldChar w:fldCharType="begin"/>
          </w:r>
          <w:r w:rsidRPr="007C689F">
            <w:rPr>
              <w:rFonts w:asciiTheme="majorHAnsi" w:hAnsiTheme="majorHAnsi" w:cstheme="majorHAnsi"/>
              <w:sz w:val="15"/>
              <w:lang w:val="en-US"/>
            </w:rPr>
            <w:instrText xml:space="preserve"> if </w:instrText>
          </w:r>
          <w:r w:rsidRPr="007C689F">
            <w:rPr>
              <w:rFonts w:asciiTheme="majorHAnsi" w:hAnsiTheme="majorHAnsi" w:cstheme="majorHAnsi"/>
              <w:sz w:val="15"/>
            </w:rPr>
            <w:fldChar w:fldCharType="begin"/>
          </w:r>
          <w:r w:rsidRPr="007C689F">
            <w:rPr>
              <w:rFonts w:asciiTheme="majorHAnsi" w:hAnsiTheme="majorHAnsi" w:cstheme="majorHAnsi"/>
              <w:sz w:val="15"/>
              <w:lang w:val="en-US"/>
            </w:rPr>
            <w:instrText xml:space="preserve"> DocProperty KISSvcPrtName </w:instrText>
          </w:r>
          <w:r w:rsidRPr="007C689F">
            <w:rPr>
              <w:rFonts w:asciiTheme="majorHAnsi" w:hAnsiTheme="majorHAnsi" w:cstheme="majorHAnsi"/>
              <w:sz w:val="15"/>
            </w:rPr>
            <w:fldChar w:fldCharType="end"/>
          </w:r>
          <w:r w:rsidRPr="007C689F">
            <w:rPr>
              <w:rFonts w:asciiTheme="majorHAnsi" w:hAnsiTheme="majorHAnsi" w:cstheme="majorHAnsi"/>
              <w:sz w:val="15"/>
              <w:lang w:val="en-US"/>
            </w:rPr>
            <w:instrText xml:space="preserve"> &lt;&gt;”” “</w:instrText>
          </w:r>
          <w:r w:rsidRPr="007C689F">
            <w:rPr>
              <w:rFonts w:asciiTheme="majorHAnsi" w:hAnsiTheme="majorHAnsi" w:cstheme="majorHAnsi"/>
              <w:sz w:val="15"/>
            </w:rPr>
            <w:fldChar w:fldCharType="begin"/>
          </w:r>
          <w:r w:rsidRPr="007C689F">
            <w:rPr>
              <w:rFonts w:asciiTheme="majorHAnsi" w:hAnsiTheme="majorHAnsi" w:cstheme="majorHAnsi"/>
              <w:sz w:val="15"/>
              <w:lang w:val="en-US"/>
            </w:rPr>
            <w:instrText xml:space="preserve"> </w:instrText>
          </w:r>
          <w:r w:rsidRPr="007C689F">
            <w:rPr>
              <w:rFonts w:asciiTheme="majorHAnsi" w:hAnsiTheme="majorHAnsi" w:cstheme="majorHAnsi"/>
              <w:b/>
              <w:sz w:val="15"/>
              <w:lang w:val="en-US"/>
            </w:rPr>
            <w:instrText>D</w:instrText>
          </w:r>
          <w:r w:rsidRPr="007C689F">
            <w:rPr>
              <w:rFonts w:asciiTheme="majorHAnsi" w:hAnsiTheme="majorHAnsi" w:cstheme="majorHAnsi"/>
              <w:sz w:val="15"/>
              <w:lang w:val="en-US"/>
            </w:rPr>
            <w:instrText xml:space="preserve">ocProperty KISSvcPrtName \*charformat  </w:instrText>
          </w:r>
          <w:r w:rsidRPr="007C689F">
            <w:rPr>
              <w:rFonts w:asciiTheme="majorHAnsi" w:hAnsiTheme="majorHAnsi" w:cstheme="majorHAnsi"/>
              <w:sz w:val="15"/>
            </w:rPr>
            <w:fldChar w:fldCharType="separate"/>
          </w:r>
          <w:r>
            <w:rPr>
              <w:rFonts w:asciiTheme="majorHAnsi" w:hAnsiTheme="majorHAnsi" w:cstheme="majorHAnsi"/>
              <w:b/>
              <w:sz w:val="15"/>
              <w:lang w:val="en-US"/>
            </w:rPr>
            <w:instrText>Core service or market</w:instrText>
          </w:r>
          <w:r w:rsidRPr="007C689F">
            <w:rPr>
              <w:rFonts w:asciiTheme="majorHAnsi" w:hAnsiTheme="majorHAnsi" w:cstheme="majorHAnsi"/>
              <w:sz w:val="15"/>
            </w:rPr>
            <w:fldChar w:fldCharType="end"/>
          </w:r>
        </w:p>
        <w:p w14:paraId="7EDB95A0" w14:textId="2ADABFFF" w:rsidR="00A876D4" w:rsidRPr="007C689F" w:rsidRDefault="00A876D4" w:rsidP="00A876D4">
          <w:pPr>
            <w:spacing w:line="190" w:lineRule="exact"/>
            <w:rPr>
              <w:rFonts w:asciiTheme="majorHAnsi" w:hAnsiTheme="majorHAnsi" w:cstheme="majorHAnsi"/>
              <w:sz w:val="15"/>
              <w:lang w:val="en-US"/>
            </w:rPr>
          </w:pPr>
          <w:r w:rsidRPr="007C689F">
            <w:rPr>
              <w:rFonts w:asciiTheme="majorHAnsi" w:hAnsiTheme="majorHAnsi" w:cstheme="majorHAnsi"/>
              <w:sz w:val="15"/>
              <w:lang w:val="en-US"/>
            </w:rPr>
            <w:instrText xml:space="preserve">” </w:instrText>
          </w:r>
          <w:r w:rsidRPr="007C689F">
            <w:rPr>
              <w:rFonts w:asciiTheme="majorHAnsi" w:hAnsiTheme="majorHAnsi" w:cstheme="majorHAnsi"/>
              <w:sz w:val="15"/>
            </w:rPr>
            <w:fldChar w:fldCharType="end"/>
          </w:r>
          <w:r w:rsidRPr="000E75E9">
            <w:rPr>
              <w:rFonts w:asciiTheme="majorHAnsi" w:hAnsiTheme="majorHAnsi" w:cstheme="majorHAnsi"/>
              <w:sz w:val="15"/>
            </w:rPr>
            <w:fldChar w:fldCharType="begin"/>
          </w:r>
          <w:r w:rsidRPr="007C689F">
            <w:rPr>
              <w:rFonts w:asciiTheme="majorHAnsi" w:hAnsiTheme="majorHAnsi" w:cstheme="majorHAnsi"/>
              <w:sz w:val="15"/>
              <w:lang w:val="en-US"/>
            </w:rPr>
            <w:instrText xml:space="preserve"> DocProperty KISOff1Addr </w:instrText>
          </w:r>
          <w:r w:rsidRPr="000E75E9">
            <w:rPr>
              <w:rFonts w:asciiTheme="majorHAnsi" w:hAnsiTheme="majorHAnsi" w:cstheme="majorHAnsi"/>
              <w:sz w:val="15"/>
            </w:rPr>
            <w:fldChar w:fldCharType="separate"/>
          </w:r>
          <w:r>
            <w:rPr>
              <w:rFonts w:asciiTheme="majorHAnsi" w:hAnsiTheme="majorHAnsi" w:cstheme="majorHAnsi"/>
              <w:sz w:val="15"/>
              <w:lang w:val="en-US"/>
            </w:rPr>
            <w:t>Postbus 74500</w:t>
          </w:r>
          <w:r>
            <w:rPr>
              <w:rFonts w:asciiTheme="majorHAnsi" w:hAnsiTheme="majorHAnsi" w:cstheme="majorHAnsi"/>
              <w:sz w:val="15"/>
              <w:lang w:val="en-US"/>
            </w:rPr>
            <w:br/>
            <w:t>1070 DB  Amsterdam</w:t>
          </w:r>
          <w:r w:rsidRPr="000E75E9">
            <w:rPr>
              <w:rFonts w:asciiTheme="majorHAnsi" w:hAnsiTheme="majorHAnsi" w:cstheme="majorHAnsi"/>
              <w:sz w:val="15"/>
            </w:rPr>
            <w:fldChar w:fldCharType="end"/>
          </w:r>
        </w:p>
      </w:tc>
      <w:tc>
        <w:tcPr>
          <w:tcW w:w="3097" w:type="dxa"/>
        </w:tcPr>
        <w:p w14:paraId="49080E5D" w14:textId="77777777" w:rsidR="00A876D4" w:rsidRPr="000E75E9" w:rsidRDefault="00A876D4" w:rsidP="00A876D4">
          <w:pPr>
            <w:spacing w:line="190" w:lineRule="exact"/>
            <w:rPr>
              <w:rFonts w:asciiTheme="majorHAnsi" w:hAnsiTheme="majorHAnsi" w:cstheme="majorHAnsi"/>
              <w:sz w:val="15"/>
            </w:rPr>
          </w:pPr>
          <w:r w:rsidRPr="000E75E9">
            <w:rPr>
              <w:rFonts w:asciiTheme="majorHAnsi" w:hAnsiTheme="majorHAnsi" w:cstheme="majorHAnsi"/>
              <w:sz w:val="15"/>
            </w:rPr>
            <w:fldChar w:fldCharType="begin"/>
          </w:r>
          <w:r w:rsidRPr="000E75E9">
            <w:rPr>
              <w:rFonts w:asciiTheme="majorHAnsi" w:hAnsiTheme="majorHAnsi" w:cstheme="majorHAnsi"/>
              <w:sz w:val="15"/>
            </w:rPr>
            <w:instrText xml:space="preserve"> DocProperty KISOff3Addr </w:instrText>
          </w:r>
          <w:r w:rsidRPr="000E75E9">
            <w:rPr>
              <w:rFonts w:asciiTheme="majorHAnsi" w:hAnsiTheme="majorHAnsi" w:cstheme="majorHAnsi"/>
              <w:sz w:val="15"/>
            </w:rPr>
            <w:fldChar w:fldCharType="separate"/>
          </w:r>
          <w:r>
            <w:rPr>
              <w:rFonts w:asciiTheme="majorHAnsi" w:hAnsiTheme="majorHAnsi" w:cstheme="majorHAnsi"/>
              <w:sz w:val="15"/>
            </w:rPr>
            <w:t>Laan van Langerhuize 1</w:t>
          </w:r>
          <w:r>
            <w:rPr>
              <w:rFonts w:asciiTheme="majorHAnsi" w:hAnsiTheme="majorHAnsi" w:cstheme="majorHAnsi"/>
              <w:sz w:val="15"/>
            </w:rPr>
            <w:br/>
            <w:t>1186 DS  Amstelveen</w:t>
          </w:r>
          <w:r>
            <w:rPr>
              <w:rFonts w:asciiTheme="majorHAnsi" w:hAnsiTheme="majorHAnsi" w:cstheme="majorHAnsi"/>
              <w:sz w:val="15"/>
            </w:rPr>
            <w:br/>
            <w:t>Telefoon (020) 656 7890</w:t>
          </w:r>
          <w:r>
            <w:rPr>
              <w:rFonts w:asciiTheme="majorHAnsi" w:hAnsiTheme="majorHAnsi" w:cstheme="majorHAnsi"/>
              <w:sz w:val="15"/>
            </w:rPr>
            <w:br/>
            <w:t>www.kpmg.nl</w:t>
          </w:r>
          <w:r w:rsidRPr="000E75E9">
            <w:rPr>
              <w:rFonts w:asciiTheme="majorHAnsi" w:hAnsiTheme="majorHAnsi" w:cstheme="majorHAnsi"/>
              <w:sz w:val="15"/>
            </w:rPr>
            <w:fldChar w:fldCharType="end"/>
          </w:r>
        </w:p>
      </w:tc>
    </w:tr>
  </w:tbl>
  <w:p w14:paraId="2B7B367C" w14:textId="77777777" w:rsidR="00A876D4" w:rsidRPr="008D3600" w:rsidRDefault="00A876D4" w:rsidP="00A876D4">
    <w:pPr>
      <w:framePr w:w="1531" w:h="720" w:hRule="exact" w:wrap="around" w:vAnchor="page" w:hAnchor="page" w:x="1192" w:y="710"/>
      <w:spacing w:before="20" w:after="20"/>
      <w:jc w:val="center"/>
      <w:rPr>
        <w:rFonts w:ascii="Univers for KPMG" w:hAnsi="Univers for KPMG"/>
        <w:iCs/>
        <w:sz w:val="20"/>
      </w:rPr>
    </w:pPr>
    <w:r w:rsidRPr="00906210">
      <w:rPr>
        <w:rFonts w:ascii="Univers for KPMG" w:hAnsi="Univers for KPMG"/>
        <w:iCs/>
        <w:noProof/>
        <w:sz w:val="20"/>
        <w:lang w:val="en-US"/>
      </w:rPr>
      <w:drawing>
        <wp:inline distT="0" distB="0" distL="0" distR="0" wp14:anchorId="03587FD9" wp14:editId="752D69B1">
          <wp:extent cx="972185" cy="390383"/>
          <wp:effectExtent l="0" t="0" r="0" b="0"/>
          <wp:docPr id="1" name="Picture 1" descr="c:\users\rfuchs\OneDrive - KPMG\Desktop\kp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fuchs\OneDrive - KPMG\Desktop\kpmg-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185" cy="390383"/>
                  </a:xfrm>
                  <a:prstGeom prst="rect">
                    <a:avLst/>
                  </a:prstGeom>
                  <a:noFill/>
                  <a:ln>
                    <a:noFill/>
                  </a:ln>
                </pic:spPr>
              </pic:pic>
            </a:graphicData>
          </a:graphic>
        </wp:inline>
      </w:drawing>
    </w:r>
  </w:p>
  <w:p w14:paraId="30E604F2" w14:textId="77777777" w:rsidR="00A876D4" w:rsidRPr="00035A38" w:rsidRDefault="00A876D4" w:rsidP="00A876D4">
    <w:pPr>
      <w:pStyle w:val="Header"/>
    </w:pPr>
  </w:p>
  <w:p w14:paraId="11C6EAD1" w14:textId="77777777" w:rsidR="00A876D4" w:rsidRDefault="00A87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3B36B7"/>
    <w:multiLevelType w:val="hybridMultilevel"/>
    <w:tmpl w:val="90E63AF0"/>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56028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6D4"/>
    <w:rsid w:val="001D2B1B"/>
    <w:rsid w:val="0041777D"/>
    <w:rsid w:val="00A876D4"/>
    <w:rsid w:val="00CF76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8EDB5"/>
  <w15:chartTrackingRefBased/>
  <w15:docId w15:val="{507286C9-6646-4285-AFCA-46F37494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6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DocDate">
    <w:name w:val="zDocDate"/>
    <w:basedOn w:val="Normal"/>
    <w:rsid w:val="00A876D4"/>
    <w:pPr>
      <w:spacing w:before="240" w:after="0" w:line="240" w:lineRule="auto"/>
    </w:pPr>
    <w:rPr>
      <w:rFonts w:ascii="Arial" w:eastAsia="Times New Roman" w:hAnsi="Arial" w:cs="Times New Roman"/>
      <w:kern w:val="0"/>
      <w:szCs w:val="20"/>
      <w14:ligatures w14:val="none"/>
    </w:rPr>
  </w:style>
  <w:style w:type="paragraph" w:customStyle="1" w:styleId="zSubject">
    <w:name w:val="zSubject"/>
    <w:basedOn w:val="BodyText"/>
    <w:rsid w:val="00A876D4"/>
    <w:pPr>
      <w:spacing w:before="120" w:line="240" w:lineRule="auto"/>
    </w:pPr>
    <w:rPr>
      <w:rFonts w:ascii="Arial" w:eastAsia="Times New Roman" w:hAnsi="Arial" w:cs="Times New Roman"/>
      <w:b/>
      <w:bCs/>
      <w:kern w:val="0"/>
      <w:sz w:val="24"/>
      <w:szCs w:val="20"/>
      <w14:ligatures w14:val="none"/>
    </w:rPr>
  </w:style>
  <w:style w:type="paragraph" w:customStyle="1" w:styleId="zSignature">
    <w:name w:val="zSignature"/>
    <w:basedOn w:val="BodyText"/>
    <w:rsid w:val="00A876D4"/>
    <w:pPr>
      <w:keepNext/>
      <w:spacing w:before="240" w:line="240" w:lineRule="auto"/>
    </w:pPr>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A876D4"/>
    <w:rPr>
      <w:color w:val="0563C1" w:themeColor="hyperlink"/>
      <w:u w:val="single"/>
    </w:rPr>
  </w:style>
  <w:style w:type="paragraph" w:styleId="ListParagraph">
    <w:name w:val="List Paragraph"/>
    <w:basedOn w:val="Normal"/>
    <w:uiPriority w:val="34"/>
    <w:qFormat/>
    <w:rsid w:val="00A876D4"/>
    <w:pPr>
      <w:ind w:left="720"/>
      <w:contextualSpacing/>
    </w:pPr>
  </w:style>
  <w:style w:type="paragraph" w:styleId="BodyText">
    <w:name w:val="Body Text"/>
    <w:basedOn w:val="Normal"/>
    <w:link w:val="BodyTextChar"/>
    <w:uiPriority w:val="99"/>
    <w:semiHidden/>
    <w:unhideWhenUsed/>
    <w:rsid w:val="00A876D4"/>
    <w:pPr>
      <w:spacing w:after="120"/>
    </w:pPr>
  </w:style>
  <w:style w:type="character" w:customStyle="1" w:styleId="BodyTextChar">
    <w:name w:val="Body Text Char"/>
    <w:basedOn w:val="DefaultParagraphFont"/>
    <w:link w:val="BodyText"/>
    <w:uiPriority w:val="99"/>
    <w:semiHidden/>
    <w:rsid w:val="00A876D4"/>
  </w:style>
  <w:style w:type="paragraph" w:styleId="Header">
    <w:name w:val="header"/>
    <w:basedOn w:val="Normal"/>
    <w:link w:val="HeaderChar"/>
    <w:unhideWhenUsed/>
    <w:rsid w:val="00A876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876D4"/>
  </w:style>
  <w:style w:type="paragraph" w:styleId="Footer">
    <w:name w:val="footer"/>
    <w:basedOn w:val="Normal"/>
    <w:link w:val="FooterChar"/>
    <w:uiPriority w:val="99"/>
    <w:unhideWhenUsed/>
    <w:rsid w:val="00A876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8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reporting.kpmg.nl/our-csrd-insights" TargetMode="External"/><Relationship Id="rId3" Type="http://schemas.openxmlformats.org/officeDocument/2006/relationships/settings" Target="settings.xml"/><Relationship Id="rId7" Type="http://schemas.openxmlformats.org/officeDocument/2006/relationships/hyperlink" Target="https://kpmg.com/nl/en/home/insights/2024/11/the-move-to-mandatory-reporting.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5569</Characters>
  <Application>Microsoft Office Word</Application>
  <DocSecurity>0</DocSecurity>
  <Lines>46</Lines>
  <Paragraphs>13</Paragraphs>
  <ScaleCrop>false</ScaleCrop>
  <Company>KPMG NL</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Beeksma, Magriet</dc:creator>
  <cp:keywords/>
  <dc:description/>
  <cp:lastModifiedBy>Beeksma, Magriet</cp:lastModifiedBy>
  <cp:revision>1</cp:revision>
  <dcterms:created xsi:type="dcterms:W3CDTF">2025-02-06T16:36:00Z</dcterms:created>
  <dcterms:modified xsi:type="dcterms:W3CDTF">2025-02-06T16:38:00Z</dcterms:modified>
</cp:coreProperties>
</file>